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roofErr w:type="gramEnd"/>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482D3B">
        <w:rPr>
          <w:rFonts w:ascii="Times New Roman" w:hAnsi="Times New Roman" w:cs="Times New Roman"/>
          <w:b/>
          <w:sz w:val="24"/>
          <w:szCs w:val="24"/>
          <w:u w:val="single"/>
          <w:shd w:val="clear" w:color="auto" w:fill="FFFFFF"/>
        </w:rPr>
        <w:t>3</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proofErr w:type="gramStart"/>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9667AB">
        <w:rPr>
          <w:rFonts w:ascii="Times New Roman" w:hAnsi="Times New Roman"/>
          <w:sz w:val="24"/>
          <w:szCs w:val="24"/>
        </w:rPr>
        <w:t>положений бюджетного законодательства Российской Федерации цены Контракта</w:t>
      </w:r>
      <w:proofErr w:type="gramEnd"/>
      <w:r w:rsidRPr="009667AB">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 xml:space="preserve">Государственный заказчик вправе принять решение </w:t>
      </w:r>
      <w:proofErr w:type="gramStart"/>
      <w:r w:rsidRPr="009667AB">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proofErr w:type="gramStart"/>
      <w:r w:rsidRPr="003A2F0E">
        <w:rPr>
          <w:rFonts w:ascii="Times New Roman" w:hAnsi="Times New Roman"/>
          <w:sz w:val="24"/>
          <w:szCs w:val="24"/>
        </w:rPr>
        <w:t>и</w:t>
      </w:r>
      <w:proofErr w:type="gramEnd"/>
      <w:r w:rsidRPr="003A2F0E">
        <w:rPr>
          <w:rFonts w:ascii="Times New Roman" w:hAnsi="Times New Roman"/>
          <w:sz w:val="24"/>
          <w:szCs w:val="24"/>
        </w:rPr>
        <w:t xml:space="preserve">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w:t>
      </w:r>
      <w:proofErr w:type="gramStart"/>
      <w:r w:rsidRPr="00CA5675">
        <w:rPr>
          <w:rFonts w:ascii="Times New Roman" w:hAnsi="Times New Roman"/>
          <w:sz w:val="24"/>
          <w:szCs w:val="24"/>
        </w:rPr>
        <w:t>кт вст</w:t>
      </w:r>
      <w:proofErr w:type="gramEnd"/>
      <w:r w:rsidRPr="00CA5675">
        <w:rPr>
          <w:rFonts w:ascii="Times New Roman" w:hAnsi="Times New Roman"/>
          <w:sz w:val="24"/>
          <w:szCs w:val="24"/>
        </w:rPr>
        <w:t>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w:t>
      </w:r>
      <w:proofErr w:type="gramStart"/>
      <w:r w:rsidRPr="00BC3B27">
        <w:rPr>
          <w:rFonts w:ascii="Times New Roman" w:hAnsi="Times New Roman" w:cs="Times New Roman"/>
          <w:b/>
        </w:rPr>
        <w:t>федеральной</w:t>
      </w:r>
      <w:proofErr w:type="gramEnd"/>
      <w:r w:rsidRPr="00BC3B27">
        <w:rPr>
          <w:rFonts w:ascii="Times New Roman" w:hAnsi="Times New Roman" w:cs="Times New Roman"/>
          <w:b/>
        </w:rPr>
        <w:t xml:space="preserve">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proofErr w:type="gramStart"/>
      <w:r w:rsidRPr="00BC3B27">
        <w:rPr>
          <w:bCs/>
          <w:kern w:val="3"/>
          <w:sz w:val="22"/>
          <w:szCs w:val="22"/>
          <w:lang w:eastAsia="en-US"/>
        </w:rPr>
        <w:t>л</w:t>
      </w:r>
      <w:proofErr w:type="gramEnd"/>
      <w:r w:rsidRPr="00BC3B27">
        <w:rPr>
          <w:bCs/>
          <w:kern w:val="3"/>
          <w:sz w:val="22"/>
          <w:szCs w:val="22"/>
          <w:lang w:eastAsia="en-US"/>
        </w:rPr>
        <w:t xml:space="preserve">/с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proofErr w:type="gramStart"/>
      <w:r w:rsidRPr="00BC3B27">
        <w:rPr>
          <w:bCs/>
          <w:kern w:val="3"/>
          <w:sz w:val="22"/>
          <w:szCs w:val="22"/>
          <w:lang w:eastAsia="en-US"/>
        </w:rPr>
        <w:t>р</w:t>
      </w:r>
      <w:proofErr w:type="spellEnd"/>
      <w:proofErr w:type="gram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4742" w:type="dxa"/>
        <w:tblInd w:w="487" w:type="dxa"/>
        <w:tblLayout w:type="fixed"/>
        <w:tblLook w:val="0000"/>
      </w:tblPr>
      <w:tblGrid>
        <w:gridCol w:w="425"/>
        <w:gridCol w:w="1323"/>
        <w:gridCol w:w="3071"/>
        <w:gridCol w:w="709"/>
        <w:gridCol w:w="992"/>
        <w:gridCol w:w="992"/>
        <w:gridCol w:w="1562"/>
        <w:gridCol w:w="1984"/>
        <w:gridCol w:w="1844"/>
        <w:gridCol w:w="1840"/>
      </w:tblGrid>
      <w:tr w:rsidR="00071D49" w:rsidRPr="001708C3" w:rsidTr="003E3280">
        <w:tc>
          <w:tcPr>
            <w:tcW w:w="425"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w:t>
            </w:r>
          </w:p>
          <w:p w:rsidR="00071D49" w:rsidRPr="001708C3" w:rsidRDefault="00071D49" w:rsidP="00E20075">
            <w:pPr>
              <w:pStyle w:val="af1"/>
              <w:jc w:val="center"/>
              <w:rPr>
                <w:sz w:val="18"/>
                <w:szCs w:val="18"/>
              </w:rPr>
            </w:pPr>
            <w:proofErr w:type="spellStart"/>
            <w:proofErr w:type="gramStart"/>
            <w:r w:rsidRPr="001708C3">
              <w:rPr>
                <w:sz w:val="18"/>
                <w:szCs w:val="18"/>
              </w:rPr>
              <w:t>п</w:t>
            </w:r>
            <w:proofErr w:type="spellEnd"/>
            <w:proofErr w:type="gramEnd"/>
            <w:r w:rsidRPr="001708C3">
              <w:rPr>
                <w:sz w:val="18"/>
                <w:szCs w:val="18"/>
              </w:rPr>
              <w:t>/</w:t>
            </w:r>
            <w:proofErr w:type="spellStart"/>
            <w:r w:rsidRPr="001708C3">
              <w:rPr>
                <w:sz w:val="18"/>
                <w:szCs w:val="18"/>
              </w:rPr>
              <w:t>п</w:t>
            </w:r>
            <w:proofErr w:type="spellEnd"/>
          </w:p>
        </w:tc>
        <w:tc>
          <w:tcPr>
            <w:tcW w:w="132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Наименование</w:t>
            </w:r>
          </w:p>
          <w:p w:rsidR="00071D49" w:rsidRPr="001708C3" w:rsidRDefault="00071D49" w:rsidP="00E20075">
            <w:pPr>
              <w:pStyle w:val="af1"/>
              <w:jc w:val="center"/>
              <w:rPr>
                <w:sz w:val="18"/>
                <w:szCs w:val="18"/>
              </w:rPr>
            </w:pPr>
            <w:r w:rsidRPr="001708C3">
              <w:rPr>
                <w:sz w:val="18"/>
                <w:szCs w:val="18"/>
              </w:rPr>
              <w:t>Товара</w:t>
            </w:r>
          </w:p>
        </w:tc>
        <w:tc>
          <w:tcPr>
            <w:tcW w:w="3071"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 xml:space="preserve">Характеристика товара </w:t>
            </w:r>
          </w:p>
        </w:tc>
        <w:tc>
          <w:tcPr>
            <w:tcW w:w="709"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Единицы измерения</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Количество в единицах измерения</w:t>
            </w:r>
            <w:r w:rsidRPr="001708C3">
              <w:rPr>
                <w:sz w:val="18"/>
                <w:szCs w:val="18"/>
                <w:vertAlign w:val="superscript"/>
              </w:rPr>
              <w:t> </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vertAlign w:val="superscript"/>
              </w:rPr>
            </w:pPr>
            <w:r>
              <w:rPr>
                <w:sz w:val="18"/>
                <w:szCs w:val="18"/>
              </w:rPr>
              <w:t>Гарантийный</w:t>
            </w:r>
            <w:r w:rsidRPr="001708C3">
              <w:rPr>
                <w:sz w:val="18"/>
                <w:szCs w:val="18"/>
              </w:rPr>
              <w:t xml:space="preserve"> срок годности</w:t>
            </w:r>
            <w:r w:rsidRPr="001708C3">
              <w:rPr>
                <w:sz w:val="18"/>
                <w:szCs w:val="18"/>
                <w:vertAlign w:val="superscript"/>
              </w:rPr>
              <w:t> </w:t>
            </w:r>
          </w:p>
          <w:p w:rsidR="00071D49" w:rsidRPr="00D669B9" w:rsidRDefault="00071D49" w:rsidP="00E20075">
            <w:pPr>
              <w:widowControl w:val="0"/>
              <w:rPr>
                <w:sz w:val="18"/>
                <w:szCs w:val="18"/>
              </w:rPr>
            </w:pPr>
          </w:p>
        </w:tc>
        <w:tc>
          <w:tcPr>
            <w:tcW w:w="1562" w:type="dxa"/>
            <w:tcBorders>
              <w:top w:val="single" w:sz="4" w:space="0" w:color="000000"/>
              <w:left w:val="single" w:sz="4" w:space="0" w:color="000000"/>
              <w:right w:val="single" w:sz="4" w:space="0" w:color="000000"/>
            </w:tcBorders>
            <w:vAlign w:val="center"/>
          </w:tcPr>
          <w:p w:rsidR="00071D49" w:rsidRPr="00D669B9" w:rsidRDefault="00071D49" w:rsidP="00E20075">
            <w:pPr>
              <w:widowControl w:val="0"/>
              <w:tabs>
                <w:tab w:val="left" w:pos="11057"/>
                <w:tab w:val="left" w:pos="11199"/>
              </w:tabs>
              <w:contextualSpacing/>
              <w:jc w:val="center"/>
              <w:rPr>
                <w:sz w:val="18"/>
                <w:szCs w:val="18"/>
              </w:rPr>
            </w:pPr>
            <w:r w:rsidRPr="00D669B9">
              <w:rPr>
                <w:sz w:val="18"/>
                <w:szCs w:val="18"/>
              </w:rPr>
              <w:t>Сроки поставки</w:t>
            </w:r>
          </w:p>
        </w:tc>
        <w:tc>
          <w:tcPr>
            <w:tcW w:w="198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Цена за единицу измерения, руб.</w:t>
            </w:r>
          </w:p>
          <w:p w:rsidR="00071D49" w:rsidRPr="001708C3" w:rsidRDefault="00071D49" w:rsidP="00E20075">
            <w:pPr>
              <w:pStyle w:val="af1"/>
              <w:jc w:val="center"/>
              <w:rPr>
                <w:sz w:val="18"/>
                <w:szCs w:val="18"/>
              </w:rPr>
            </w:pPr>
            <w:r w:rsidRPr="001708C3">
              <w:rPr>
                <w:sz w:val="18"/>
                <w:szCs w:val="18"/>
              </w:rPr>
              <w:t>(включая НДС)</w:t>
            </w:r>
          </w:p>
          <w:p w:rsidR="00071D49" w:rsidRPr="001708C3" w:rsidRDefault="00071D49" w:rsidP="00E20075">
            <w:pPr>
              <w:pStyle w:val="af1"/>
              <w:jc w:val="center"/>
              <w:rPr>
                <w:sz w:val="18"/>
                <w:szCs w:val="18"/>
              </w:rPr>
            </w:pPr>
            <w:r w:rsidRPr="001708C3">
              <w:rPr>
                <w:sz w:val="18"/>
                <w:szCs w:val="18"/>
              </w:rPr>
              <w:t>(если облагается НДС)</w:t>
            </w:r>
          </w:p>
        </w:tc>
        <w:tc>
          <w:tcPr>
            <w:tcW w:w="184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Стоимость, руб. (включая НДС)</w:t>
            </w:r>
          </w:p>
          <w:p w:rsidR="00071D49" w:rsidRPr="001708C3" w:rsidRDefault="00071D49" w:rsidP="00E20075">
            <w:pPr>
              <w:pStyle w:val="af1"/>
              <w:jc w:val="center"/>
              <w:rPr>
                <w:sz w:val="18"/>
                <w:szCs w:val="18"/>
              </w:rPr>
            </w:pPr>
            <w:r w:rsidRPr="001708C3">
              <w:rPr>
                <w:sz w:val="18"/>
                <w:szCs w:val="18"/>
              </w:rPr>
              <w:t>(если облагается НДС)</w:t>
            </w:r>
            <w:r w:rsidRPr="001708C3">
              <w:rPr>
                <w:sz w:val="18"/>
                <w:szCs w:val="18"/>
                <w:vertAlign w:val="superscript"/>
              </w:rPr>
              <w:t> </w:t>
            </w:r>
          </w:p>
        </w:tc>
        <w:tc>
          <w:tcPr>
            <w:tcW w:w="1840"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Страна происхождения товара</w:t>
            </w:r>
          </w:p>
        </w:tc>
      </w:tr>
      <w:tr w:rsidR="00482D3B" w:rsidRPr="001708C3" w:rsidTr="003E3280">
        <w:tc>
          <w:tcPr>
            <w:tcW w:w="425" w:type="dxa"/>
            <w:tcBorders>
              <w:top w:val="single" w:sz="4" w:space="0" w:color="000000"/>
              <w:left w:val="single" w:sz="4" w:space="0" w:color="000000"/>
            </w:tcBorders>
          </w:tcPr>
          <w:p w:rsidR="00482D3B" w:rsidRPr="00697A0C" w:rsidRDefault="00482D3B"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1</w:t>
            </w:r>
          </w:p>
        </w:tc>
        <w:tc>
          <w:tcPr>
            <w:tcW w:w="1323" w:type="dxa"/>
            <w:tcBorders>
              <w:top w:val="single" w:sz="4" w:space="0" w:color="000000"/>
              <w:left w:val="single" w:sz="4" w:space="0" w:color="000000"/>
            </w:tcBorders>
          </w:tcPr>
          <w:p w:rsidR="00482D3B" w:rsidRPr="0065088B" w:rsidRDefault="00630A3A"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Плинтус напольный</w:t>
            </w:r>
          </w:p>
          <w:p w:rsidR="00482D3B" w:rsidRPr="00697A0C" w:rsidRDefault="00482D3B" w:rsidP="00482D3B">
            <w:pPr>
              <w:widowControl w:val="0"/>
              <w:autoSpaceDE w:val="0"/>
              <w:autoSpaceDN w:val="0"/>
              <w:adjustRightInd w:val="0"/>
              <w:spacing w:line="240" w:lineRule="auto"/>
              <w:jc w:val="center"/>
              <w:rPr>
                <w:rFonts w:ascii="Times New Roman" w:hAnsi="Times New Roman" w:cs="Times New Roman"/>
                <w:sz w:val="20"/>
                <w:szCs w:val="20"/>
              </w:rPr>
            </w:pPr>
          </w:p>
        </w:tc>
        <w:tc>
          <w:tcPr>
            <w:tcW w:w="3071" w:type="dxa"/>
            <w:tcBorders>
              <w:top w:val="single" w:sz="4" w:space="0" w:color="000000"/>
              <w:left w:val="single" w:sz="4" w:space="0" w:color="000000"/>
              <w:right w:val="single" w:sz="4" w:space="0" w:color="000000"/>
            </w:tcBorders>
          </w:tcPr>
          <w:p w:rsidR="00482D3B" w:rsidRPr="0065088B" w:rsidRDefault="00482D3B" w:rsidP="00482D3B">
            <w:pPr>
              <w:spacing w:after="0" w:line="240" w:lineRule="auto"/>
              <w:rPr>
                <w:rFonts w:ascii="Times New Roman" w:hAnsi="Times New Roman" w:cs="Times New Roman"/>
                <w:sz w:val="16"/>
                <w:szCs w:val="16"/>
              </w:rPr>
            </w:pPr>
          </w:p>
          <w:p w:rsidR="00C3074F" w:rsidRDefault="00C3074F" w:rsidP="00C3074F">
            <w:pPr>
              <w:spacing w:line="240" w:lineRule="atLeast"/>
              <w:textAlignment w:val="baseline"/>
            </w:pPr>
            <w:r>
              <w:rPr>
                <w:rStyle w:val="cardmaininfotitle"/>
                <w:rFonts w:ascii="XO Thames;Times New Roman" w:hAnsi="XO Thames;Times New Roman" w:cs="XO Thames;Times New Roman"/>
                <w:color w:val="334059"/>
                <w:sz w:val="21"/>
                <w:szCs w:val="21"/>
                <w:shd w:val="clear" w:color="auto" w:fill="FFFFFF"/>
              </w:rPr>
              <w:t xml:space="preserve">Толщина металла, </w:t>
            </w:r>
            <w:proofErr w:type="gramStart"/>
            <w:r>
              <w:rPr>
                <w:rStyle w:val="cardmaininfotitle"/>
                <w:rFonts w:ascii="XO Thames;Times New Roman" w:hAnsi="XO Thames;Times New Roman" w:cs="XO Thames;Times New Roman"/>
                <w:color w:val="334059"/>
                <w:sz w:val="21"/>
                <w:szCs w:val="21"/>
                <w:shd w:val="clear" w:color="auto" w:fill="FFFFFF"/>
              </w:rPr>
              <w:t>мм</w:t>
            </w:r>
            <w:proofErr w:type="gramEnd"/>
            <w:r>
              <w:t xml:space="preserve"> - </w:t>
            </w:r>
            <w:r>
              <w:rPr>
                <w:rFonts w:ascii="Roboto;Times New Roman" w:eastAsia="Roboto;Times New Roman" w:hAnsi="Roboto;Times New Roman" w:cs="Roboto;Times New Roman"/>
                <w:color w:val="334059"/>
                <w:sz w:val="21"/>
                <w:szCs w:val="21"/>
                <w:shd w:val="clear" w:color="auto" w:fill="FFFFFF"/>
              </w:rPr>
              <w:t>0,25</w:t>
            </w:r>
          </w:p>
          <w:p w:rsidR="00C3074F" w:rsidRDefault="00C3074F" w:rsidP="00C3074F">
            <w:pPr>
              <w:spacing w:line="240" w:lineRule="atLeast"/>
              <w:textAlignment w:val="baseline"/>
            </w:pPr>
            <w:r>
              <w:rPr>
                <w:rStyle w:val="cardmaininfotitle"/>
                <w:rFonts w:ascii="XO Thames;Times New Roman" w:hAnsi="XO Thames;Times New Roman" w:cs="XO Thames;Times New Roman"/>
                <w:color w:val="334059"/>
                <w:sz w:val="21"/>
                <w:szCs w:val="21"/>
                <w:shd w:val="clear" w:color="auto" w:fill="FFFFFF"/>
              </w:rPr>
              <w:t>Размер</w:t>
            </w:r>
            <w:r>
              <w:t xml:space="preserve"> </w:t>
            </w:r>
            <w:r>
              <w:rPr>
                <w:color w:val="334059"/>
                <w:sz w:val="21"/>
                <w:szCs w:val="21"/>
              </w:rPr>
              <w:t>595*</w:t>
            </w:r>
            <w:r>
              <w:rPr>
                <w:rFonts w:ascii="Roboto;Times New Roman" w:hAnsi="Roboto;Times New Roman" w:cs="Roboto;Times New Roman"/>
                <w:color w:val="334059"/>
                <w:sz w:val="21"/>
                <w:szCs w:val="21"/>
                <w:shd w:val="clear" w:color="auto" w:fill="FFFFFF"/>
              </w:rPr>
              <w:t>595 мм</w:t>
            </w:r>
          </w:p>
          <w:p w:rsidR="00C3074F" w:rsidRDefault="00C3074F" w:rsidP="00C3074F">
            <w:pPr>
              <w:spacing w:line="240" w:lineRule="atLeast"/>
              <w:textAlignment w:val="baseline"/>
            </w:pPr>
            <w:r>
              <w:rPr>
                <w:rStyle w:val="cardmaininfotitle"/>
                <w:rFonts w:ascii="XO Thames;Times New Roman" w:hAnsi="XO Thames;Times New Roman" w:cs="XO Thames;Times New Roman"/>
                <w:color w:val="334059"/>
                <w:sz w:val="21"/>
                <w:szCs w:val="21"/>
                <w:shd w:val="clear" w:color="auto" w:fill="FFFFFF"/>
              </w:rPr>
              <w:t>Цвет</w:t>
            </w:r>
            <w:r>
              <w:t xml:space="preserve"> - </w:t>
            </w:r>
            <w:r>
              <w:rPr>
                <w:rFonts w:ascii="Roboto;Times New Roman" w:eastAsia="Roboto;Times New Roman" w:hAnsi="Roboto;Times New Roman" w:cs="Roboto;Times New Roman"/>
                <w:color w:val="334059"/>
                <w:sz w:val="21"/>
                <w:szCs w:val="21"/>
                <w:shd w:val="clear" w:color="auto" w:fill="FFFFFF"/>
              </w:rPr>
              <w:t>Белый матовый</w:t>
            </w:r>
          </w:p>
          <w:p w:rsidR="00C3074F" w:rsidRDefault="00C3074F" w:rsidP="00C3074F">
            <w:pPr>
              <w:spacing w:line="240" w:lineRule="atLeast"/>
              <w:textAlignment w:val="baseline"/>
            </w:pPr>
            <w:r>
              <w:rPr>
                <w:rStyle w:val="cardmaininfotitle"/>
                <w:rFonts w:ascii="XO Thames;Times New Roman" w:hAnsi="XO Thames;Times New Roman" w:cs="XO Thames;Times New Roman"/>
                <w:color w:val="334059"/>
                <w:sz w:val="21"/>
                <w:szCs w:val="21"/>
                <w:shd w:val="clear" w:color="auto" w:fill="FFFFFF"/>
              </w:rPr>
              <w:t>Класс пожарной опасности</w:t>
            </w:r>
            <w:r>
              <w:t xml:space="preserve"> - </w:t>
            </w:r>
            <w:r>
              <w:rPr>
                <w:rFonts w:ascii="Roboto;Times New Roman" w:eastAsia="Roboto;Times New Roman" w:hAnsi="Roboto;Times New Roman" w:cs="Roboto;Times New Roman"/>
                <w:color w:val="334059"/>
                <w:sz w:val="21"/>
                <w:szCs w:val="21"/>
                <w:shd w:val="clear" w:color="auto" w:fill="FFFFFF"/>
              </w:rPr>
              <w:t xml:space="preserve"> КМ</w:t>
            </w:r>
            <w:proofErr w:type="gramStart"/>
            <w:r>
              <w:rPr>
                <w:rFonts w:ascii="Roboto;Times New Roman" w:eastAsia="Roboto;Times New Roman" w:hAnsi="Roboto;Times New Roman" w:cs="Roboto;Times New Roman"/>
                <w:color w:val="334059"/>
                <w:sz w:val="21"/>
                <w:szCs w:val="21"/>
                <w:shd w:val="clear" w:color="auto" w:fill="FFFFFF"/>
              </w:rPr>
              <w:t>1</w:t>
            </w:r>
            <w:proofErr w:type="gramEnd"/>
          </w:p>
          <w:p w:rsidR="00630A3A" w:rsidRPr="00C3074F" w:rsidRDefault="00C3074F" w:rsidP="00C3074F">
            <w:pPr>
              <w:spacing w:line="240" w:lineRule="atLeast"/>
              <w:textAlignment w:val="baseline"/>
            </w:pPr>
            <w:r>
              <w:t>Материал - Оцинкованная сталь</w:t>
            </w:r>
            <w:r w:rsidRPr="00630A3A">
              <w:rPr>
                <w:sz w:val="20"/>
              </w:rPr>
              <w:t xml:space="preserve"> </w:t>
            </w:r>
          </w:p>
        </w:tc>
        <w:tc>
          <w:tcPr>
            <w:tcW w:w="709" w:type="dxa"/>
            <w:tcBorders>
              <w:top w:val="single" w:sz="4" w:space="0" w:color="000000"/>
              <w:left w:val="single" w:sz="4" w:space="0" w:color="000000"/>
            </w:tcBorders>
          </w:tcPr>
          <w:p w:rsidR="00482D3B" w:rsidRPr="00697A0C" w:rsidRDefault="00953BA0" w:rsidP="00482D3B">
            <w:pPr>
              <w:pStyle w:val="af1"/>
              <w:jc w:val="center"/>
              <w:rPr>
                <w:rFonts w:ascii="Times New Roman" w:hAnsi="Times New Roman" w:cs="Times New Roman"/>
                <w:sz w:val="20"/>
                <w:szCs w:val="20"/>
              </w:rPr>
            </w:pPr>
            <w:r>
              <w:rPr>
                <w:rFonts w:ascii="Times New Roman" w:hAnsi="Times New Roman" w:cs="Times New Roman"/>
                <w:sz w:val="16"/>
                <w:szCs w:val="16"/>
              </w:rPr>
              <w:t>Ш</w:t>
            </w:r>
            <w:r w:rsidR="008C39A5">
              <w:rPr>
                <w:rFonts w:ascii="Times New Roman" w:hAnsi="Times New Roman" w:cs="Times New Roman"/>
                <w:sz w:val="16"/>
                <w:szCs w:val="16"/>
              </w:rPr>
              <w:t>т</w:t>
            </w:r>
            <w:r>
              <w:rPr>
                <w:rFonts w:ascii="Times New Roman" w:hAnsi="Times New Roman" w:cs="Times New Roman"/>
                <w:sz w:val="16"/>
                <w:szCs w:val="16"/>
              </w:rPr>
              <w:t>.</w:t>
            </w:r>
          </w:p>
        </w:tc>
        <w:tc>
          <w:tcPr>
            <w:tcW w:w="992" w:type="dxa"/>
            <w:tcBorders>
              <w:top w:val="single" w:sz="4" w:space="0" w:color="000000"/>
              <w:left w:val="single" w:sz="4" w:space="0" w:color="000000"/>
            </w:tcBorders>
          </w:tcPr>
          <w:p w:rsidR="00482D3B" w:rsidRPr="00697A0C" w:rsidRDefault="00C3074F" w:rsidP="00482D3B">
            <w:pPr>
              <w:pStyle w:val="af1"/>
              <w:jc w:val="center"/>
              <w:rPr>
                <w:rFonts w:ascii="Times New Roman" w:hAnsi="Times New Roman" w:cs="Times New Roman"/>
                <w:sz w:val="20"/>
                <w:szCs w:val="20"/>
              </w:rPr>
            </w:pPr>
            <w:r>
              <w:rPr>
                <w:rFonts w:ascii="Times New Roman" w:hAnsi="Times New Roman" w:cs="Times New Roman"/>
                <w:sz w:val="20"/>
                <w:szCs w:val="20"/>
              </w:rPr>
              <w:t>252</w:t>
            </w:r>
          </w:p>
        </w:tc>
        <w:tc>
          <w:tcPr>
            <w:tcW w:w="992" w:type="dxa"/>
            <w:tcBorders>
              <w:top w:val="single" w:sz="4" w:space="0" w:color="000000"/>
              <w:left w:val="single" w:sz="4" w:space="0" w:color="000000"/>
            </w:tcBorders>
          </w:tcPr>
          <w:p w:rsidR="002C153A" w:rsidRDefault="008C39A5" w:rsidP="002C153A">
            <w:pPr>
              <w:spacing w:after="0"/>
              <w:jc w:val="both"/>
              <w:rPr>
                <w:color w:val="000000"/>
                <w:sz w:val="24"/>
                <w:szCs w:val="24"/>
                <w:shd w:val="clear" w:color="auto" w:fill="FFFFFF"/>
              </w:rPr>
            </w:pPr>
            <w:r>
              <w:rPr>
                <w:color w:val="000000"/>
                <w:shd w:val="clear" w:color="auto" w:fill="FFFFFF"/>
              </w:rPr>
              <w:t xml:space="preserve">              </w:t>
            </w:r>
            <w:r w:rsidR="002C153A" w:rsidRPr="002C153A">
              <w:rPr>
                <w:color w:val="000000"/>
                <w:sz w:val="16"/>
                <w:szCs w:val="16"/>
                <w:highlight w:val="yellow"/>
                <w:shd w:val="clear" w:color="auto" w:fill="FFFFFF"/>
              </w:rPr>
              <w:t>Гарантийный срок</w:t>
            </w:r>
            <w:r w:rsidR="002C153A" w:rsidRPr="002C153A">
              <w:rPr>
                <w:color w:val="000000"/>
                <w:sz w:val="16"/>
                <w:szCs w:val="16"/>
                <w:shd w:val="clear" w:color="auto" w:fill="FFFFFF"/>
              </w:rPr>
              <w:t xml:space="preserve"> годности не менее 12 месяцев от общего срока хранения</w:t>
            </w:r>
            <w:r w:rsidR="002C153A">
              <w:rPr>
                <w:color w:val="000000"/>
                <w:sz w:val="24"/>
                <w:szCs w:val="24"/>
                <w:shd w:val="clear" w:color="auto" w:fill="FFFFFF"/>
              </w:rPr>
              <w:t>.</w:t>
            </w:r>
          </w:p>
          <w:p w:rsidR="002C153A" w:rsidRDefault="002C153A" w:rsidP="002C153A">
            <w:pPr>
              <w:jc w:val="both"/>
              <w:rPr>
                <w:color w:val="000000"/>
                <w:sz w:val="24"/>
                <w:szCs w:val="24"/>
                <w:shd w:val="clear" w:color="auto" w:fill="FFFFFF"/>
              </w:rPr>
            </w:pPr>
          </w:p>
          <w:p w:rsidR="00482D3B" w:rsidRPr="00F8688B" w:rsidRDefault="00482D3B" w:rsidP="00482D3B">
            <w:pPr>
              <w:pStyle w:val="af1"/>
              <w:jc w:val="center"/>
              <w:rPr>
                <w:rFonts w:ascii="Times New Roman" w:hAnsi="Times New Roman" w:cs="Times New Roman"/>
                <w:b/>
                <w:sz w:val="20"/>
                <w:szCs w:val="20"/>
              </w:rPr>
            </w:pPr>
          </w:p>
        </w:tc>
        <w:tc>
          <w:tcPr>
            <w:tcW w:w="1562" w:type="dxa"/>
            <w:tcBorders>
              <w:top w:val="single" w:sz="4" w:space="0" w:color="000000"/>
              <w:left w:val="single" w:sz="4" w:space="0" w:color="000000"/>
              <w:right w:val="single" w:sz="4" w:space="0" w:color="000000"/>
            </w:tcBorders>
          </w:tcPr>
          <w:p w:rsidR="00482D3B" w:rsidRPr="0065088B" w:rsidRDefault="00482D3B" w:rsidP="00482D3B">
            <w:pPr>
              <w:pStyle w:val="Style11"/>
              <w:widowControl/>
              <w:spacing w:line="276" w:lineRule="auto"/>
              <w:ind w:firstLine="0"/>
              <w:rPr>
                <w:rFonts w:eastAsia="Times New Roman"/>
                <w:sz w:val="16"/>
                <w:szCs w:val="16"/>
              </w:rPr>
            </w:pPr>
            <w:r w:rsidRPr="0065088B">
              <w:rPr>
                <w:rFonts w:eastAsia="Times New Roman"/>
                <w:sz w:val="16"/>
                <w:szCs w:val="16"/>
              </w:rPr>
              <w:t>Постав</w:t>
            </w:r>
            <w:r w:rsidR="00953BA0">
              <w:rPr>
                <w:rFonts w:eastAsia="Times New Roman"/>
                <w:sz w:val="16"/>
                <w:szCs w:val="16"/>
              </w:rPr>
              <w:t>ку товара осуществлять в течение</w:t>
            </w:r>
            <w:r w:rsidR="00C3074F">
              <w:rPr>
                <w:rFonts w:eastAsia="Times New Roman"/>
                <w:sz w:val="16"/>
                <w:szCs w:val="16"/>
              </w:rPr>
              <w:t xml:space="preserve"> 5</w:t>
            </w:r>
            <w:r w:rsidRPr="0065088B">
              <w:rPr>
                <w:rFonts w:eastAsia="Times New Roman"/>
                <w:sz w:val="16"/>
                <w:szCs w:val="16"/>
              </w:rPr>
              <w:t xml:space="preserve"> рабочих дней с момента подписания государственного контракта.</w:t>
            </w:r>
          </w:p>
          <w:p w:rsidR="00482D3B" w:rsidRPr="0065088B" w:rsidRDefault="00482D3B" w:rsidP="00482D3B">
            <w:pPr>
              <w:pStyle w:val="Style11"/>
              <w:widowControl/>
              <w:spacing w:line="240" w:lineRule="exact"/>
              <w:ind w:firstLine="0"/>
              <w:rPr>
                <w:sz w:val="16"/>
                <w:szCs w:val="16"/>
              </w:rPr>
            </w:pPr>
          </w:p>
          <w:p w:rsidR="00482D3B" w:rsidRPr="0065088B" w:rsidRDefault="00482D3B" w:rsidP="00482D3B">
            <w:pPr>
              <w:pStyle w:val="Style11"/>
              <w:widowControl/>
              <w:spacing w:line="240" w:lineRule="exact"/>
              <w:ind w:firstLine="0"/>
              <w:rPr>
                <w:sz w:val="16"/>
                <w:szCs w:val="16"/>
              </w:rPr>
            </w:pPr>
          </w:p>
          <w:p w:rsidR="00482D3B" w:rsidRPr="00697A0C" w:rsidRDefault="00482D3B" w:rsidP="00482D3B">
            <w:pPr>
              <w:spacing w:line="240" w:lineRule="auto"/>
              <w:jc w:val="both"/>
              <w:rPr>
                <w:rFonts w:ascii="Times New Roman" w:hAnsi="Times New Roman" w:cs="Times New Roman"/>
                <w:sz w:val="20"/>
                <w:szCs w:val="20"/>
              </w:rPr>
            </w:pPr>
          </w:p>
        </w:tc>
        <w:tc>
          <w:tcPr>
            <w:tcW w:w="1984" w:type="dxa"/>
            <w:tcBorders>
              <w:top w:val="single" w:sz="4" w:space="0" w:color="000000"/>
              <w:left w:val="single" w:sz="4" w:space="0" w:color="000000"/>
            </w:tcBorders>
          </w:tcPr>
          <w:p w:rsidR="00482D3B" w:rsidRPr="00697A0C" w:rsidRDefault="00482D3B"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482D3B" w:rsidRPr="00697A0C" w:rsidRDefault="00482D3B"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482D3B" w:rsidRPr="00697A0C" w:rsidRDefault="00482D3B"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РФ</w:t>
            </w:r>
          </w:p>
        </w:tc>
      </w:tr>
      <w:tr w:rsidR="00482D3B" w:rsidRPr="001708C3" w:rsidTr="003E3280">
        <w:tc>
          <w:tcPr>
            <w:tcW w:w="425" w:type="dxa"/>
            <w:tcBorders>
              <w:top w:val="single" w:sz="4" w:space="0" w:color="000000"/>
              <w:left w:val="single" w:sz="4" w:space="0" w:color="000000"/>
              <w:bottom w:val="single" w:sz="4" w:space="0" w:color="000000"/>
            </w:tcBorders>
          </w:tcPr>
          <w:p w:rsidR="00482D3B" w:rsidRPr="001708C3" w:rsidRDefault="00482D3B" w:rsidP="00482D3B">
            <w:pPr>
              <w:pStyle w:val="af1"/>
              <w:jc w:val="center"/>
            </w:pPr>
          </w:p>
        </w:tc>
        <w:tc>
          <w:tcPr>
            <w:tcW w:w="132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3071"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rPr>
                <w:rFonts w:ascii="Times New Roman" w:hAnsi="Times New Roman" w:cs="Times New Roman"/>
                <w:b/>
              </w:rPr>
            </w:pPr>
          </w:p>
        </w:tc>
        <w:tc>
          <w:tcPr>
            <w:tcW w:w="709"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992"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1562" w:type="dxa"/>
            <w:tcBorders>
              <w:top w:val="single" w:sz="4" w:space="0" w:color="000000"/>
              <w:left w:val="single" w:sz="4" w:space="0" w:color="000000"/>
              <w:bottom w:val="single" w:sz="4" w:space="0" w:color="000000"/>
              <w:right w:val="single" w:sz="4" w:space="0" w:color="000000"/>
            </w:tcBorders>
          </w:tcPr>
          <w:p w:rsidR="00482D3B" w:rsidRPr="00BC3B27" w:rsidRDefault="00482D3B" w:rsidP="00482D3B">
            <w:pPr>
              <w:widowControl w:val="0"/>
              <w:tabs>
                <w:tab w:val="left" w:pos="11057"/>
                <w:tab w:val="left" w:pos="11199"/>
              </w:tabs>
              <w:contextualSpacing/>
              <w:rPr>
                <w:rFonts w:ascii="Times New Roman" w:hAnsi="Times New Roman" w:cs="Times New Roman"/>
                <w:color w:val="000000"/>
              </w:rPr>
            </w:pPr>
            <w:r w:rsidRPr="00BC3B27">
              <w:rPr>
                <w:rFonts w:ascii="Times New Roman" w:hAnsi="Times New Roman" w:cs="Times New Roman"/>
                <w:color w:val="000000"/>
              </w:rPr>
              <w:t>Итого:</w:t>
            </w:r>
          </w:p>
        </w:tc>
        <w:tc>
          <w:tcPr>
            <w:tcW w:w="1984"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844" w:type="dxa"/>
            <w:tcBorders>
              <w:top w:val="single" w:sz="4" w:space="0" w:color="000000"/>
              <w:left w:val="single" w:sz="4" w:space="0" w:color="000000"/>
              <w:bottom w:val="single" w:sz="4" w:space="0" w:color="000000"/>
            </w:tcBorders>
          </w:tcPr>
          <w:p w:rsidR="00482D3B" w:rsidRDefault="00482D3B" w:rsidP="00482D3B">
            <w:pPr>
              <w:widowControl w:val="0"/>
              <w:jc w:val="center"/>
            </w:pPr>
          </w:p>
        </w:tc>
        <w:tc>
          <w:tcPr>
            <w:tcW w:w="1840"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pPr>
          </w:p>
        </w:tc>
      </w:tr>
    </w:tbl>
    <w:p w:rsidR="00F12CA1" w:rsidRDefault="00F12CA1"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B94037" w:rsidRDefault="00B94037"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AE3015" w:rsidRDefault="00AE3015"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AE3015" w:rsidRPr="004A21FD" w:rsidRDefault="00AE3015"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Pr="004A21FD">
        <w:rPr>
          <w:rFonts w:ascii="Times New Roman" w:eastAsia="Times New Roman" w:hAnsi="Times New Roman" w:cs="Times New Roman"/>
          <w:kern w:val="1"/>
          <w:sz w:val="24"/>
          <w:szCs w:val="24"/>
          <w:lang w:eastAsia="zh-CN" w:bidi="hi-IN"/>
        </w:rPr>
        <w:t>Коломенская</w:t>
      </w:r>
      <w:proofErr w:type="gramEnd"/>
      <w:r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C62245" w:rsidRPr="00C3074F" w:rsidRDefault="00C62245" w:rsidP="00C3074F">
      <w:pPr>
        <w:tabs>
          <w:tab w:val="left" w:pos="4470"/>
        </w:tabs>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C3074F" w:rsidRPr="00C3074F">
        <w:rPr>
          <w:noProof/>
          <w:szCs w:val="22"/>
        </w:rPr>
        <w:drawing>
          <wp:inline distT="0" distB="0" distL="0" distR="0">
            <wp:extent cx="9791700" cy="3788863"/>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3788863"/>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XO Thames;Times New Roman">
    <w:altName w:val="Times New Roman"/>
    <w:panose1 w:val="00000000000000000000"/>
    <w:charset w:val="00"/>
    <w:family w:val="roman"/>
    <w:notTrueType/>
    <w:pitch w:val="default"/>
    <w:sig w:usb0="00000000" w:usb1="00000000" w:usb2="00000000" w:usb3="00000000" w:csb0="00000000" w:csb1="00000000"/>
  </w:font>
  <w:font w:name="Roboto;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76DB"/>
    <w:rsid w:val="00191DE8"/>
    <w:rsid w:val="00197157"/>
    <w:rsid w:val="00197F70"/>
    <w:rsid w:val="001A42E1"/>
    <w:rsid w:val="001A5ECA"/>
    <w:rsid w:val="001A626E"/>
    <w:rsid w:val="001A6B4D"/>
    <w:rsid w:val="001B15AF"/>
    <w:rsid w:val="001B6030"/>
    <w:rsid w:val="001C0A6B"/>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96E55"/>
    <w:rsid w:val="002A224F"/>
    <w:rsid w:val="002A2BB0"/>
    <w:rsid w:val="002A505A"/>
    <w:rsid w:val="002B1007"/>
    <w:rsid w:val="002B20CC"/>
    <w:rsid w:val="002B54DE"/>
    <w:rsid w:val="002C153A"/>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0A3A"/>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A5B"/>
    <w:rsid w:val="00704BA0"/>
    <w:rsid w:val="00705895"/>
    <w:rsid w:val="00706487"/>
    <w:rsid w:val="0072195F"/>
    <w:rsid w:val="00724A16"/>
    <w:rsid w:val="00724D53"/>
    <w:rsid w:val="0072547A"/>
    <w:rsid w:val="00727293"/>
    <w:rsid w:val="0073092A"/>
    <w:rsid w:val="00731BEB"/>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53BA0"/>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F5D7B"/>
    <w:rsid w:val="009F7610"/>
    <w:rsid w:val="00A001F2"/>
    <w:rsid w:val="00A02B01"/>
    <w:rsid w:val="00A06FCB"/>
    <w:rsid w:val="00A17F05"/>
    <w:rsid w:val="00A3277F"/>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15C3"/>
    <w:rsid w:val="00A922BA"/>
    <w:rsid w:val="00A94B90"/>
    <w:rsid w:val="00AA6E38"/>
    <w:rsid w:val="00AB08A1"/>
    <w:rsid w:val="00AB35A1"/>
    <w:rsid w:val="00AD50E0"/>
    <w:rsid w:val="00AE3015"/>
    <w:rsid w:val="00AE72F1"/>
    <w:rsid w:val="00AE747F"/>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074F"/>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6E01"/>
    <w:rsid w:val="00C90063"/>
    <w:rsid w:val="00CA21FC"/>
    <w:rsid w:val="00CA44EF"/>
    <w:rsid w:val="00CA5675"/>
    <w:rsid w:val="00CB52B7"/>
    <w:rsid w:val="00CB54F7"/>
    <w:rsid w:val="00CC2E8A"/>
    <w:rsid w:val="00CD04D3"/>
    <w:rsid w:val="00CD21E1"/>
    <w:rsid w:val="00CD312C"/>
    <w:rsid w:val="00CE3EBA"/>
    <w:rsid w:val="00CE636B"/>
    <w:rsid w:val="00CE6DBD"/>
    <w:rsid w:val="00CF30CA"/>
    <w:rsid w:val="00CF7595"/>
    <w:rsid w:val="00D02FB8"/>
    <w:rsid w:val="00D06260"/>
    <w:rsid w:val="00D10AF7"/>
    <w:rsid w:val="00D13663"/>
    <w:rsid w:val="00D14DD5"/>
    <w:rsid w:val="00D153E0"/>
    <w:rsid w:val="00D1619D"/>
    <w:rsid w:val="00D16CE7"/>
    <w:rsid w:val="00D17200"/>
    <w:rsid w:val="00D17EC3"/>
    <w:rsid w:val="00D17F16"/>
    <w:rsid w:val="00D30C70"/>
    <w:rsid w:val="00D33582"/>
    <w:rsid w:val="00D36517"/>
    <w:rsid w:val="00D41069"/>
    <w:rsid w:val="00D4341E"/>
    <w:rsid w:val="00D536ED"/>
    <w:rsid w:val="00D557A3"/>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6988"/>
    <w:rsid w:val="00DF09E3"/>
    <w:rsid w:val="00DF0AA2"/>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346518238">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14839702">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383366413">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45839062">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B78B-03B2-455A-94A0-4BCCBAC4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6054</Words>
  <Characters>34513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9</cp:revision>
  <cp:lastPrinted>2026-05-22T07:50:00Z</cp:lastPrinted>
  <dcterms:created xsi:type="dcterms:W3CDTF">2025-10-23T07:41:00Z</dcterms:created>
  <dcterms:modified xsi:type="dcterms:W3CDTF">2026-05-22T07:50:00Z</dcterms:modified>
</cp:coreProperties>
</file>