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1" w:rsidRPr="003B3C31" w:rsidRDefault="005A7148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7150B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хлебобулочных изделий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«Кировского» филиала 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5"/>
        <w:gridCol w:w="340"/>
        <w:gridCol w:w="1133"/>
        <w:gridCol w:w="737"/>
        <w:gridCol w:w="1133"/>
      </w:tblGrid>
      <w:tr w:rsidR="003B3C31" w:rsidRPr="003B3C31" w:rsidTr="00A526FC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570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890D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9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Акционерное общество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протезно-ортопедическое предприятие» (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»)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именуемое в дальнейшем «Заказчик», в лице Управляющего филиалом «Кировский»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Карачевой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Ольги Сергеевны, действующего на основании доверенности от 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96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одной стороны, и</w:t>
      </w:r>
      <w:r w:rsidRPr="0090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  <w:r w:rsidR="00B628F2" w:rsidRPr="00B62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именуемое в дальнейшем «Поставщик», в лице 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B628F2" w:rsidRPr="00B62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на основании </w:t>
      </w:r>
      <w:r w:rsidR="0089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другой стороны, вместе именуемые «Стороны»,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руководствуясь </w:t>
      </w:r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подп. 2 п.10.2. раздела 10 Положения о закупке товаров, работ, услуг для нужд АО «Московское </w:t>
      </w:r>
      <w:proofErr w:type="spellStart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заключили настоящий </w:t>
      </w:r>
      <w:r w:rsidR="005A7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</w:t>
      </w:r>
      <w:r w:rsidR="005A7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 нижеследующем: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 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хлебобулочные изделия (ОКПД2 10.71.11.110)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Товар) Заказчику в обусловленный настоящим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согласно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Техническому заданию (</w:t>
      </w:r>
      <w:hyperlink w:anchor="P38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Заказчик обязуется принять и оплатить Товар в порядке и на условиях, предусмотренных настоящим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 Функциональные, технические и качественные характеристики Товара установлены в Техническом задании (</w:t>
      </w:r>
      <w:hyperlink w:anchor="P38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1F98" w:rsidRPr="003B3C31" w:rsidRDefault="00BB1F98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Срок поставки Товара: с 01.0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по заявке Заказчика.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ЦЕНА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5123D">
        <w:rPr>
          <w:rFonts w:ascii="Times New Roman" w:eastAsia="Times New Roman" w:hAnsi="Times New Roman" w:cs="Times New Roman"/>
          <w:sz w:val="24"/>
          <w:szCs w:val="24"/>
          <w:lang w:eastAsia="ru-RU"/>
        </w:rPr>
        <w:t>0 000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семьдесят</w:t>
      </w:r>
      <w:r w:rsidR="009F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C7150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A218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нет/</w:t>
      </w:r>
      <w:r w:rsidR="003B0B1D" w:rsidRPr="003B0B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7"/>
      <w:bookmarkEnd w:id="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0"/>
      <w:bookmarkEnd w:id="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расходы Поставщика, связанные с исполнением обязательств по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исполнении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измен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его условий не допускается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снижена по соглашению Сторон без изменения предусмотренных настоящим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количества и качества поставляемого Товара и иных условий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4"/>
      <w:bookmarkEnd w:id="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средства «Кировского» филиала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каждой партии Товара, определенной в Заявке, форма которой установлена </w:t>
      </w:r>
      <w:hyperlink w:anchor="P46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N 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Заявка), производится Заказчиком на основании счета, предоставленного Поставщиком, в течение </w:t>
      </w:r>
      <w:r w:rsidR="00C530F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3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Сторонами соответствующей товарной накладной по </w:t>
      </w:r>
      <w:hyperlink r:id="rId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Универсальный передаточный документ (УПД).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9"/>
      <w:bookmarkEnd w:id="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по настоящему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безналичному расчету путем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перечисления Заказчиком денежных средств на счет Поставщика, указанный в настоящем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81"/>
      <w:bookmarkEnd w:id="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ПОРЯДОК, СРОКИ И УСЛОВИЯ ПОСТАВКИ И ПРИЕМКИ ТОВАРА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Товар Заказчику поставляется партиями в соответствии с условиями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направляется Заказчиком не позднее чем за 24 (двадцать четыре) часа до предполагаемой поставки Товара в пределах срока, установленного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Заявкам осуществляется в течение 24 (двадцати четырех) часов со дня отправки Заявки Заказчиком.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 Товара по Заявке осуществляется Поставщиком по адресу: г. Киров, улица Мельничная дом 32.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10"/>
      <w:bookmarkEnd w:id="5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обязан передать Заказчику подписанные со своей стороны товарную накладную по </w:t>
      </w:r>
      <w:hyperlink r:id="rId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2 (двух) экземплярах (по 1 (одному) экземпляру для каждой из Сторон) и счет.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товарной накладной по </w:t>
      </w:r>
      <w:hyperlink r:id="rId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Поставщик предоставляет счет-фактуру в соответствии с налоговым законодательством Российской Федерации.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F906DF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поставленного Товара в части соответствия Товара условиям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экспертизы поставленного Товара на соответствие условиям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Заказчиком своими силами или с привлечением независимых экспертов (экспертных организаций) на основании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не реже 1 (одного) раза в три месяца в течение срока действия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указанного в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проводятся исследования Товара на предмет качества и безопасности, в том числе фальсификации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5A7148" w:rsidRP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для приемки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на период проведения экспертизы находится у Заказчика на ответственном хранении.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такой экспертизы установлены нарушения условий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устранения.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7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течение 5 (пяти) календарных дней с момента доставки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Заказчиком нарушений условий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составляет в течение 5 (пяти)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5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(далее - мотивированный отказ).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Заказчиком нарушений условий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8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разделом.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вправе отказаться от исполнения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основаниям, предусмотренным гражданским законодательством Российской Федерации.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26"/>
      <w:bookmarkEnd w:id="6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Поставщик передает Заказчику документы в составе, определенном в настоящем пункте, в день поставки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товарные накладные по </w:t>
      </w:r>
      <w:hyperlink r:id="rId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УПД, подписанные и заверенные печатью Поставщика (при наличии печати);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счета-фактуры.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течение 15 (пятнадцати) рабочих дней со дня получения документов, перечисленных в настоящем пункте, подписывает и направляет Поставщику или направляет мотивированный отказ.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в порядке и сроки, предусмотренные настоящим пунктом.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со стороны Заказчика документов подтверждает исполнение обязательств Поставщика,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hyperlink r:id="rId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Сдача и приемка Товара осуществляются уполномоченными представителями Сторон.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ВЗАИМОДЕЙСТВИЕ СТОРОН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обязан: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осуществить его соответствующую замену в порядке и на условиях,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принятия решения об одностороннем отказе от исполнения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Предоставлять Заказчику по его требованию документы, относящиеся к предмету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46"/>
      <w:bookmarkEnd w:id="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bookmarkStart w:id="8" w:name="P148"/>
      <w:bookmarkEnd w:id="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оформлять товарные накладные по </w:t>
      </w:r>
      <w:hyperlink r:id="rId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вправе: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63"/>
      <w:bookmarkEnd w:id="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надлежащим образом поставленного и принятого Заказчиком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64"/>
      <w:bookmarkEnd w:id="1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Принять решение об одностороннем отказе от исполнения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 Российской Федерации.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Заказчик обязуется: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8"/>
      <w:bookmarkEnd w:id="1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порядке и сроки, предусмотренные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Требовать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своевременную приемку поставленного Товара, соответствующего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порядке и сроки, предусмотренные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провести экспертизу поставленного Товара для проверки его соответствия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Заказчик вправе: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Требовать от Поставщика надлежащего исполнения обязательств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Проверять ход и качество выполнения Поставщиком условий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возмещения убытков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причиненных по вине Поставщика.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Предложить увеличить или уменьшить в процессе исполнения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настоящим </w:t>
      </w:r>
      <w:r w:rsidR="00BA1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не более чем на 10 процентов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Отказаться от приемки и оплаты Товара, не соответствующего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80"/>
      <w:bookmarkEnd w:id="1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УПАКОВКА ТОВАРА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Такой Товар не засчитывается в счет исполнения обязательств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упаковке должна быть маркировка, содержащая информацию согласно </w:t>
      </w:r>
      <w:hyperlink r:id="rId12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4.1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КАЧЕСТВО ТОВАРА, СРОК ГОДНОСТИ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Товар не должен представлять опасности для жизни и здоровья граждан.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Остаточный срок годности Товара устанавливается Заказчиком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у).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предъявляет претензии по качеству Товара в течение остаточного срока годности Товара.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 (одного) рабочего дня с момента уведомления Заказчиком Поставщика.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экспертизы, указанной в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выявлено нарушение условий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211"/>
      <w:bookmarkEnd w:id="1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 надлежащее исполнение своих обязательств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законодательством Российской Федерации.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Ни одна из Сторон не несет никакой ответственности по обязательствам другой Стороны, ее договорам и сделкам с третьими лицами.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Ответственность Заказчика: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 случае просрочки исполнения Заказчиком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пеней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не уплаченной в срок суммы. 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Поставщика: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В случае просрочки исполнения Поставщиком обязательств (в том числе гарантийного обязательства),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Пеня начисляется за каждый день просрочки исполнения Поставщиком обязательства, предусмотренного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(в том числе гарантийного обязательства), начиная со дня, следующего после дня истечения, установленного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в размере, одна </w:t>
      </w:r>
      <w:proofErr w:type="spellStart"/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стопятидесятая</w:t>
      </w:r>
      <w:proofErr w:type="spellEnd"/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дату уплаты пени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цены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06DF" w:rsidRPr="00F906DF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Штрафы начисляются за каждое неисполнение или ненадлежащее исполнение Поставщиком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Поставщиком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Размер штрафа устанавливается в размере 1,5 % от цены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F906DF" w:rsidP="00F906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Оплата неустойки не освобождает сторону от выполнения обязательств, предусмотренных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31"/>
      <w:bookmarkEnd w:id="14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Сторона, не исполнившая или ненадлежащим образом исполнившая обязательства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54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10 (десяти)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55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органом местного самоуправления.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2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случае, если обстоятельства непреодолимой силы будут сохраняться более 30 (тридцати) календарных дней, любая Сторона имеет право предложить другой Стороне расторгнуть его. При прекращении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РАССМОТРЕНИЕ И РАЗРЕШЕНИЕ СПОРОВ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из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Стороны могут разрешать путем переговоров.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споры, возникающие из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подлежат передаче на разрешение Арбитражного суда по месту нахождения Заказчика в соответствии с действующим законодательством Российской Федерации и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 передачи спора на разрешение Арбитражного суда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3" w:history="1"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 статьи 4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Сторона должна дать в письменной форме ответ на претензию по существу в срок не позднее 15 рабочих дней с даты получения претензии.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денежная сумма и ее полный и обоснованный расчет.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наступления любого из указанных событий передать спор на разрешение Арбитражного суда.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ИЗМЕНЕНИЯ,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275"/>
      <w:bookmarkEnd w:id="1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09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даты его заключения обеими Сторонами и действует по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(включительно), а в части неисполненных обязательств - до полного их исполнения Сторонами. Окончание срока действия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влечет прекращения неисполненных обязательств Сторон по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освобождает Стороны от обязанностей урегулирования взаимных расчетов.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Изменения и дополнения по основаниям, предусмотренным настоящим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B3C31" w:rsidRPr="003B3C31" w:rsidRDefault="00F906DF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на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376F37" w:rsidRPr="00376F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6F37" w:rsidRPr="00376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фактически поставленного Товара меньше </w:t>
      </w:r>
      <w:r w:rsidR="00F51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стоимости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51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512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право расторгнуть настоящий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Заказчик обязан оплатить Поставщику стоимость фактически поставленных Товаров на </w:t>
      </w:r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2026 г.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настоящим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ПРОЧИЕ ПОЛОЖЕНИЯ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оговорено в настоящем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счет, несет Поставщик.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применения между Сторонами электронного взаимодействия Стороны договорились: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соответственно – УКЭП, электронные документы), включая, но не ограничиваясь следующими: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поставку Товара, а также отдельных этапов поставки Товара, включая все документы, предоставление которых предусмотрено в целях осуществления приемки поставленного Товара, а также отдельных этапов поставки Товара;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результатах такой приемки;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оплату поставленного Товара, а также отдельных этапов поставки Товара;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соглашения к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у;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оплате неустоек (штрафов, пеней).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Осуществлять обмен электронными документами с обязательным применением УКЭП,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г. N 63-ФЗ «Об электронной подписи».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При осуществлении обмена электронными документами использовать форматы документов, которые утверждены приказами Федеральной налоговой службы. Если форматы документов не утверждены, то Стороны используют согласованные между собой форматы.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Электронные документы, полученные Сторонами друг от друга при исполнении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не требуют дублирования документами, оформленными на бумажных носителях информации.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Электронный документ, подписанный УКЭП,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по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оформляются в письменном виде и вступают в силу с даты их подписания Сторонами.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сообщения, требования, замечания или уведомления Сторон по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 w:rsidR="00F9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</w:hyperlink>
      <w:r w:rsidR="002976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либо с использованием электронной почты на электронные адреса, указанные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 w:rsidR="00F9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</w:hyperlink>
      <w:r w:rsidR="002976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либо с использованием факсимильной связи.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 w:rsidR="00F9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</w:hyperlink>
      <w:r w:rsidR="002976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считается надлежащим уведомлением Сторон.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Стороны обязуются обеспечить конфиденциальность сведений, относящихся к предмету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ставших им известными в ходе исполнения настоящего 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297639" w:rsidRPr="00024CBA" w:rsidRDefault="003B3C31" w:rsidP="00297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XII. </w:t>
      </w:r>
      <w:r w:rsidR="00297639" w:rsidRPr="00024C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АНТИКОРРУПЦИОННАЯ ОГОВОРКА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12.1.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12.2.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12.3.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12.4.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12.4.1.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Платить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12.4.2.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12.4.3.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297639" w:rsidRDefault="00297639" w:rsidP="0029763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12.5.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297639" w:rsidRDefault="00297639" w:rsidP="00FF4A0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12.6. 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наличия подтверждений (доказательств) нарушения одной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:rsidR="003B3C31" w:rsidRPr="003B3C31" w:rsidRDefault="00297639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ПРИЛОЖЕНИЙ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настоящего </w:t>
      </w:r>
      <w:r w:rsidR="00FF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следующее:</w:t>
      </w:r>
    </w:p>
    <w:p w:rsidR="003B3C31" w:rsidRPr="003B3C31" w:rsidRDefault="00890DD9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6" w:history="1"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 на 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3C31" w:rsidRPr="003B3C31" w:rsidRDefault="00890DD9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89" w:history="1"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Техническое задание на 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3C31" w:rsidRPr="003B3C31" w:rsidRDefault="00890DD9" w:rsidP="003B3C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99" w:history="1">
        <w:r w:rsidR="003B3C31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заявки на поставку Товара на 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282C01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306"/>
      <w:bookmarkEnd w:id="1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2976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АДРЕСА. БАНКОВСКИЕ РЕКВИЗИТЫ И 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5"/>
        <w:gridCol w:w="4762"/>
      </w:tblGrid>
      <w:tr w:rsidR="003B3C31" w:rsidRPr="003B3C31" w:rsidTr="00DF0D83">
        <w:tc>
          <w:tcPr>
            <w:tcW w:w="4865" w:type="dxa"/>
          </w:tcPr>
          <w:p w:rsidR="003B3C31" w:rsidRPr="003D72D5" w:rsidRDefault="003B3C31" w:rsidP="003B3C31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4762" w:type="dxa"/>
          </w:tcPr>
          <w:p w:rsidR="003B3C31" w:rsidRPr="003D72D5" w:rsidRDefault="003B3C31" w:rsidP="003B3C31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</w:tr>
      <w:tr w:rsidR="00B628F2" w:rsidRPr="00D56FDD" w:rsidTr="00DF0D83">
        <w:tc>
          <w:tcPr>
            <w:tcW w:w="4865" w:type="dxa"/>
          </w:tcPr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"Московское </w:t>
            </w:r>
            <w:proofErr w:type="spellStart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</w:t>
            </w:r>
            <w:proofErr w:type="spellEnd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" 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Юридический адрес: 125412, г. Москва, </w:t>
            </w:r>
            <w:proofErr w:type="spellStart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шоссе, д. 17А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Почтовый адрес: 610025, г. Киров, ул. Мельничная, д.32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7743384198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ОГРН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1227700368279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Р/С 40502810627020100096 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Кировское Отделение №8612 ПАО Сбербанка России г. Киров </w:t>
            </w:r>
          </w:p>
          <w:p w:rsidR="00B628F2" w:rsidRPr="007B570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К/С 30101810500000000609, </w:t>
            </w:r>
          </w:p>
          <w:p w:rsidR="00B628F2" w:rsidRPr="007B5701" w:rsidRDefault="00B628F2" w:rsidP="00B628F2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043304609 КПП 434543002</w:t>
            </w:r>
          </w:p>
          <w:p w:rsidR="00B628F2" w:rsidRPr="00890DD9" w:rsidRDefault="00B628F2" w:rsidP="00B628F2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 w:rsidRPr="00890DD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mail</w:t>
            </w:r>
            <w:r w:rsidRPr="00890DD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4" w:history="1"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890DD9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890DD9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kirov</w:t>
              </w:r>
              <w:proofErr w:type="spellEnd"/>
              <w:r w:rsidRPr="00890DD9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890DD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628F2" w:rsidRPr="00297639" w:rsidRDefault="00B628F2" w:rsidP="00B628F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Тел. (8332) 37-22-49</w:t>
            </w:r>
          </w:p>
        </w:tc>
        <w:tc>
          <w:tcPr>
            <w:tcW w:w="4762" w:type="dxa"/>
          </w:tcPr>
          <w:p w:rsidR="00B628F2" w:rsidRDefault="00B628F2" w:rsidP="00B628F2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628F2" w:rsidRDefault="00B628F2" w:rsidP="00B6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8F2" w:rsidRPr="00A2186B" w:rsidRDefault="00B628F2" w:rsidP="00B6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F2" w:rsidRPr="003B3C31" w:rsidTr="00DF0D83">
        <w:tc>
          <w:tcPr>
            <w:tcW w:w="4865" w:type="dxa"/>
          </w:tcPr>
          <w:p w:rsidR="00B628F2" w:rsidRPr="003D72D5" w:rsidRDefault="00B628F2" w:rsidP="00B628F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Управляющий филиалом «Кировский»</w:t>
            </w:r>
          </w:p>
          <w:p w:rsidR="00B628F2" w:rsidRDefault="00B628F2" w:rsidP="00B628F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B628F2" w:rsidRPr="003D72D5" w:rsidRDefault="00B628F2" w:rsidP="00B628F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__________________ О.С. Карачева</w:t>
            </w:r>
          </w:p>
        </w:tc>
        <w:tc>
          <w:tcPr>
            <w:tcW w:w="4762" w:type="dxa"/>
          </w:tcPr>
          <w:p w:rsidR="00B628F2" w:rsidRPr="003D72D5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Pr="003D72D5" w:rsidRDefault="00B628F2" w:rsidP="00890D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A05" w:rsidRDefault="00FF4A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F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61E49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61E49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1E49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326"/>
      <w:bookmarkEnd w:id="1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2605"/>
        <w:gridCol w:w="1991"/>
        <w:gridCol w:w="2270"/>
        <w:gridCol w:w="2739"/>
      </w:tblGrid>
      <w:tr w:rsidR="00F5123D" w:rsidRPr="00592BF0" w:rsidTr="00F5123D">
        <w:trPr>
          <w:jc w:val="center"/>
        </w:trPr>
        <w:tc>
          <w:tcPr>
            <w:tcW w:w="662" w:type="dxa"/>
          </w:tcPr>
          <w:p w:rsidR="00F5123D" w:rsidRPr="00592BF0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52" w:type="dxa"/>
          </w:tcPr>
          <w:p w:rsidR="00F5123D" w:rsidRPr="00592BF0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92" w:type="dxa"/>
          </w:tcPr>
          <w:p w:rsidR="00F5123D" w:rsidRPr="00592BF0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01" w:type="dxa"/>
          </w:tcPr>
          <w:p w:rsidR="00F5123D" w:rsidRPr="00592BF0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 единицах измерения </w:t>
            </w:r>
          </w:p>
        </w:tc>
        <w:tc>
          <w:tcPr>
            <w:tcW w:w="2052" w:type="dxa"/>
          </w:tcPr>
          <w:p w:rsidR="00F5123D" w:rsidRPr="00592BF0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измерения, руб.</w:t>
            </w:r>
          </w:p>
          <w:p w:rsidR="00F5123D" w:rsidRPr="00592BF0" w:rsidRDefault="00297639" w:rsidP="002976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НДС)</w:t>
            </w:r>
          </w:p>
        </w:tc>
      </w:tr>
      <w:tr w:rsidR="00F5123D" w:rsidRPr="003B3C31" w:rsidTr="00F5123D">
        <w:trPr>
          <w:jc w:val="center"/>
        </w:trPr>
        <w:tc>
          <w:tcPr>
            <w:tcW w:w="662" w:type="dxa"/>
          </w:tcPr>
          <w:p w:rsidR="00F5123D" w:rsidRPr="003B3C31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2" w:type="dxa"/>
            <w:vAlign w:val="center"/>
          </w:tcPr>
          <w:p w:rsidR="00F5123D" w:rsidRPr="00684DB0" w:rsidRDefault="00F5123D" w:rsidP="0068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3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 ржано-пшеничный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Дарницкий</w:t>
            </w:r>
          </w:p>
        </w:tc>
        <w:tc>
          <w:tcPr>
            <w:tcW w:w="1492" w:type="dxa"/>
          </w:tcPr>
          <w:p w:rsidR="00F5123D" w:rsidRPr="003B3C31" w:rsidRDefault="00F5123D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</w:tcPr>
          <w:p w:rsidR="00F5123D" w:rsidRPr="003B3C31" w:rsidRDefault="00F5123D" w:rsidP="00DF0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</w:tcPr>
          <w:p w:rsidR="00F5123D" w:rsidRPr="003B3C31" w:rsidRDefault="00F5123D" w:rsidP="00A21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23D" w:rsidRPr="003B3C31" w:rsidTr="00F5123D">
        <w:trPr>
          <w:jc w:val="center"/>
        </w:trPr>
        <w:tc>
          <w:tcPr>
            <w:tcW w:w="662" w:type="dxa"/>
          </w:tcPr>
          <w:p w:rsidR="00F5123D" w:rsidRPr="003B3C31" w:rsidRDefault="00F5123D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2" w:type="dxa"/>
            <w:vAlign w:val="center"/>
          </w:tcPr>
          <w:p w:rsidR="00F5123D" w:rsidRPr="003B3C3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 белый пшеничный</w:t>
            </w:r>
          </w:p>
        </w:tc>
        <w:tc>
          <w:tcPr>
            <w:tcW w:w="1492" w:type="dxa"/>
          </w:tcPr>
          <w:p w:rsidR="00F5123D" w:rsidRPr="003B3C31" w:rsidRDefault="00F5123D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</w:tcPr>
          <w:p w:rsidR="00F5123D" w:rsidRPr="003B3C31" w:rsidRDefault="00F5123D" w:rsidP="00DF0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</w:tcPr>
          <w:p w:rsidR="00F5123D" w:rsidRPr="003B3C31" w:rsidRDefault="00F5123D" w:rsidP="00DF0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3B3C31" w:rsidRPr="003B3C31" w:rsidTr="00DF0D83">
        <w:tc>
          <w:tcPr>
            <w:tcW w:w="4832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ЗАКАЗЧИК</w:t>
            </w:r>
          </w:p>
        </w:tc>
        <w:tc>
          <w:tcPr>
            <w:tcW w:w="4795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ПОСТАВЩИК</w:t>
            </w:r>
          </w:p>
        </w:tc>
      </w:tr>
      <w:tr w:rsidR="00B628F2" w:rsidRPr="003B3C31" w:rsidTr="00DF0D83">
        <w:tc>
          <w:tcPr>
            <w:tcW w:w="4832" w:type="dxa"/>
          </w:tcPr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 "Московское </w:t>
            </w:r>
            <w:proofErr w:type="spellStart"/>
            <w:r w:rsidRPr="003B3C31">
              <w:rPr>
                <w:rFonts w:ascii="Times New Roman" w:eastAsia="Times New Roman" w:hAnsi="Times New Roman"/>
                <w:lang w:eastAsia="ru-RU"/>
              </w:rPr>
              <w:t>ПрОП</w:t>
            </w:r>
            <w:proofErr w:type="spellEnd"/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" </w:t>
            </w:r>
          </w:p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795" w:type="dxa"/>
          </w:tcPr>
          <w:p w:rsidR="00B628F2" w:rsidRPr="00DF0D83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B628F2" w:rsidRPr="003B3C31" w:rsidTr="00DF0D83">
        <w:tc>
          <w:tcPr>
            <w:tcW w:w="4832" w:type="dxa"/>
          </w:tcPr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Управляющий филиалом «Кировский»</w:t>
            </w:r>
          </w:p>
          <w:p w:rsidR="00B628F2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</w:p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__________________ О.С. Карачева</w:t>
            </w:r>
          </w:p>
        </w:tc>
        <w:tc>
          <w:tcPr>
            <w:tcW w:w="4795" w:type="dxa"/>
          </w:tcPr>
          <w:p w:rsidR="00B628F2" w:rsidRPr="003D72D5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Pr="003D72D5" w:rsidRDefault="00B628F2" w:rsidP="00890D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3B3C31" w:rsidRDefault="003B3C31" w:rsidP="009F182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F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257" w:rsidRPr="0057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 2026 г. N ___/___-26Б</w:t>
      </w:r>
    </w:p>
    <w:p w:rsidR="009F1821" w:rsidRPr="003B3C31" w:rsidRDefault="009F182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389"/>
      <w:bookmarkEnd w:id="2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741"/>
        <w:gridCol w:w="4579"/>
        <w:gridCol w:w="1520"/>
      </w:tblGrid>
      <w:tr w:rsidR="00F5123D" w:rsidRPr="003B3C31" w:rsidTr="00F5123D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</w:t>
            </w:r>
          </w:p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товара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3D" w:rsidRPr="00282C01" w:rsidRDefault="00F5123D" w:rsidP="003B3C31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требования к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</w:tr>
      <w:tr w:rsidR="00F5123D" w:rsidRPr="003B3C31" w:rsidTr="00F5123D">
        <w:trPr>
          <w:jc w:val="center"/>
        </w:trPr>
        <w:tc>
          <w:tcPr>
            <w:tcW w:w="546" w:type="dxa"/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41" w:type="dxa"/>
            <w:vAlign w:val="center"/>
          </w:tcPr>
          <w:p w:rsidR="00F5123D" w:rsidRPr="00282C01" w:rsidRDefault="00F5123D" w:rsidP="00DF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Хлеб Дарницкий ржано-пшеничный, формовой</w:t>
            </w:r>
          </w:p>
          <w:p w:rsidR="00F5123D" w:rsidRPr="00282C01" w:rsidRDefault="00F5123D" w:rsidP="00DF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4" w:type="dxa"/>
            <w:vAlign w:val="center"/>
          </w:tcPr>
          <w:p w:rsidR="00F5123D" w:rsidRPr="00282C01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 xml:space="preserve">Цвет от светло-коричневого до темно-коричневого. Мякиш пропечен, без следов </w:t>
            </w:r>
            <w:proofErr w:type="spellStart"/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непромеса</w:t>
            </w:r>
            <w:proofErr w:type="spellEnd"/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123D" w:rsidRPr="00282C01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Вкус – свойственный изделию конкретного наименования. Без постороннего привкуса. Запах - свойственный изделию конкретного наименования, без постороннего запаха соответствие требованиям ГОСТа 26983-2015 или ТУ производителя, отвечают требованиям данного ГОСТа. Индивидуальная упаковка – пленка полипропиленовая пищевая или эквивалент</w:t>
            </w:r>
          </w:p>
          <w:p w:rsidR="00F5123D" w:rsidRPr="00282C01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Масса 0,6 кг</w:t>
            </w:r>
          </w:p>
          <w:p w:rsidR="00F5123D" w:rsidRPr="00282C01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Соответствие требованиям ГОСТа 26983-2015</w:t>
            </w:r>
          </w:p>
          <w:p w:rsidR="00F5123D" w:rsidRPr="00282C01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 – Российская Федерация</w:t>
            </w:r>
          </w:p>
        </w:tc>
        <w:tc>
          <w:tcPr>
            <w:tcW w:w="1276" w:type="dxa"/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F5123D" w:rsidRPr="003B3C31" w:rsidTr="00F5123D">
        <w:trPr>
          <w:jc w:val="center"/>
        </w:trPr>
        <w:tc>
          <w:tcPr>
            <w:tcW w:w="546" w:type="dxa"/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41" w:type="dxa"/>
            <w:vAlign w:val="center"/>
          </w:tcPr>
          <w:p w:rsidR="00F5123D" w:rsidRPr="00282C01" w:rsidRDefault="00F5123D" w:rsidP="0028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b/>
                <w:lang w:eastAsia="ru-RU"/>
              </w:rPr>
              <w:t>Хлеб белый пшеничный</w:t>
            </w:r>
          </w:p>
          <w:p w:rsidR="00F5123D" w:rsidRPr="00282C01" w:rsidRDefault="00F5123D" w:rsidP="0028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4" w:type="dxa"/>
            <w:vAlign w:val="center"/>
          </w:tcPr>
          <w:p w:rsidR="00F5123D" w:rsidRPr="00592BF0" w:rsidRDefault="00F5123D" w:rsidP="00DF0D8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 xml:space="preserve">Хлеб белый из пшеничной муки высшего сорта, формовой. Цвет от светло-желтого до темно-коричневого, мякиш не липкий, не влажный на ощупь, без комочков и следов </w:t>
            </w:r>
            <w:proofErr w:type="spellStart"/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>непромеса</w:t>
            </w:r>
            <w:proofErr w:type="spellEnd"/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>, без постороннего вкуса и запаха. Соответствие требованиям ГОСТа 31805-2018 или ТУ производителя, отвечают требованиям данного ГОСТа. Индивидуальная упаковка – пленка полипропиленовая пищевая или эквивалент.</w:t>
            </w:r>
          </w:p>
          <w:p w:rsidR="00F5123D" w:rsidRPr="00592BF0" w:rsidRDefault="00F5123D" w:rsidP="00282C01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>Масса 0,5 кг</w:t>
            </w:r>
          </w:p>
          <w:p w:rsidR="00F5123D" w:rsidRPr="00592BF0" w:rsidRDefault="00F5123D" w:rsidP="00282C01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>Соответствие требованиям ГОСТа 31805-2018</w:t>
            </w:r>
          </w:p>
          <w:p w:rsidR="00F5123D" w:rsidRPr="00592BF0" w:rsidRDefault="00F5123D" w:rsidP="00282C01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F0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 – Российская Федерация</w:t>
            </w:r>
          </w:p>
        </w:tc>
        <w:tc>
          <w:tcPr>
            <w:tcW w:w="1276" w:type="dxa"/>
            <w:vAlign w:val="center"/>
          </w:tcPr>
          <w:p w:rsidR="00F5123D" w:rsidRPr="00282C01" w:rsidRDefault="00F5123D" w:rsidP="003B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C01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684DB0" w:rsidRPr="003B3C31" w:rsidTr="00282C01">
        <w:tc>
          <w:tcPr>
            <w:tcW w:w="4832" w:type="dxa"/>
          </w:tcPr>
          <w:p w:rsidR="00684DB0" w:rsidRPr="003B3C31" w:rsidRDefault="00684DB0" w:rsidP="0068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ЗАКАЗЧИК</w:t>
            </w:r>
          </w:p>
        </w:tc>
        <w:tc>
          <w:tcPr>
            <w:tcW w:w="4795" w:type="dxa"/>
          </w:tcPr>
          <w:p w:rsidR="00684DB0" w:rsidRPr="003B3C31" w:rsidRDefault="00684DB0" w:rsidP="0068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ПОСТАВЩИК</w:t>
            </w:r>
          </w:p>
        </w:tc>
      </w:tr>
      <w:tr w:rsidR="00B628F2" w:rsidRPr="003B3C31" w:rsidTr="00282C01">
        <w:tc>
          <w:tcPr>
            <w:tcW w:w="4832" w:type="dxa"/>
          </w:tcPr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 "Московское </w:t>
            </w:r>
            <w:proofErr w:type="spellStart"/>
            <w:r w:rsidRPr="003B3C31">
              <w:rPr>
                <w:rFonts w:ascii="Times New Roman" w:eastAsia="Times New Roman" w:hAnsi="Times New Roman"/>
                <w:lang w:eastAsia="ru-RU"/>
              </w:rPr>
              <w:t>ПрОП</w:t>
            </w:r>
            <w:proofErr w:type="spellEnd"/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" </w:t>
            </w:r>
          </w:p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795" w:type="dxa"/>
          </w:tcPr>
          <w:p w:rsidR="00B628F2" w:rsidRPr="00DF0D83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B628F2" w:rsidRPr="003B3C31" w:rsidTr="00282C01">
        <w:tc>
          <w:tcPr>
            <w:tcW w:w="4832" w:type="dxa"/>
          </w:tcPr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Управляющий филиалом «Кировский»</w:t>
            </w:r>
          </w:p>
          <w:p w:rsidR="00B628F2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</w:p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__________________ О.С. Карачева</w:t>
            </w:r>
          </w:p>
        </w:tc>
        <w:tc>
          <w:tcPr>
            <w:tcW w:w="4795" w:type="dxa"/>
          </w:tcPr>
          <w:p w:rsidR="00B628F2" w:rsidRPr="003D72D5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Pr="003D72D5" w:rsidRDefault="00B628F2" w:rsidP="00890D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F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29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257" w:rsidRPr="0057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 2026 г. N ___/___-26Б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399"/>
      <w:bookmarkStart w:id="22" w:name="P465"/>
      <w:bookmarkEnd w:id="21"/>
      <w:bookmarkEnd w:id="2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ПОСТАВКУ ТОВАРА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поставку Товара N __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F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257" w:rsidRPr="0057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="00890DD9" w:rsidRPr="008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 2026 г. N ___/___-26Б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2494"/>
      </w:tblGrid>
      <w:tr w:rsidR="003B3C31" w:rsidRPr="003B3C31" w:rsidTr="00A526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C31" w:rsidRPr="003B3C31" w:rsidRDefault="003B3C31" w:rsidP="00282C01">
            <w:pPr>
              <w:widowControl w:val="0"/>
              <w:autoSpaceDE w:val="0"/>
              <w:autoSpaceDN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8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</w:t>
            </w: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676"/>
        <w:gridCol w:w="1418"/>
        <w:gridCol w:w="1559"/>
        <w:gridCol w:w="2126"/>
        <w:gridCol w:w="1983"/>
      </w:tblGrid>
      <w:tr w:rsidR="003B3C31" w:rsidRPr="003B3C31" w:rsidTr="00A526FC">
        <w:trPr>
          <w:jc w:val="center"/>
        </w:trPr>
        <w:tc>
          <w:tcPr>
            <w:tcW w:w="72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7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единицах измерения</w:t>
            </w:r>
          </w:p>
        </w:tc>
        <w:tc>
          <w:tcPr>
            <w:tcW w:w="2126" w:type="dxa"/>
          </w:tcPr>
          <w:p w:rsidR="003B3C31" w:rsidRPr="003B3C31" w:rsidRDefault="003B3C31" w:rsidP="004C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 измерения, руб. (включая НДС) </w:t>
            </w:r>
          </w:p>
        </w:tc>
        <w:tc>
          <w:tcPr>
            <w:tcW w:w="1983" w:type="dxa"/>
          </w:tcPr>
          <w:p w:rsidR="003B3C31" w:rsidRPr="003B3C31" w:rsidRDefault="003B3C31" w:rsidP="004C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Стоимость, руб. (включая НДС) </w:t>
            </w:r>
          </w:p>
        </w:tc>
      </w:tr>
      <w:tr w:rsidR="003B3C31" w:rsidRPr="003B3C31" w:rsidTr="00A526FC">
        <w:trPr>
          <w:jc w:val="center"/>
        </w:trPr>
        <w:tc>
          <w:tcPr>
            <w:tcW w:w="72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3C31" w:rsidRPr="003B3C31" w:rsidTr="00A526FC">
        <w:trPr>
          <w:jc w:val="center"/>
        </w:trPr>
        <w:tc>
          <w:tcPr>
            <w:tcW w:w="72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31" w:rsidRPr="003B3C31" w:rsidTr="00A526FC">
        <w:trPr>
          <w:jc w:val="center"/>
        </w:trPr>
        <w:tc>
          <w:tcPr>
            <w:tcW w:w="72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68"/>
        <w:gridCol w:w="3572"/>
      </w:tblGrid>
      <w:tr w:rsidR="003B3C31" w:rsidRPr="003B3C31" w:rsidTr="00A526FC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поставки Товара: ________</w:t>
            </w:r>
          </w:p>
        </w:tc>
      </w:tr>
      <w:tr w:rsidR="003B3C31" w:rsidRPr="003B3C31" w:rsidTr="00A526F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31" w:rsidRPr="003B3C31" w:rsidTr="00A526F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31" w:rsidRPr="003B3C31" w:rsidTr="00A526FC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31" w:rsidRPr="003B3C31" w:rsidTr="00A526FC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684DB0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СОГЛАСОВАНА СТОРОНАМИ</w:t>
      </w:r>
      <w:r w:rsidR="002455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684DB0" w:rsidRPr="003B3C31" w:rsidTr="00282C01">
        <w:tc>
          <w:tcPr>
            <w:tcW w:w="4832" w:type="dxa"/>
          </w:tcPr>
          <w:p w:rsidR="00684DB0" w:rsidRPr="003B3C31" w:rsidRDefault="00684DB0" w:rsidP="0068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ЗАКАЗЧИК</w:t>
            </w:r>
          </w:p>
        </w:tc>
        <w:tc>
          <w:tcPr>
            <w:tcW w:w="4795" w:type="dxa"/>
          </w:tcPr>
          <w:p w:rsidR="00684DB0" w:rsidRPr="003B3C31" w:rsidRDefault="00684DB0" w:rsidP="0068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ПОСТАВЩИК</w:t>
            </w:r>
          </w:p>
        </w:tc>
      </w:tr>
      <w:tr w:rsidR="00B628F2" w:rsidRPr="003B3C31" w:rsidTr="00282C01">
        <w:tc>
          <w:tcPr>
            <w:tcW w:w="4832" w:type="dxa"/>
          </w:tcPr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 "Московское </w:t>
            </w:r>
            <w:proofErr w:type="spellStart"/>
            <w:r w:rsidRPr="003B3C31">
              <w:rPr>
                <w:rFonts w:ascii="Times New Roman" w:eastAsia="Times New Roman" w:hAnsi="Times New Roman"/>
                <w:lang w:eastAsia="ru-RU"/>
              </w:rPr>
              <w:t>ПрОП</w:t>
            </w:r>
            <w:proofErr w:type="spellEnd"/>
            <w:r w:rsidRPr="003B3C31">
              <w:rPr>
                <w:rFonts w:ascii="Times New Roman" w:eastAsia="Times New Roman" w:hAnsi="Times New Roman"/>
                <w:lang w:eastAsia="ru-RU"/>
              </w:rPr>
              <w:t xml:space="preserve">" </w:t>
            </w:r>
          </w:p>
          <w:p w:rsidR="00B628F2" w:rsidRPr="003B3C31" w:rsidRDefault="00B628F2" w:rsidP="00B628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795" w:type="dxa"/>
          </w:tcPr>
          <w:p w:rsidR="00B628F2" w:rsidRPr="00DF0D83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B628F2" w:rsidRPr="003B3C31" w:rsidTr="00282C01">
        <w:tc>
          <w:tcPr>
            <w:tcW w:w="4832" w:type="dxa"/>
          </w:tcPr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Управляющий филиалом «Кировский»</w:t>
            </w:r>
          </w:p>
          <w:p w:rsidR="00B628F2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</w:p>
          <w:p w:rsidR="00B628F2" w:rsidRPr="003B3C31" w:rsidRDefault="00B628F2" w:rsidP="00890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</w:pPr>
            <w:r w:rsidRPr="003B3C31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__________________ О.С. Карачева</w:t>
            </w:r>
          </w:p>
        </w:tc>
        <w:tc>
          <w:tcPr>
            <w:tcW w:w="4795" w:type="dxa"/>
          </w:tcPr>
          <w:p w:rsidR="00B628F2" w:rsidRPr="003D72D5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Default="00B628F2" w:rsidP="00B628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628F2" w:rsidRPr="003D72D5" w:rsidRDefault="00B628F2" w:rsidP="00890D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  <w:bookmarkStart w:id="23" w:name="_GoBack"/>
            <w:bookmarkEnd w:id="23"/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C31" w:rsidRPr="003B3C31" w:rsidSect="00A5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F5"/>
    <w:rsid w:val="000968BD"/>
    <w:rsid w:val="00237E85"/>
    <w:rsid w:val="0024556F"/>
    <w:rsid w:val="00282C01"/>
    <w:rsid w:val="00291DD8"/>
    <w:rsid w:val="00297639"/>
    <w:rsid w:val="002B7B1A"/>
    <w:rsid w:val="00317CA7"/>
    <w:rsid w:val="00361E49"/>
    <w:rsid w:val="00376F37"/>
    <w:rsid w:val="003828F4"/>
    <w:rsid w:val="003A4114"/>
    <w:rsid w:val="003B0B1D"/>
    <w:rsid w:val="003B3C31"/>
    <w:rsid w:val="003D72D5"/>
    <w:rsid w:val="004B082D"/>
    <w:rsid w:val="004C7D87"/>
    <w:rsid w:val="004D0D02"/>
    <w:rsid w:val="00565797"/>
    <w:rsid w:val="00570257"/>
    <w:rsid w:val="00592BF0"/>
    <w:rsid w:val="005A7148"/>
    <w:rsid w:val="00684DB0"/>
    <w:rsid w:val="00890DD9"/>
    <w:rsid w:val="0092455E"/>
    <w:rsid w:val="009F1821"/>
    <w:rsid w:val="00A02197"/>
    <w:rsid w:val="00A2186B"/>
    <w:rsid w:val="00A415F5"/>
    <w:rsid w:val="00A526FC"/>
    <w:rsid w:val="00A86274"/>
    <w:rsid w:val="00B628F2"/>
    <w:rsid w:val="00BA12ED"/>
    <w:rsid w:val="00BB1F98"/>
    <w:rsid w:val="00BF5EDF"/>
    <w:rsid w:val="00C30B43"/>
    <w:rsid w:val="00C530F4"/>
    <w:rsid w:val="00C7150B"/>
    <w:rsid w:val="00D043DF"/>
    <w:rsid w:val="00D56FDD"/>
    <w:rsid w:val="00D75BC7"/>
    <w:rsid w:val="00DA710F"/>
    <w:rsid w:val="00DF0D83"/>
    <w:rsid w:val="00E30A0D"/>
    <w:rsid w:val="00EE5CC7"/>
    <w:rsid w:val="00F5123D"/>
    <w:rsid w:val="00F906DF"/>
    <w:rsid w:val="00FD2B8E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C7F87-4C0F-47EA-9103-1DCD3AF4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9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182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9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3" Type="http://schemas.openxmlformats.org/officeDocument/2006/relationships/hyperlink" Target="consultantplus://offline/ref=3F21944224416B92A1AD71F587BE2680FA48257E4939101C2EA43474BE142F46E5D4754770BC54109E1BBEB5D91D976D84C32F0CB1B2mDD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2" Type="http://schemas.openxmlformats.org/officeDocument/2006/relationships/hyperlink" Target="consultantplus://offline/ref=3F21944224416B92A1AD71F587BE2680FA4C217A4F39101C2EA43474BE142F46E5D4754774B5531FCF41AEB1904A987187DD300EAFB2D76AmADE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1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5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4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9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4" Type="http://schemas.openxmlformats.org/officeDocument/2006/relationships/hyperlink" Target="mailto:prop@prop-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5635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Lawyer</cp:lastModifiedBy>
  <cp:revision>43</cp:revision>
  <cp:lastPrinted>2025-10-30T10:53:00Z</cp:lastPrinted>
  <dcterms:created xsi:type="dcterms:W3CDTF">2022-11-24T11:25:00Z</dcterms:created>
  <dcterms:modified xsi:type="dcterms:W3CDTF">2026-05-20T06:20:00Z</dcterms:modified>
</cp:coreProperties>
</file>