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491F2" w14:textId="77777777" w:rsidR="00A435BA" w:rsidRPr="007E37E8" w:rsidRDefault="00A435BA" w:rsidP="00A435BA">
      <w:pPr>
        <w:tabs>
          <w:tab w:val="left" w:pos="7665"/>
        </w:tabs>
        <w:ind w:left="284"/>
        <w:jc w:val="center"/>
        <w:rPr>
          <w:b/>
          <w:bCs/>
          <w:sz w:val="22"/>
          <w:szCs w:val="22"/>
        </w:rPr>
      </w:pPr>
      <w:r w:rsidRPr="007E37E8">
        <w:rPr>
          <w:b/>
          <w:bCs/>
          <w:sz w:val="22"/>
          <w:szCs w:val="22"/>
        </w:rPr>
        <w:t>Техническое задание</w:t>
      </w:r>
    </w:p>
    <w:p w14:paraId="41DFC941" w14:textId="77777777" w:rsidR="00A435BA" w:rsidRPr="007E37E8" w:rsidRDefault="00A435BA" w:rsidP="00A435BA">
      <w:pPr>
        <w:tabs>
          <w:tab w:val="left" w:pos="7665"/>
        </w:tabs>
        <w:ind w:left="284"/>
        <w:jc w:val="center"/>
        <w:rPr>
          <w:b/>
          <w:bCs/>
          <w:sz w:val="22"/>
          <w:szCs w:val="22"/>
        </w:rPr>
      </w:pP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6469"/>
        <w:gridCol w:w="1499"/>
        <w:gridCol w:w="1392"/>
      </w:tblGrid>
      <w:tr w:rsidR="00A435BA" w:rsidRPr="007E37E8" w14:paraId="7410A200" w14:textId="77777777" w:rsidTr="00053CE8">
        <w:trPr>
          <w:trHeight w:val="698"/>
        </w:trPr>
        <w:tc>
          <w:tcPr>
            <w:tcW w:w="563" w:type="dxa"/>
            <w:shd w:val="clear" w:color="auto" w:fill="auto"/>
          </w:tcPr>
          <w:p w14:paraId="4138A25F" w14:textId="77777777" w:rsidR="00A435BA" w:rsidRPr="007E37E8" w:rsidRDefault="00A435BA" w:rsidP="00053CE8">
            <w:pPr>
              <w:jc w:val="center"/>
              <w:rPr>
                <w:b/>
                <w:sz w:val="22"/>
                <w:szCs w:val="22"/>
              </w:rPr>
            </w:pPr>
            <w:r w:rsidRPr="007E37E8">
              <w:rPr>
                <w:b/>
                <w:sz w:val="22"/>
                <w:szCs w:val="22"/>
              </w:rPr>
              <w:t>№</w:t>
            </w:r>
          </w:p>
          <w:p w14:paraId="34B9F599" w14:textId="77777777" w:rsidR="00A435BA" w:rsidRPr="007E37E8" w:rsidRDefault="00A435BA" w:rsidP="00053CE8">
            <w:pPr>
              <w:jc w:val="center"/>
              <w:rPr>
                <w:b/>
                <w:sz w:val="22"/>
                <w:szCs w:val="22"/>
              </w:rPr>
            </w:pPr>
            <w:r w:rsidRPr="007E37E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469" w:type="dxa"/>
            <w:shd w:val="clear" w:color="auto" w:fill="auto"/>
          </w:tcPr>
          <w:p w14:paraId="5D0FB550" w14:textId="77777777" w:rsidR="00A435BA" w:rsidRPr="007E37E8" w:rsidRDefault="00A435BA" w:rsidP="00053CE8">
            <w:pPr>
              <w:jc w:val="center"/>
              <w:rPr>
                <w:b/>
                <w:sz w:val="22"/>
                <w:szCs w:val="22"/>
              </w:rPr>
            </w:pPr>
            <w:r w:rsidRPr="007E37E8">
              <w:rPr>
                <w:b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1499" w:type="dxa"/>
            <w:shd w:val="clear" w:color="auto" w:fill="auto"/>
          </w:tcPr>
          <w:p w14:paraId="3EABA9E2" w14:textId="77777777" w:rsidR="00A435BA" w:rsidRPr="007E37E8" w:rsidRDefault="00A435BA" w:rsidP="00053CE8">
            <w:pPr>
              <w:jc w:val="center"/>
              <w:rPr>
                <w:b/>
                <w:sz w:val="22"/>
                <w:szCs w:val="22"/>
              </w:rPr>
            </w:pPr>
            <w:r w:rsidRPr="007E37E8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392" w:type="dxa"/>
            <w:shd w:val="clear" w:color="auto" w:fill="auto"/>
          </w:tcPr>
          <w:p w14:paraId="5AA12B8D" w14:textId="77777777" w:rsidR="00A435BA" w:rsidRPr="007E37E8" w:rsidRDefault="00A435BA" w:rsidP="00053CE8">
            <w:pPr>
              <w:jc w:val="center"/>
              <w:rPr>
                <w:b/>
                <w:sz w:val="22"/>
                <w:szCs w:val="22"/>
              </w:rPr>
            </w:pPr>
            <w:r w:rsidRPr="007E37E8">
              <w:rPr>
                <w:b/>
                <w:sz w:val="22"/>
                <w:szCs w:val="22"/>
              </w:rPr>
              <w:t>Количество</w:t>
            </w:r>
          </w:p>
        </w:tc>
      </w:tr>
      <w:tr w:rsidR="00A435BA" w:rsidRPr="007E37E8" w14:paraId="431609E6" w14:textId="77777777" w:rsidTr="00053CE8">
        <w:tc>
          <w:tcPr>
            <w:tcW w:w="563" w:type="dxa"/>
            <w:shd w:val="clear" w:color="auto" w:fill="auto"/>
          </w:tcPr>
          <w:p w14:paraId="3D23DBC7" w14:textId="77777777" w:rsidR="00A435BA" w:rsidRPr="007E37E8" w:rsidRDefault="00A435BA" w:rsidP="00053CE8">
            <w:pPr>
              <w:tabs>
                <w:tab w:val="left" w:pos="4104"/>
              </w:tabs>
              <w:jc w:val="both"/>
              <w:rPr>
                <w:sz w:val="22"/>
                <w:szCs w:val="22"/>
              </w:rPr>
            </w:pPr>
            <w:r w:rsidRPr="007E37E8">
              <w:rPr>
                <w:sz w:val="22"/>
                <w:szCs w:val="22"/>
              </w:rPr>
              <w:t>1</w:t>
            </w:r>
          </w:p>
        </w:tc>
        <w:tc>
          <w:tcPr>
            <w:tcW w:w="6469" w:type="dxa"/>
            <w:shd w:val="clear" w:color="auto" w:fill="auto"/>
          </w:tcPr>
          <w:p w14:paraId="23B32BD9" w14:textId="77777777" w:rsidR="00A435BA" w:rsidRPr="007E37E8" w:rsidRDefault="00A435BA" w:rsidP="00053CE8">
            <w:pPr>
              <w:jc w:val="both"/>
              <w:rPr>
                <w:rFonts w:eastAsia="Calibri"/>
                <w:color w:val="000000"/>
                <w:spacing w:val="-5"/>
                <w:sz w:val="22"/>
                <w:szCs w:val="22"/>
              </w:rPr>
            </w:pPr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 xml:space="preserve">Полнорационный комбикорм ПК 5 – технологический комбикорм, предназначенный для кормления цыплят-бройлеров в стартовый период; Гранулы («крупка») около 2 мм; включает зерновые, источники белка, аминокислоты (лизин, метионин, треонин) в защищённой форме; минеральные вещества: </w:t>
            </w:r>
            <w:proofErr w:type="spellStart"/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>монокальцийфосфат</w:t>
            </w:r>
            <w:proofErr w:type="spellEnd"/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>, известняковая мука, поваренная соль, сульфат натрия; функциональные добавки: премикс (комплекс витаминов: А, D, E, группы B и др.), ферментные препараты (для улучшения перевариваемости корма). Срок хранения не менее 3 месяцев.</w:t>
            </w:r>
          </w:p>
        </w:tc>
        <w:tc>
          <w:tcPr>
            <w:tcW w:w="1499" w:type="dxa"/>
            <w:shd w:val="clear" w:color="auto" w:fill="auto"/>
          </w:tcPr>
          <w:p w14:paraId="2BA5F368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кг/</w:t>
            </w:r>
            <w:proofErr w:type="spellStart"/>
            <w:r w:rsidRPr="007E37E8">
              <w:rPr>
                <w:rFonts w:eastAsia="Calibri"/>
                <w:sz w:val="22"/>
                <w:szCs w:val="22"/>
              </w:rPr>
              <w:t>мешкотара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14:paraId="1877B2E0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120/3</w:t>
            </w:r>
          </w:p>
        </w:tc>
      </w:tr>
      <w:tr w:rsidR="00A435BA" w:rsidRPr="007E37E8" w14:paraId="6A8D734B" w14:textId="77777777" w:rsidTr="00053CE8">
        <w:tc>
          <w:tcPr>
            <w:tcW w:w="563" w:type="dxa"/>
            <w:shd w:val="clear" w:color="auto" w:fill="auto"/>
          </w:tcPr>
          <w:p w14:paraId="3F86A42E" w14:textId="77777777" w:rsidR="00A435BA" w:rsidRPr="007E37E8" w:rsidRDefault="00A435BA" w:rsidP="00053CE8">
            <w:pPr>
              <w:tabs>
                <w:tab w:val="left" w:pos="4104"/>
              </w:tabs>
              <w:jc w:val="both"/>
              <w:rPr>
                <w:sz w:val="22"/>
                <w:szCs w:val="22"/>
              </w:rPr>
            </w:pPr>
            <w:r w:rsidRPr="007E37E8">
              <w:rPr>
                <w:sz w:val="22"/>
                <w:szCs w:val="22"/>
              </w:rPr>
              <w:t>2</w:t>
            </w:r>
          </w:p>
        </w:tc>
        <w:tc>
          <w:tcPr>
            <w:tcW w:w="6469" w:type="dxa"/>
            <w:shd w:val="clear" w:color="auto" w:fill="auto"/>
          </w:tcPr>
          <w:p w14:paraId="2B555A92" w14:textId="77777777" w:rsidR="00A435BA" w:rsidRPr="007E37E8" w:rsidRDefault="00A435BA" w:rsidP="00053CE8">
            <w:pPr>
              <w:jc w:val="both"/>
              <w:rPr>
                <w:rStyle w:val="futurismarkdown-word"/>
                <w:sz w:val="22"/>
                <w:szCs w:val="22"/>
              </w:rPr>
            </w:pPr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 xml:space="preserve">Полнорационный комбикорм ПК 5-2 – технологический комбикорм </w:t>
            </w:r>
            <w:r w:rsidRPr="007E37E8">
              <w:rPr>
                <w:rStyle w:val="futurismarkdown-word"/>
                <w:sz w:val="22"/>
                <w:szCs w:val="22"/>
              </w:rPr>
              <w:t>для кормления цыплят</w:t>
            </w:r>
            <w:r w:rsidRPr="007E37E8">
              <w:rPr>
                <w:rStyle w:val="futurismarkdown-word"/>
                <w:sz w:val="22"/>
                <w:szCs w:val="22"/>
              </w:rPr>
              <w:noBreakHyphen/>
              <w:t>бройлеров в первую ростовую фазу.</w:t>
            </w:r>
            <w:r w:rsidRPr="007E37E8">
              <w:rPr>
                <w:sz w:val="22"/>
                <w:szCs w:val="22"/>
              </w:rPr>
              <w:br/>
            </w:r>
            <w:r w:rsidRPr="007E37E8">
              <w:rPr>
                <w:rStyle w:val="futurismarkdown-word"/>
                <w:sz w:val="22"/>
                <w:szCs w:val="22"/>
              </w:rPr>
              <w:t>Назначение: обеспечение полноценного питания и достижение целевых показателей прироста живой массы в ростовой фазе выращивания.</w:t>
            </w:r>
          </w:p>
          <w:p w14:paraId="04804F10" w14:textId="77777777" w:rsidR="00A435BA" w:rsidRPr="007E37E8" w:rsidRDefault="00A435BA" w:rsidP="00053CE8">
            <w:pPr>
              <w:jc w:val="both"/>
              <w:rPr>
                <w:rFonts w:eastAsia="Calibri"/>
                <w:color w:val="000000"/>
                <w:spacing w:val="-5"/>
                <w:sz w:val="22"/>
                <w:szCs w:val="22"/>
              </w:rPr>
            </w:pPr>
            <w:r w:rsidRPr="007E37E8">
              <w:rPr>
                <w:rStyle w:val="futurismarkdown-word"/>
                <w:sz w:val="22"/>
                <w:szCs w:val="22"/>
              </w:rPr>
              <w:t xml:space="preserve">Форма: гранулы, диаметр гранул: 2,0–2,5 мм, цвет и запах характерный для кормовой смеси, без посторонних запахов (плесени, горечи, прогорклого жира); однородность: отсутствие расслоения, крупных комков и посторонних включений; влажность не более 14 %. </w:t>
            </w:r>
            <w:r w:rsidRPr="007E37E8">
              <w:rPr>
                <w:sz w:val="22"/>
                <w:szCs w:val="22"/>
              </w:rPr>
              <w:t>Срок годности: не менее 3 месяцев с даты изготовления при соблюдении условий хранения.</w:t>
            </w:r>
          </w:p>
        </w:tc>
        <w:tc>
          <w:tcPr>
            <w:tcW w:w="1499" w:type="dxa"/>
            <w:shd w:val="clear" w:color="auto" w:fill="auto"/>
          </w:tcPr>
          <w:p w14:paraId="4965B8E2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кг/</w:t>
            </w:r>
            <w:proofErr w:type="spellStart"/>
            <w:r w:rsidRPr="007E37E8">
              <w:rPr>
                <w:rFonts w:eastAsia="Calibri"/>
                <w:sz w:val="22"/>
                <w:szCs w:val="22"/>
              </w:rPr>
              <w:t>мешкотара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14:paraId="5E72860C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440/11</w:t>
            </w:r>
          </w:p>
        </w:tc>
      </w:tr>
      <w:tr w:rsidR="00A435BA" w:rsidRPr="007E37E8" w14:paraId="2B386E2C" w14:textId="77777777" w:rsidTr="00053CE8">
        <w:tc>
          <w:tcPr>
            <w:tcW w:w="563" w:type="dxa"/>
            <w:shd w:val="clear" w:color="auto" w:fill="auto"/>
          </w:tcPr>
          <w:p w14:paraId="4F8CE487" w14:textId="77777777" w:rsidR="00A435BA" w:rsidRPr="007E37E8" w:rsidRDefault="00A435BA" w:rsidP="00053CE8">
            <w:pPr>
              <w:tabs>
                <w:tab w:val="left" w:pos="4104"/>
              </w:tabs>
              <w:jc w:val="both"/>
              <w:rPr>
                <w:sz w:val="22"/>
                <w:szCs w:val="22"/>
              </w:rPr>
            </w:pPr>
            <w:r w:rsidRPr="007E37E8">
              <w:rPr>
                <w:sz w:val="22"/>
                <w:szCs w:val="22"/>
              </w:rPr>
              <w:t>3</w:t>
            </w:r>
          </w:p>
        </w:tc>
        <w:tc>
          <w:tcPr>
            <w:tcW w:w="6469" w:type="dxa"/>
            <w:shd w:val="clear" w:color="auto" w:fill="auto"/>
          </w:tcPr>
          <w:p w14:paraId="6B27F88A" w14:textId="77777777" w:rsidR="00A435BA" w:rsidRPr="007E37E8" w:rsidRDefault="00A435BA" w:rsidP="00053CE8">
            <w:pPr>
              <w:jc w:val="both"/>
              <w:rPr>
                <w:rStyle w:val="futurismarkdown-word"/>
                <w:sz w:val="22"/>
                <w:szCs w:val="22"/>
              </w:rPr>
            </w:pPr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 xml:space="preserve">Полнорационный комбикорм ПК 6-1 – технологический комбикорм для </w:t>
            </w:r>
            <w:r w:rsidRPr="007E37E8">
              <w:rPr>
                <w:rStyle w:val="futurismarkdown-word"/>
                <w:sz w:val="22"/>
                <w:szCs w:val="22"/>
              </w:rPr>
              <w:t>кормления цыплят бройлеров в вторую ростовую фазу для обеспечения интенсивного набора мышечной массы, оптимизации конверсии корма и формирования качественных показателей мяса.</w:t>
            </w:r>
          </w:p>
          <w:p w14:paraId="7776BCBE" w14:textId="77777777" w:rsidR="00A435BA" w:rsidRPr="007E37E8" w:rsidRDefault="00A435BA" w:rsidP="00053CE8">
            <w:pPr>
              <w:jc w:val="both"/>
              <w:rPr>
                <w:rFonts w:eastAsia="Calibri"/>
                <w:color w:val="000000"/>
                <w:spacing w:val="-5"/>
                <w:sz w:val="22"/>
                <w:szCs w:val="22"/>
              </w:rPr>
            </w:pPr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>Форма выпуска: гранулы. Диаметр гранул: 3,0–3,5 мм.</w:t>
            </w:r>
          </w:p>
          <w:p w14:paraId="2133B38B" w14:textId="77777777" w:rsidR="00A435BA" w:rsidRPr="007E37E8" w:rsidRDefault="00A435BA" w:rsidP="00053CE8">
            <w:pPr>
              <w:jc w:val="both"/>
              <w:rPr>
                <w:rFonts w:eastAsia="Calibri"/>
                <w:color w:val="000000"/>
                <w:spacing w:val="-5"/>
                <w:sz w:val="22"/>
                <w:szCs w:val="22"/>
              </w:rPr>
            </w:pPr>
            <w:proofErr w:type="spellStart"/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>Крошимость</w:t>
            </w:r>
            <w:proofErr w:type="spellEnd"/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>: не более 8 %. Влажность: не более 13 %.</w:t>
            </w:r>
          </w:p>
          <w:p w14:paraId="577BB256" w14:textId="77777777" w:rsidR="00A435BA" w:rsidRPr="007E37E8" w:rsidRDefault="00A435BA" w:rsidP="00053CE8">
            <w:pPr>
              <w:jc w:val="both"/>
              <w:rPr>
                <w:rFonts w:eastAsia="Calibri"/>
                <w:color w:val="000000"/>
                <w:spacing w:val="-5"/>
                <w:sz w:val="22"/>
                <w:szCs w:val="22"/>
              </w:rPr>
            </w:pPr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 xml:space="preserve">Отсутствие крупных включений (камни, металл) - контроль металлодетектором на производстве. </w:t>
            </w:r>
            <w:r w:rsidRPr="007E37E8">
              <w:rPr>
                <w:sz w:val="22"/>
                <w:szCs w:val="22"/>
              </w:rPr>
              <w:t>Срок годности: не менее 3 месяцев с даты изготовления при соблюдении условий хранения.</w:t>
            </w:r>
          </w:p>
        </w:tc>
        <w:tc>
          <w:tcPr>
            <w:tcW w:w="1499" w:type="dxa"/>
            <w:shd w:val="clear" w:color="auto" w:fill="auto"/>
          </w:tcPr>
          <w:p w14:paraId="3F757B16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кг/</w:t>
            </w:r>
            <w:proofErr w:type="spellStart"/>
            <w:r w:rsidRPr="007E37E8">
              <w:rPr>
                <w:rFonts w:eastAsia="Calibri"/>
                <w:sz w:val="22"/>
                <w:szCs w:val="22"/>
              </w:rPr>
              <w:t>мешкотара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14:paraId="18FFDFC6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660/15</w:t>
            </w:r>
          </w:p>
        </w:tc>
      </w:tr>
      <w:tr w:rsidR="00A435BA" w:rsidRPr="007E37E8" w14:paraId="1E51668B" w14:textId="77777777" w:rsidTr="00053CE8">
        <w:tc>
          <w:tcPr>
            <w:tcW w:w="563" w:type="dxa"/>
            <w:shd w:val="clear" w:color="auto" w:fill="auto"/>
          </w:tcPr>
          <w:p w14:paraId="2EE74D26" w14:textId="77777777" w:rsidR="00A435BA" w:rsidRPr="007E37E8" w:rsidRDefault="00A435BA" w:rsidP="00053CE8">
            <w:pPr>
              <w:tabs>
                <w:tab w:val="left" w:pos="4104"/>
              </w:tabs>
              <w:jc w:val="both"/>
              <w:rPr>
                <w:sz w:val="22"/>
                <w:szCs w:val="22"/>
              </w:rPr>
            </w:pPr>
            <w:r w:rsidRPr="007E37E8">
              <w:rPr>
                <w:sz w:val="22"/>
                <w:szCs w:val="22"/>
              </w:rPr>
              <w:t>4</w:t>
            </w:r>
          </w:p>
        </w:tc>
        <w:tc>
          <w:tcPr>
            <w:tcW w:w="6469" w:type="dxa"/>
            <w:shd w:val="clear" w:color="auto" w:fill="auto"/>
          </w:tcPr>
          <w:p w14:paraId="7A87895C" w14:textId="77777777" w:rsidR="00A435BA" w:rsidRPr="007E37E8" w:rsidRDefault="00A435BA" w:rsidP="00053CE8">
            <w:pPr>
              <w:jc w:val="both"/>
              <w:rPr>
                <w:rStyle w:val="futurismarkdown-word"/>
                <w:sz w:val="22"/>
                <w:szCs w:val="22"/>
              </w:rPr>
            </w:pPr>
            <w:r w:rsidRPr="007E37E8">
              <w:rPr>
                <w:rFonts w:eastAsia="Calibri"/>
                <w:color w:val="000000"/>
                <w:spacing w:val="-5"/>
                <w:sz w:val="22"/>
                <w:szCs w:val="22"/>
              </w:rPr>
              <w:t xml:space="preserve">Полнорационный комбикорм ПК 6-2 – технологический комбикорм для </w:t>
            </w:r>
            <w:r w:rsidRPr="007E37E8">
              <w:rPr>
                <w:rStyle w:val="futurismarkdown-word"/>
                <w:sz w:val="22"/>
                <w:szCs w:val="22"/>
              </w:rPr>
              <w:t>кормления цыплят-бройлеров в финишной фазе выращивания для обеспечения интенсивного набора мышечной массы, оптимизации конверсии корма и достижения целевых весовых показателей к моменту убоя.</w:t>
            </w:r>
          </w:p>
          <w:p w14:paraId="3CAD9777" w14:textId="77777777" w:rsidR="00A435BA" w:rsidRPr="007E37E8" w:rsidRDefault="00A435BA" w:rsidP="00053CE8">
            <w:pPr>
              <w:jc w:val="both"/>
              <w:rPr>
                <w:rFonts w:eastAsia="Calibri"/>
                <w:color w:val="000000"/>
                <w:spacing w:val="-5"/>
                <w:sz w:val="22"/>
                <w:szCs w:val="22"/>
              </w:rPr>
            </w:pPr>
            <w:r w:rsidRPr="007E37E8">
              <w:rPr>
                <w:rStyle w:val="futurismarkdown-word"/>
                <w:sz w:val="22"/>
                <w:szCs w:val="22"/>
              </w:rPr>
              <w:t>Форма выпуска: гранулы.</w:t>
            </w:r>
            <w:r w:rsidRPr="007E37E8">
              <w:rPr>
                <w:sz w:val="22"/>
                <w:szCs w:val="22"/>
              </w:rPr>
              <w:t xml:space="preserve"> </w:t>
            </w:r>
            <w:r w:rsidRPr="007E37E8">
              <w:rPr>
                <w:rStyle w:val="futurismarkdown-word"/>
                <w:sz w:val="22"/>
                <w:szCs w:val="22"/>
              </w:rPr>
              <w:t>Диаметр гранул: 3,0-3,5 мм.</w:t>
            </w:r>
            <w:r w:rsidRPr="007E37E8">
              <w:rPr>
                <w:sz w:val="22"/>
                <w:szCs w:val="22"/>
              </w:rPr>
              <w:t xml:space="preserve"> </w:t>
            </w:r>
            <w:proofErr w:type="spellStart"/>
            <w:r w:rsidRPr="007E37E8">
              <w:rPr>
                <w:rStyle w:val="futurismarkdown-word"/>
                <w:sz w:val="22"/>
                <w:szCs w:val="22"/>
              </w:rPr>
              <w:t>Крошимость</w:t>
            </w:r>
            <w:proofErr w:type="spellEnd"/>
            <w:r w:rsidRPr="007E37E8">
              <w:rPr>
                <w:rStyle w:val="futurismarkdown-word"/>
                <w:sz w:val="22"/>
                <w:szCs w:val="22"/>
              </w:rPr>
              <w:t>: не более 8 %.</w:t>
            </w:r>
            <w:r w:rsidRPr="007E37E8">
              <w:rPr>
                <w:sz w:val="22"/>
                <w:szCs w:val="22"/>
              </w:rPr>
              <w:t xml:space="preserve">  </w:t>
            </w:r>
            <w:r w:rsidRPr="007E37E8">
              <w:rPr>
                <w:rStyle w:val="futurismarkdown-word"/>
                <w:sz w:val="22"/>
                <w:szCs w:val="22"/>
              </w:rPr>
              <w:t>Влажность: не более 14 %.</w:t>
            </w:r>
            <w:r w:rsidRPr="007E37E8">
              <w:rPr>
                <w:sz w:val="22"/>
                <w:szCs w:val="22"/>
              </w:rPr>
              <w:t xml:space="preserve">  </w:t>
            </w:r>
            <w:r w:rsidRPr="007E37E8">
              <w:rPr>
                <w:rStyle w:val="futurismarkdown-word"/>
                <w:sz w:val="22"/>
                <w:szCs w:val="22"/>
              </w:rPr>
              <w:t>Наличие пылевидной фракции: не более 5 %.</w:t>
            </w:r>
            <w:r w:rsidRPr="007E37E8">
              <w:rPr>
                <w:sz w:val="22"/>
                <w:szCs w:val="22"/>
              </w:rPr>
              <w:t xml:space="preserve"> Срок годности: не менее 3 месяцев с даты изготовления при соблюдении условий хранения.</w:t>
            </w:r>
          </w:p>
        </w:tc>
        <w:tc>
          <w:tcPr>
            <w:tcW w:w="1499" w:type="dxa"/>
            <w:shd w:val="clear" w:color="auto" w:fill="auto"/>
          </w:tcPr>
          <w:p w14:paraId="6A98929C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кг/</w:t>
            </w:r>
            <w:proofErr w:type="spellStart"/>
            <w:r w:rsidRPr="007E37E8">
              <w:rPr>
                <w:rFonts w:eastAsia="Calibri"/>
                <w:sz w:val="22"/>
                <w:szCs w:val="22"/>
              </w:rPr>
              <w:t>мешкотара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14:paraId="7A3D5777" w14:textId="77777777" w:rsidR="00A435BA" w:rsidRPr="007E37E8" w:rsidRDefault="00A435BA" w:rsidP="00053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7E37E8">
              <w:rPr>
                <w:rFonts w:eastAsia="Calibri"/>
                <w:sz w:val="22"/>
                <w:szCs w:val="22"/>
              </w:rPr>
              <w:t>520/13</w:t>
            </w:r>
          </w:p>
        </w:tc>
      </w:tr>
    </w:tbl>
    <w:p w14:paraId="054E8575" w14:textId="77777777" w:rsidR="005C719A" w:rsidRDefault="005C719A">
      <w:bookmarkStart w:id="0" w:name="_GoBack"/>
      <w:bookmarkEnd w:id="0"/>
    </w:p>
    <w:sectPr w:rsidR="005C719A" w:rsidSect="00A435B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7E"/>
    <w:rsid w:val="005C719A"/>
    <w:rsid w:val="0062517E"/>
    <w:rsid w:val="00A4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FADAE-BD02-4B9D-909A-CBDA1DE9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5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rsid w:val="00A4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2026-08-26T10:31:00Z</dcterms:created>
  <dcterms:modified xsi:type="dcterms:W3CDTF">2026-08-26T10:32:00Z</dcterms:modified>
</cp:coreProperties>
</file>