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b/>
          <w:sz w:val="28"/>
          <w:szCs w:val="28"/>
        </w:rPr>
        <w:t xml:space="preserve">Договор поставки товара  №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ИКЗ  ___________________________________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г. </w:t>
      </w:r>
      <w:r>
        <w:rPr>
          <w:color w:val="000000"/>
          <w:sz w:val="20"/>
          <w:szCs w:val="20"/>
        </w:rPr>
        <w:t xml:space="preserve">Сыктывкар                                                                                                                                    «____» _______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2026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______________________, именуемое в дальнейшем </w:t>
      </w:r>
      <w:r>
        <w:rPr>
          <w:sz w:val="20"/>
          <w:szCs w:val="20"/>
        </w:rPr>
        <w:t xml:space="preserve">«Исполнитель», в лице __________________, действующего на основании ________________, с одной стороны,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</w:t>
      </w:r>
      <w:r>
        <w:rPr>
          <w:sz w:val="20"/>
          <w:szCs w:val="20"/>
        </w:rPr>
        <w:t xml:space="preserve">о Республике Коми (далее – Главного управления МЧС России по Республике Коми), именуемое в дальнейшем «Заказчик», в лице начальника Пархомовича Алексея Анатольевича, действующего на основании Положения, с другой стороны, далее совместно именуемые «Стороны»</w:t>
      </w:r>
      <w:r>
        <w:rPr>
          <w:sz w:val="20"/>
          <w:szCs w:val="20"/>
        </w:rPr>
        <w:t xml:space="preserve"> руководствуясь п.4 ч.1 ст.93 </w:t>
      </w:r>
      <w:r>
        <w:rPr>
          <w:sz w:val="20"/>
        </w:rPr>
        <w:t xml:space="preserve">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0"/>
          <w:szCs w:val="20"/>
        </w:rPr>
        <w:t xml:space="preserve"> заключили настоящий договор о нижеследующем: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1.1. Исполнитель принимает на себя обязательства по </w:t>
      </w:r>
      <w:r>
        <w:rPr>
          <w:rStyle w:val="997"/>
          <w:bCs/>
          <w:sz w:val="20"/>
          <w:szCs w:val="20"/>
        </w:rPr>
        <w:t xml:space="preserve">поставке </w:t>
      </w:r>
      <w:r>
        <w:rPr>
          <w:rFonts w:ascii="Times New Roman" w:hAnsi="Times New Roman"/>
          <w:sz w:val="20"/>
          <w:szCs w:val="20"/>
          <w:lang w:val="en-US"/>
        </w:rPr>
        <w:t xml:space="preserve">USB</w:t>
      </w:r>
      <w:r>
        <w:rPr>
          <w:rFonts w:ascii="Times New Roman" w:hAnsi="Times New Roman"/>
          <w:sz w:val="20"/>
          <w:szCs w:val="20"/>
        </w:rPr>
        <w:t xml:space="preserve"> модемов 4</w:t>
      </w:r>
      <w:r>
        <w:rPr>
          <w:rFonts w:ascii="Times New Roman" w:hAnsi="Times New Roman"/>
          <w:sz w:val="20"/>
          <w:szCs w:val="20"/>
          <w:lang w:val="en-US"/>
        </w:rPr>
        <w:t xml:space="preserve">G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  <w:lang w:val="en-US"/>
        </w:rPr>
        <w:t xml:space="preserve">LTE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Style w:val="997"/>
          <w:bCs/>
          <w:sz w:val="20"/>
          <w:szCs w:val="20"/>
        </w:rPr>
        <w:t xml:space="preserve"> для нужд Главного управления МЧС России по Республике Коми </w:t>
      </w:r>
      <w:r>
        <w:rPr>
          <w:sz w:val="20"/>
          <w:szCs w:val="20"/>
        </w:rPr>
        <w:t xml:space="preserve">(далее – товар), согласно спецификации (приложение № 1 к Договору)</w:t>
      </w:r>
      <w:r>
        <w:rPr>
          <w:sz w:val="20"/>
          <w:szCs w:val="20"/>
        </w:rPr>
        <w:t xml:space="preserve"> и технического задания (приложение № 2 к Договору)</w:t>
      </w:r>
      <w:r>
        <w:rPr>
          <w:sz w:val="20"/>
          <w:szCs w:val="20"/>
        </w:rPr>
        <w:t xml:space="preserve">, являющейся неотъемлемой частью настоящего договора, а Заказчик обязуется принять и оплатить товар.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widowControl w:val="false"/>
        <w:pBdr/>
        <w:spacing w:line="276" w:lineRule="auto"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2. ЦЕНА ДОГОВОРА И ПОРЯДОК РАСЧЕТОВ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Общая цена Договора составляет </w:t>
      </w:r>
      <w:r>
        <w:rPr>
          <w:b/>
          <w:sz w:val="20"/>
          <w:szCs w:val="20"/>
        </w:rPr>
        <w:t xml:space="preserve">__________ (_________________) рублей 00 копеек, включая НДС/исключая НДС.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Цена Договора является твердой и определяется на весь срок исполнения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</w:t>
      </w:r>
      <w:r>
        <w:t xml:space="preserve"> </w:t>
      </w:r>
      <w:r>
        <w:rPr>
          <w:sz w:val="20"/>
          <w:szCs w:val="20"/>
        </w:rPr>
        <w:t xml:space="preserve">Оплата товара производится Заказчиком за счет средств федерального бюджета </w:t>
      </w:r>
      <w:r>
        <w:rPr>
          <w:b/>
          <w:sz w:val="20"/>
          <w:szCs w:val="20"/>
        </w:rPr>
        <w:t xml:space="preserve">КБК 177 0310</w:t>
      </w:r>
      <w:r>
        <w:t xml:space="preserve"> </w:t>
      </w:r>
      <w:r>
        <w:rPr>
          <w:b/>
          <w:sz w:val="20"/>
          <w:szCs w:val="20"/>
        </w:rPr>
        <w:t xml:space="preserve">1040190049 242</w:t>
      </w:r>
      <w:r>
        <w:rPr>
          <w:b/>
          <w:sz w:val="20"/>
          <w:szCs w:val="20"/>
        </w:rPr>
        <w:t xml:space="preserve"> 310</w:t>
      </w:r>
      <w:r>
        <w:rPr>
          <w:b/>
          <w:sz w:val="20"/>
          <w:szCs w:val="20"/>
        </w:rPr>
        <w:t xml:space="preserve">; ОКПД 26.30.23.110.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В цену Договора входят все расходы, связанные с выполнением Исполнителем</w:t>
      </w:r>
      <w:r>
        <w:rPr>
          <w:sz w:val="20"/>
          <w:szCs w:val="20"/>
        </w:rPr>
        <w:t xml:space="preserve"> обязательств по Договору, в том числе расходы, связанные с уплатой налогов, сборов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Аванс по Договору не предусмотрен.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</w:t>
      </w:r>
      <w:r>
        <w:rPr>
          <w:sz w:val="20"/>
          <w:szCs w:val="20"/>
        </w:rPr>
        <w:t xml:space="preserve">Оплата Товара производится Заказчиком в течение 10 (десяти) рабочих дней с даты подписания универсального передаточного документа Заказчиком.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2.7. Датой оплаты товара считается дата списания денежных средств со счета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2.8.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</w:t>
      </w:r>
      <w:r>
        <w:rPr>
          <w:sz w:val="20"/>
          <w:szCs w:val="20"/>
        </w:rPr>
        <w:t xml:space="preserve">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 и (или) срокам исполнения Договора.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3.1.Исполнитель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3.1.1. Поставить товар в соответствии с условиями До</w:t>
      </w:r>
      <w:r>
        <w:rPr>
          <w:sz w:val="20"/>
          <w:szCs w:val="20"/>
        </w:rPr>
        <w:t xml:space="preserve">говора, спецификацией, государственными стандартами, установленными в Российской Федерации, с соблюдением всех правил и норм охраны труда, техники безопасности, а также иными требованиями, предъявляемыми нормативными актами Российской Федерации в течение 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десять</w:t>
      </w:r>
      <w:r>
        <w:rPr>
          <w:sz w:val="20"/>
          <w:szCs w:val="20"/>
        </w:rPr>
        <w:t xml:space="preserve">) рабочих дней</w:t>
      </w:r>
      <w:r>
        <w:rPr>
          <w:sz w:val="20"/>
          <w:szCs w:val="20"/>
        </w:rPr>
        <w:t xml:space="preserve"> с даты подписания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Заказчик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3.2.1. Принять и своевременно оплатить фактически поставленный товар по настоящему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Заказчик имеет право: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3.3.1. Принять решение об одностороннем отказе от исполнения договора в соответствии с гражданским законодательством РФ.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4. ПОРЯДОК СДАЧИ И ПРИЕМКИ ОКАЗАННЫХ УСЛУГ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right="0" w:firstLine="567" w:left="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4.1.</w:t>
      </w:r>
      <w:r>
        <w:rPr>
          <w:sz w:val="20"/>
          <w:szCs w:val="20"/>
        </w:rPr>
        <w:t xml:space="preserve"> При поставке Товара </w:t>
      </w:r>
      <w:r>
        <w:rPr>
          <w:sz w:val="20"/>
          <w:szCs w:val="20"/>
          <w:lang w:val="ru-RU"/>
        </w:rPr>
        <w:t xml:space="preserve">Исполнитель</w:t>
      </w:r>
      <w:r>
        <w:rPr>
          <w:sz w:val="20"/>
          <w:szCs w:val="20"/>
        </w:rPr>
        <w:t xml:space="preserve"> передает Заказчику универсальный передаточный документ (далее - УПД) с обязательным указанием страны изготовителя Товара. Заказчик с момента получения документа</w:t>
      </w:r>
      <w:r>
        <w:rPr>
          <w:sz w:val="20"/>
          <w:szCs w:val="20"/>
        </w:rPr>
        <w:t xml:space="preserve"> о приемке (УПД) обязан в течение 5 (пяти) рабочих дней принять товар и подписать УПД, а также акт приемки по форме 0510452. Датой приемки Товара является дата подписания Заказчиком УПД и акта приемки. Все виды погрузочно-разгрузочных работ осуществляются </w:t>
      </w:r>
      <w:r>
        <w:rPr>
          <w:sz w:val="20"/>
          <w:szCs w:val="20"/>
          <w:lang w:val="ru-RU"/>
        </w:rPr>
        <w:t xml:space="preserve">Исполнителем.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Контроль за исполнением условий договора осуществляется уполномоченным(и) представителем(ями)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4.2.1. Если Исполнитель поставил товар в ненадлежащем объеме, или нарушил сроки поставки товара, указанные в Договоре, Заказчик вправе потребовать выполнить условия договора в надлежащем объё</w:t>
      </w:r>
      <w:r>
        <w:rPr>
          <w:sz w:val="20"/>
          <w:szCs w:val="20"/>
        </w:rPr>
        <w:t xml:space="preserve">ме или принять решение об одностороннем отказе от исполнения Договора в порядке, установленном законодательством Российской Федерации, в случае, если поставка товара потребует больших временных затрат, в связи с чем Заказчик утрачивает интерес к Договору.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4.2.2. Обо всех нарушениях условий Договора: о количестве, о качестве товара, Заказчик извещает Исполнителя не поздне</w:t>
      </w:r>
      <w:r>
        <w:rPr>
          <w:sz w:val="20"/>
          <w:szCs w:val="20"/>
        </w:rPr>
        <w:t xml:space="preserve">е трех рабочих дней с даты обнаружения указанных нарушений.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</w:t>
      </w:r>
      <w:r>
        <w:rPr>
          <w:sz w:val="20"/>
          <w:szCs w:val="20"/>
        </w:rPr>
        <w:t xml:space="preserve">ений и вручается уполномоченному представителю Исполнителя под расписку. В случае отсутствия уполномоченного представителя Исполнителя уведомление о поставке некачественного товара направляется Исполнителю по почте, факсу, электронной почте либо нарочным.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4.2.3. Исполнитель, в установленный в извещении срок, обязан устранить все допущенные нарушения. В противном случае Заказчик вправе предъявить Исполнителю требование о возмещении убытков и уплаты неустойки, или принять </w:t>
      </w:r>
      <w:r>
        <w:rPr>
          <w:sz w:val="20"/>
          <w:szCs w:val="20"/>
        </w:rPr>
        <w:t xml:space="preserve">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исполнению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Качество товара должно соответствовать техническим регламентам, государственным стандартам, техническим условиям.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4.4. Если качество поставленного товара не соответствуют техническим регламентам Заказчик вправе отказаться от его оплаты, а если оплата произведена, потребовать в установленном порядке возврата оплаченной суммы.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rFonts w:eastAsia="Arial Unicode MS"/>
          <w:b/>
          <w:sz w:val="20"/>
          <w:szCs w:val="20"/>
        </w:rPr>
      </w:pPr>
      <w:r>
        <w:rPr>
          <w:sz w:val="20"/>
          <w:szCs w:val="20"/>
        </w:rPr>
        <w:t xml:space="preserve">5.1.</w:t>
      </w:r>
      <w:r>
        <w:rPr>
          <w:rFonts w:eastAsia="Arial Unicode MS"/>
          <w:sz w:val="20"/>
          <w:szCs w:val="20"/>
        </w:rPr>
        <w:t xml:space="preserve">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6. ОБСТОЯТЕЛЬСТВА НЕПРЕОДОЛИМОЙ СИЛЫ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Ст</w:t>
      </w:r>
      <w:r>
        <w:rPr>
          <w:sz w:val="20"/>
          <w:szCs w:val="20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0"/>
          <w:szCs w:val="20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0"/>
          <w:szCs w:val="20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>
        <w:rPr>
          <w:sz w:val="20"/>
          <w:szCs w:val="20"/>
        </w:rPr>
        <w:t xml:space="preserve">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Неизвещен</w:t>
      </w:r>
      <w:r>
        <w:rPr>
          <w:sz w:val="20"/>
          <w:szCs w:val="20"/>
        </w:rPr>
        <w:t xml:space="preserve">ие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7. СРОК ДЕЙСТВИЯ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7.1. Договор вступает в силу и становится обязательным для Сторон с момента подписания его обеими сторонами и действует до </w:t>
      </w:r>
      <w:r>
        <w:rPr>
          <w:b/>
          <w:sz w:val="20"/>
          <w:szCs w:val="20"/>
        </w:rPr>
        <w:t xml:space="preserve">31.12.2026</w:t>
      </w:r>
      <w:r>
        <w:rPr>
          <w:sz w:val="20"/>
          <w:szCs w:val="20"/>
        </w:rPr>
        <w:t xml:space="preserve"> </w:t>
      </w:r>
      <w:r>
        <w:rPr>
          <w:b/>
          <w:sz w:val="20"/>
          <w:szCs w:val="20"/>
        </w:rPr>
        <w:t xml:space="preserve">г</w:t>
      </w:r>
      <w:r>
        <w:rPr>
          <w:sz w:val="20"/>
          <w:szCs w:val="20"/>
        </w:rPr>
        <w:t xml:space="preserve">., а в части исполнения сторонами обязательств по расчетам до их полного исполнения.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Договор может быть расторгнут по соглашению Сторон, по решению суда, в случае одностороннего отказа Стороны Дог</w:t>
      </w:r>
      <w:r>
        <w:rPr>
          <w:sz w:val="20"/>
          <w:szCs w:val="20"/>
        </w:rPr>
        <w:t xml:space="preserve">овора от исполнения Договора в соответствии с гражданским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keepNext w:val="true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8. ПОРЯДОК РАЗРЕШЕНИЯ СПОРОВ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</w:t>
      </w:r>
      <w:r>
        <w:rPr>
          <w:sz w:val="20"/>
          <w:szCs w:val="20"/>
        </w:rPr>
        <w:t xml:space="preserve">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5 (пяти) рабочих дней со дня ее получения.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При неурегулировании Сторонами спора в досудебном порядке, спор разрешается в Арбитражном суде по месту нахождения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8.3. К отношениям Сторон по настоящему Договору и в связи с ним применяется законодательство Российской Федерации.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9. ПРОЧИЕ УСЛОВИЯ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Настоящий договор составлен в двух экземплярах, каждый из которых имеет одинаковую юридическую силу, по одному для каждой из Сторон.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Все приложения к Договору являются его неотъемлемой частью.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9.3. К Договору прилагается: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– Спецификация;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2 – Техническое задание.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 В случае изменения наименования, адреса места нахождения или банковских реквизитов Стороны, она письменно извещает об этом другую Сторону в течение пяти рабочих дней с даты такого изменения.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9.5. 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9.7. Изменения и дополне</w:t>
      </w:r>
      <w:r>
        <w:rPr>
          <w:sz w:val="20"/>
          <w:szCs w:val="20"/>
        </w:rPr>
        <w:t xml:space="preserve">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АДРЕСА МЕСТА НАХОЖДЕНИЯ, БАНКОВСКИЕ РЕКВИЗИТЫ И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ПОДПИСИ СТОРОН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>
        <w:trPr>
          <w:trHeight w:val="6471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 (Главное управление МЧС России по Республике Коми)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Юридический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1101462050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ОГРН: 1041100434825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ИКУ</w:t>
              <w:tab/>
              <w:t xml:space="preserve"> 11101462050110101001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Республике Коми (Главное управление МЧС России по РК, л/с 03071784550), тек. сч. 03211643000000013207 в ВОЛГО-ВЯТСКОЕ ГУ БАНКА РОССИИ//УФК по Нижегородской области, г. Нижний Новгород, кор. сч. 40102810745370000024, БИК 012202102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 87701000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ОКОПФ 75104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08929020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телефон: 8212409800 (доб. 493)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адрес: it@11.mchs.gov.ru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 w:firstLine="3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ИСПОЛНИТЕЛЬ:</w:t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________________________</w:t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 М.П.</w:t>
            </w:r>
            <w:r/>
          </w:p>
        </w:tc>
      </w:tr>
    </w:tbl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/>
        <w:sectPr>
          <w:foot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567" w:right="566" w:bottom="765" w:left="1134" w:header="720" w:footer="709" w:gutter="0"/>
          <w:pgNumType w:start="1"/>
          <w:cols w:num="1" w:sep="0" w:space="720" w:equalWidth="1"/>
          <w:titlePg/>
        </w:sectPr>
      </w:pPr>
      <w:r/>
      <w:r/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1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к Договору поставки товара № ____  от ___.___.202</w:t>
      </w:r>
      <w:r>
        <w:rPr>
          <w:sz w:val="22"/>
          <w:szCs w:val="22"/>
          <w:lang w:val="en-US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numPr>
          <w:ilvl w:val="0"/>
          <w:numId w:val="2"/>
        </w:numPr>
        <w:pBdr/>
        <w:spacing/>
        <w:ind w:firstLine="284"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обязуется передать Заказчику, а Заказчик принять и оплатить нижеследующий Товар: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Ind w:w="-37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7"/>
        <w:gridCol w:w="567"/>
        <w:gridCol w:w="4395"/>
        <w:gridCol w:w="641"/>
        <w:gridCol w:w="209"/>
        <w:gridCol w:w="678"/>
        <w:gridCol w:w="1023"/>
        <w:gridCol w:w="992"/>
        <w:gridCol w:w="1701"/>
      </w:tblGrid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1016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Наименование Товара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Цена,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Сумма,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Адрес поставки</w:t>
            </w:r>
            <w:r/>
          </w:p>
        </w:tc>
      </w:tr>
      <w:tr>
        <w:trPr>
          <w:trHeight w:val="506"/>
        </w:trPr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pStyle w:val="964"/>
              <w:numPr>
                <w:ilvl w:val="0"/>
                <w:numId w:val="5"/>
              </w:numPr>
              <w:pBdr/>
              <w:tabs>
                <w:tab w:val="left" w:leader="none" w:pos="0"/>
              </w:tabs>
              <w:spacing/>
              <w:ind w:right="340" w:firstLine="284" w:left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395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модем 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  <w:lang w:eastAsia="ar-SA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val="ru-RU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2499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 w:val="false"/>
          </w:tcPr>
          <w:p w14:paraId="745F1AD6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9996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  <w:lang w:val="ru-RU"/>
              </w:rPr>
              <w:t xml:space="preserve">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Республика Коми,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г. Сыктывкар, ул. Советская д.9</w:t>
            </w:r>
            <w:r/>
          </w:p>
        </w:tc>
      </w:tr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751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rPr/>
            </w:pPr>
            <w:r>
              <w:rPr>
                <w:sz w:val="20"/>
                <w:szCs w:val="20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top"/>
            <w:textDirection w:val="lrTb"/>
            <w:noWrap w:val="false"/>
          </w:tcPr>
          <w:p w14:paraId="669A679D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9996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  <w:lang w:val="ru-RU"/>
              </w:rPr>
              <w:t xml:space="preserve">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/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640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 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М.П.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02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____________ 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/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/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ТЕХНИЧЕСКОЕ ЗАДАНИЕ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pBdr/>
        <w:spacing/>
        <w:ind/>
        <w:jc w:val="right"/>
        <w:rPr/>
      </w:pPr>
      <w:r/>
      <w:r/>
    </w:p>
    <w:p>
      <w:pPr>
        <w:pStyle w:val="964"/>
        <w:widowControl w:val="false"/>
        <w:pBdr/>
        <w:tabs>
          <w:tab w:val="left" w:leader="none" w:pos="1373"/>
        </w:tabs>
        <w:spacing/>
        <w:ind w:firstLine="709"/>
        <w:contextualSpacing w:val="true"/>
        <w:jc w:val="both"/>
        <w:rPr>
          <w:b/>
        </w:rPr>
      </w:pPr>
      <w:r>
        <w:rPr>
          <w:b/>
        </w:rPr>
        <w:t xml:space="preserve">Требования к качеству, техническим характеристикам товара, к функциональным характеристикам (потребительским свойствам), и иные требования, связанные с определением соответствия потребностям заказчика.</w:t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/>
        <w:rPr/>
      </w:pPr>
      <w:r/>
      <w:r/>
    </w:p>
    <w:p w14:paraId="49EC8819">
      <w:pPr>
        <w:pStyle w:val="928"/>
        <w:numPr>
          <w:ilvl w:val="0"/>
          <w:numId w:val="8"/>
        </w:numPr>
        <w:pBdr/>
        <w:spacing/>
        <w:ind/>
        <w:jc w:val="both"/>
        <w:rPr/>
      </w:pPr>
      <w:r>
        <w:rPr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  <w:t xml:space="preserve">USB</w:t>
      </w:r>
      <w:r>
        <w:rPr>
          <w:rFonts w:ascii="Times New Roman" w:hAnsi="Times New Roman"/>
          <w:sz w:val="24"/>
          <w:szCs w:val="24"/>
        </w:rPr>
        <w:t xml:space="preserve"> модем 4</w:t>
      </w:r>
      <w:r>
        <w:rPr>
          <w:rFonts w:ascii="Times New Roman" w:hAnsi="Times New Roman"/>
          <w:sz w:val="24"/>
          <w:szCs w:val="24"/>
          <w:lang w:val="en-US"/>
        </w:rPr>
        <w:t xml:space="preserve">G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 xml:space="preserve">LTE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lang w:val="en-US"/>
        </w:rPr>
      </w:r>
      <w:r/>
    </w:p>
    <w:p w14:paraId="6D08350A">
      <w:pPr>
        <w:pBdr/>
        <w:spacing/>
        <w:ind w:firstLine="0" w:left="563"/>
        <w:jc w:val="both"/>
        <w:rPr/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/>
    </w:p>
    <w:tbl>
      <w:tblPr>
        <w:tblStyle w:val="776"/>
        <w:tblInd w:w="534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2125"/>
        <w:gridCol w:w="1843"/>
        <w:gridCol w:w="2126"/>
        <w:gridCol w:w="1843"/>
        <w:gridCol w:w="1843"/>
      </w:tblGrid>
      <w:tr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125" w:type="dxa"/>
            <w:textDirection w:val="lrTb"/>
            <w:noWrap w:val="false"/>
          </w:tcPr>
          <w:p w14:paraId="3C6B1CA8">
            <w:pPr>
              <w:pBdr/>
              <w:spacing/>
              <w:ind w:right="-254" w:firstLine="0" w:left="-142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textDirection w:val="lrTb"/>
            <w:noWrap w:val="false"/>
          </w:tcPr>
          <w:p w14:paraId="200DCDA6">
            <w:pPr>
              <w:pBdr/>
              <w:spacing/>
              <w:ind w:right="0" w:firstLine="0" w:left="-142"/>
              <w:contextualSpacing w:val="true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 w14:paraId="5C81C1F8">
            <w:pPr>
              <w:pBdr/>
              <w:spacing/>
              <w:ind w:right="0" w:firstLine="0" w:left="-142"/>
              <w:contextualSpacing w:val="true"/>
              <w:jc w:val="center"/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характеристик</w:t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126" w:type="dxa"/>
            <w:vAlign w:val="center"/>
            <w:textDirection w:val="lrTb"/>
            <w:noWrap w:val="false"/>
          </w:tcPr>
          <w:p w14:paraId="3A49A206">
            <w:pPr>
              <w:pBdr/>
              <w:spacing/>
              <w:ind w:right="0" w:firstLine="0" w:left="-142"/>
              <w:contextualSpacing w:val="true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(значение) характеристики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textDirection w:val="lrTb"/>
            <w:noWrap w:val="false"/>
          </w:tcPr>
          <w:p w14:paraId="76A98CB9">
            <w:pPr>
              <w:pStyle w:val="1009"/>
              <w:widowControl w:val="true"/>
              <w:pBdr/>
              <w:tabs>
                <w:tab w:val="left" w:leader="none" w:pos="360"/>
              </w:tabs>
              <w:spacing w:after="60" w:before="120"/>
              <w:ind w:right="0" w:firstLine="0" w:left="-142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Единица измерения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textDirection w:val="lrTb"/>
            <w:noWrap w:val="false"/>
          </w:tcPr>
          <w:p w14:paraId="76BF1FB9">
            <w:pPr>
              <w:pStyle w:val="1009"/>
              <w:widowControl w:val="true"/>
              <w:pBdr/>
              <w:tabs>
                <w:tab w:val="left" w:leader="none" w:pos="360"/>
              </w:tabs>
              <w:spacing w:after="60" w:before="120"/>
              <w:ind w:right="0" w:firstLine="0" w:left="-142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11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125" w:type="dxa"/>
            <w:vMerge w:val="restart"/>
            <w:textDirection w:val="lrTb"/>
            <w:noWrap w:val="false"/>
          </w:tcPr>
          <w:p w14:paraId="129E677A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 LTE модем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71D70C7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Поддержка 3G/4G(LTE)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1781FB61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 w14:paraId="04F56E1F">
            <w:pPr>
              <w:pBdr/>
              <w:spacing/>
              <w:ind w:firstLine="0" w:left="-25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 w14:paraId="0FF88E1E">
            <w:pPr>
              <w:pBdr/>
              <w:spacing/>
              <w:ind w:firstLine="0" w:left="-25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98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620EA7A4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6073D95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Слот для SIM-карты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4B3FE81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34D994DC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2BDE2104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7AA36716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59906CB3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Скорость передачи данных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50A44BB1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Входящий трафик: не менее 150 Мбит/с; Исходящий трафик: не менее 50 Мбит/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0BAC158D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42C93E7C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92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6BF15BFA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01F3835E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Интерфейс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41EAB3D3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USB 2.0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385AC342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5C018ABF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11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 w14:paraId="07D023D5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 w14:paraId="40413576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Стандарт передачи данных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tcW w:w="2126" w:type="dxa"/>
            <w:textDirection w:val="lrTb"/>
            <w:noWrap w:val="false"/>
          </w:tcPr>
          <w:p w14:paraId="71D9D467">
            <w:pPr>
              <w:pBdr/>
              <w:spacing/>
              <w:ind w:firstLine="0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4G (LTE), 3G (HSPA+), 3G (UMTS), 2G (EDGE), 2G (GPRS), GSM</w:t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38A41553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 w14:paraId="15B2B02F">
            <w:pPr>
              <w:pBdr/>
              <w:spacing/>
              <w:ind w:firstLine="0" w:left="-250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val="en-US"/>
              </w:rPr>
            </w:r>
          </w:p>
        </w:tc>
      </w:tr>
    </w:tbl>
    <w:p>
      <w:pPr>
        <w:pStyle w:val="964"/>
        <w:pBdr/>
        <w:spacing/>
        <w:ind w:firstLine="0" w:left="563"/>
        <w:jc w:val="both"/>
        <w:rPr/>
      </w:pPr>
      <w:r/>
      <w:r/>
    </w:p>
    <w:p>
      <w:pPr>
        <w:pStyle w:val="964"/>
        <w:pBdr/>
        <w:spacing/>
        <w:ind w:firstLine="567"/>
        <w:jc w:val="both"/>
        <w:rPr/>
      </w:pPr>
      <w:r>
        <w:t xml:space="preserve">1. Предлагаемый к поставке товар должен быть новым товаром (товаром, который не был в употреблении, в ремонте, в том числе который не был во</w:t>
      </w:r>
      <w:r>
        <w:t xml:space="preserve">сстановлен, у которого не была осуществлена замена составных частей, не были восстановлены потребительские свойства), не иметь каких-либо обременений (не быть предметом залога, не состоять под арестом и т.п.)</w:t>
      </w:r>
      <w:r>
        <w:rPr>
          <w:lang w:val="en-US"/>
        </w:rPr>
        <w:t xml:space="preserve">.</w:t>
      </w:r>
      <w:r/>
    </w:p>
    <w:p>
      <w:pPr>
        <w:pStyle w:val="965"/>
        <w:pBdr/>
        <w:shd w:val="clear" w:color="auto" w:fill="ffffff"/>
        <w:spacing w:after="0" w:before="0"/>
        <w:ind w:firstLine="567"/>
        <w:jc w:val="both"/>
        <w:rPr/>
      </w:pPr>
      <w:r>
        <w:rPr>
          <w:b w:val="0"/>
          <w:bCs w:val="0"/>
          <w:sz w:val="24"/>
          <w:szCs w:val="24"/>
        </w:rPr>
        <w:t xml:space="preserve">2. Поставщик гарантирует, что Товар соответствует требованиям к качеству и маркировке, установленным нормативными актами российской Федерации. Поставляемый товар должен быть надлежащим образом сертифицирован, полностью у</w:t>
      </w:r>
      <w:r>
        <w:rPr>
          <w:b w:val="0"/>
          <w:bCs w:val="0"/>
          <w:sz w:val="24"/>
          <w:szCs w:val="24"/>
        </w:rPr>
        <w:t xml:space="preserve">комплектованным, исправным и годным к эксплуатации, не иметь дефектов, связанных с конструкцией, материалами и функционированием при штатном использовании. Товар по своему функциональному назначению и применению должен подходить к объекту установки товара.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3. Гарантийный срок не менее 12 (Двенадцать) месяцев с даты подписания Акта приемки поставленного Товара. Обязательства по гарантийному ремонту, обслуживанию, замене товара в течение гарантийного срока несет непосредственно Поставщик.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4. Одновременно с поставкой товара Поставщик обязан передать Заказчику надлежащим образом оформленные сопроводительные документы в соответствии с законодательством Российской Федерации. П</w:t>
      </w:r>
      <w:r>
        <w:t xml:space="preserve">оставщик должен гарантировать качество предоставляемого товара. Гарантии качества должны включать в себя замену некачественного товара, в течение гарантийного срока. Поставщик обеспечивает за свой счет замену товара с дефектом на новый в течение 72 часов.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5. Поставки товара осуществляется единовременно в течение 1</w:t>
      </w:r>
      <w:r>
        <w:t xml:space="preserve">0</w:t>
      </w:r>
      <w:r>
        <w:t xml:space="preserve"> рабоч</w:t>
      </w:r>
      <w:r>
        <w:t xml:space="preserve">их</w:t>
      </w:r>
      <w:r>
        <w:t xml:space="preserve"> дн</w:t>
      </w:r>
      <w:r>
        <w:t xml:space="preserve">ей</w:t>
      </w:r>
      <w:r>
        <w:t xml:space="preserve"> с даты подписания сторонами государственного контракта. Поставка должна осуществляться в рабочее</w:t>
      </w:r>
      <w:r>
        <w:t xml:space="preserve"> время Заказчика с 9:30 до 16:00 часов (время Московское) с понедельника по пятницу за исключением нерабочих праздничных дней. При поставке товара Поставщик передает Заказчику товарную накладную, счет (счет-фактуру), копии сертификатов, инструкции (памятки</w:t>
      </w:r>
      <w:r>
        <w:t xml:space="preserve">) на русском языке, паспорт на товар, гарантийные талоны (сервисные книжки, руководства по эксплуатации) и т.п. Датой поставки товара является дата подписания Заказчиком товарной накладной. Все виды погрузочно-разгрузочных работ осуществляются Поставщиком.</w:t>
      </w:r>
      <w:r/>
    </w:p>
    <w:p>
      <w:pPr>
        <w:pStyle w:val="964"/>
        <w:pBdr/>
        <w:spacing/>
        <w:ind w:firstLine="567"/>
        <w:jc w:val="both"/>
        <w:rPr/>
      </w:pPr>
      <w:r>
        <w:t xml:space="preserve">6. Поставка товара осуществляется силами поставщика по адресу: 167026, Республика Коми, г. Сыктывкар, ул. Советская, дом 9.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7. Товар должен быть поставлен в упаковке (таре), обеспечивающей защиту товаров от их повреждения или порчи во время транспортировки и хранения. Упаковка (тара) товара и комплектующ</w:t>
      </w:r>
      <w:r>
        <w:t xml:space="preserve">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8. Расчеты между Заказчиком и Поставщиком производятся не позднее 10 рабочих дней с даты подписания Заказчиком </w:t>
      </w:r>
      <w:r/>
      <w:r>
        <w:t xml:space="preserve">универсального передаточного документа за счет средств федерального бюджета по</w:t>
      </w:r>
      <w:r/>
      <w:r>
        <w:t xml:space="preserve"> КБК </w:t>
      </w:r>
      <w:r>
        <w:rPr>
          <w:b w:val="0"/>
          <w:bCs w:val="0"/>
          <w:sz w:val="24"/>
          <w:szCs w:val="24"/>
        </w:rPr>
        <w:t xml:space="preserve">177 0310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1040190049 242</w:t>
      </w:r>
      <w:r>
        <w:rPr>
          <w:b w:val="0"/>
          <w:bCs w:val="0"/>
          <w:sz w:val="24"/>
          <w:szCs w:val="24"/>
        </w:rPr>
        <w:t xml:space="preserve"> 310</w:t>
      </w:r>
      <w:r>
        <w:t xml:space="preserve">.</w:t>
      </w:r>
      <w:r/>
    </w:p>
    <w:p>
      <w:pPr>
        <w:pStyle w:val="964"/>
        <w:pBdr/>
        <w:spacing/>
        <w:ind/>
        <w:rPr/>
      </w:pPr>
      <w:r/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tabs>
          <w:tab w:val="left" w:leader="none" w:pos="0"/>
        </w:tabs>
        <w:spacing/>
        <w:ind/>
        <w:jc w:val="both"/>
        <w:rPr>
          <w:szCs w:val="22"/>
        </w:rPr>
      </w:pPr>
      <w:r>
        <w:rPr>
          <w:szCs w:val="22"/>
        </w:rPr>
        <w:t xml:space="preserve">Инженер отделения ФПС ГПС по ОС ОИТ и С</w:t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Cs w:val="22"/>
        </w:rPr>
        <w:t xml:space="preserve">Главного управления МЧС России по Республике Коми                                                 С.В. Лавренко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709" w:right="566" w:bottom="0" w:left="1134" w:header="720" w:footer="709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">
    <w:panose1 w:val="020B05020405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 Unicode MS">
    <w:panose1 w:val="020B0606020202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5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211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nsid w:val="076FE09B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nsid w:val="53BD3315"/>
    <w:lvl w:ilvl="0">
      <w:isLgl w:val="false"/>
      <w:lvlJc w:val="left"/>
      <w:lvlText w:val="%1."/>
      <w:numFmt w:val="decimal"/>
      <w:pPr>
        <w:pBdr/>
        <w:spacing/>
        <w:ind w:hanging="360" w:left="563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23"/>
      </w:pPr>
      <w:rPr/>
      <w:start w:val="1"/>
      <w:suff w:val="tab"/>
    </w:lvl>
  </w:abstractNum>
  <w:abstractNum w:abstractNumId="7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Table Grid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Table Grid Light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>
    <w:name w:val="Heading 1"/>
    <w:basedOn w:val="964"/>
    <w:next w:val="964"/>
    <w:link w:val="9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3">
    <w:name w:val="Heading 2"/>
    <w:basedOn w:val="964"/>
    <w:next w:val="964"/>
    <w:link w:val="9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4">
    <w:name w:val="Heading 3"/>
    <w:basedOn w:val="964"/>
    <w:next w:val="964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5">
    <w:name w:val="Heading 4"/>
    <w:basedOn w:val="964"/>
    <w:next w:val="964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6">
    <w:name w:val="Heading 5"/>
    <w:basedOn w:val="964"/>
    <w:next w:val="964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7">
    <w:name w:val="Heading 6"/>
    <w:basedOn w:val="964"/>
    <w:next w:val="964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8">
    <w:name w:val="Heading 7"/>
    <w:basedOn w:val="964"/>
    <w:next w:val="964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9">
    <w:name w:val="Heading 8"/>
    <w:basedOn w:val="964"/>
    <w:next w:val="964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Heading 9"/>
    <w:basedOn w:val="964"/>
    <w:next w:val="964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character" w:styleId="913">
    <w:name w:val="Heading 1 Char"/>
    <w:basedOn w:val="911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11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11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11"/>
    <w:link w:val="90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11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11"/>
    <w:link w:val="90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11"/>
    <w:link w:val="9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11"/>
    <w:link w:val="9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11"/>
    <w:link w:val="9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4"/>
    <w:next w:val="964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11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4"/>
    <w:next w:val="964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11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4"/>
    <w:next w:val="964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11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8">
    <w:name w:val="List Paragraph"/>
    <w:basedOn w:val="964"/>
    <w:uiPriority w:val="34"/>
    <w:qFormat/>
    <w:pPr>
      <w:pBdr/>
      <w:spacing/>
      <w:ind w:left="720"/>
      <w:contextualSpacing w:val="true"/>
    </w:pPr>
  </w:style>
  <w:style w:type="character" w:styleId="929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4"/>
    <w:next w:val="964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11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4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9">
    <w:name w:val="Header"/>
    <w:basedOn w:val="964"/>
    <w:link w:val="9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0">
    <w:name w:val="Header Char"/>
    <w:basedOn w:val="911"/>
    <w:link w:val="939"/>
    <w:uiPriority w:val="99"/>
    <w:pPr>
      <w:pBdr/>
      <w:spacing/>
      <w:ind/>
    </w:pPr>
  </w:style>
  <w:style w:type="paragraph" w:styleId="941">
    <w:name w:val="Footer"/>
    <w:basedOn w:val="964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>
    <w:name w:val="Footer Char"/>
    <w:basedOn w:val="911"/>
    <w:link w:val="941"/>
    <w:uiPriority w:val="99"/>
    <w:pPr>
      <w:pBdr/>
      <w:spacing/>
      <w:ind/>
    </w:pPr>
  </w:style>
  <w:style w:type="paragraph" w:styleId="943">
    <w:name w:val="Caption"/>
    <w:basedOn w:val="964"/>
    <w:next w:val="9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4">
    <w:name w:val="footnote text"/>
    <w:basedOn w:val="964"/>
    <w:link w:val="9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5">
    <w:name w:val="Footnote Text Char"/>
    <w:basedOn w:val="911"/>
    <w:link w:val="944"/>
    <w:uiPriority w:val="99"/>
    <w:semiHidden/>
    <w:pPr>
      <w:pBdr/>
      <w:spacing/>
      <w:ind/>
    </w:pPr>
    <w:rPr>
      <w:sz w:val="20"/>
      <w:szCs w:val="20"/>
    </w:rPr>
  </w:style>
  <w:style w:type="character" w:styleId="946">
    <w:name w:val="foot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paragraph" w:styleId="947">
    <w:name w:val="endnote text"/>
    <w:basedOn w:val="964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>
    <w:name w:val="Endnote Text Char"/>
    <w:basedOn w:val="911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end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character" w:styleId="950">
    <w:name w:val="Hyperlink"/>
    <w:basedOn w:val="91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1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1"/>
    <w:basedOn w:val="964"/>
    <w:next w:val="964"/>
    <w:uiPriority w:val="39"/>
    <w:unhideWhenUsed/>
    <w:pPr>
      <w:pBdr/>
      <w:spacing w:after="100"/>
      <w:ind/>
    </w:pPr>
  </w:style>
  <w:style w:type="paragraph" w:styleId="953">
    <w:name w:val="toc 2"/>
    <w:basedOn w:val="964"/>
    <w:next w:val="964"/>
    <w:uiPriority w:val="39"/>
    <w:unhideWhenUsed/>
    <w:pPr>
      <w:pBdr/>
      <w:spacing w:after="100"/>
      <w:ind w:left="220"/>
    </w:pPr>
  </w:style>
  <w:style w:type="paragraph" w:styleId="954">
    <w:name w:val="toc 3"/>
    <w:basedOn w:val="964"/>
    <w:next w:val="964"/>
    <w:uiPriority w:val="39"/>
    <w:unhideWhenUsed/>
    <w:pPr>
      <w:pBdr/>
      <w:spacing w:after="100"/>
      <w:ind w:left="440"/>
    </w:pPr>
  </w:style>
  <w:style w:type="paragraph" w:styleId="955">
    <w:name w:val="toc 4"/>
    <w:basedOn w:val="964"/>
    <w:next w:val="964"/>
    <w:uiPriority w:val="39"/>
    <w:unhideWhenUsed/>
    <w:pPr>
      <w:pBdr/>
      <w:spacing w:after="100"/>
      <w:ind w:left="660"/>
    </w:pPr>
  </w:style>
  <w:style w:type="paragraph" w:styleId="956">
    <w:name w:val="toc 5"/>
    <w:basedOn w:val="964"/>
    <w:next w:val="964"/>
    <w:uiPriority w:val="39"/>
    <w:unhideWhenUsed/>
    <w:pPr>
      <w:pBdr/>
      <w:spacing w:after="100"/>
      <w:ind w:left="880"/>
    </w:pPr>
  </w:style>
  <w:style w:type="paragraph" w:styleId="957">
    <w:name w:val="toc 6"/>
    <w:basedOn w:val="964"/>
    <w:next w:val="964"/>
    <w:uiPriority w:val="39"/>
    <w:unhideWhenUsed/>
    <w:pPr>
      <w:pBdr/>
      <w:spacing w:after="100"/>
      <w:ind w:left="1100"/>
    </w:pPr>
  </w:style>
  <w:style w:type="paragraph" w:styleId="958">
    <w:name w:val="toc 7"/>
    <w:basedOn w:val="964"/>
    <w:next w:val="964"/>
    <w:uiPriority w:val="39"/>
    <w:unhideWhenUsed/>
    <w:pPr>
      <w:pBdr/>
      <w:spacing w:after="100"/>
      <w:ind w:left="1320"/>
    </w:pPr>
  </w:style>
  <w:style w:type="paragraph" w:styleId="959">
    <w:name w:val="toc 8"/>
    <w:basedOn w:val="964"/>
    <w:next w:val="964"/>
    <w:uiPriority w:val="39"/>
    <w:unhideWhenUsed/>
    <w:pPr>
      <w:pBdr/>
      <w:spacing w:after="100"/>
      <w:ind w:left="1540"/>
    </w:pPr>
  </w:style>
  <w:style w:type="paragraph" w:styleId="960">
    <w:name w:val="toc 9"/>
    <w:basedOn w:val="964"/>
    <w:next w:val="964"/>
    <w:uiPriority w:val="39"/>
    <w:unhideWhenUsed/>
    <w:pPr>
      <w:pBdr/>
      <w:spacing w:after="100"/>
      <w:ind w:left="1760"/>
    </w:pPr>
  </w:style>
  <w:style w:type="character" w:styleId="96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962">
    <w:name w:val="TOC Heading"/>
    <w:uiPriority w:val="39"/>
    <w:unhideWhenUsed/>
    <w:pPr>
      <w:pBdr/>
      <w:spacing/>
      <w:ind/>
    </w:pPr>
  </w:style>
  <w:style w:type="paragraph" w:styleId="963">
    <w:name w:val="table of figures"/>
    <w:basedOn w:val="964"/>
    <w:next w:val="964"/>
    <w:uiPriority w:val="99"/>
    <w:unhideWhenUsed/>
    <w:pPr>
      <w:pBdr/>
      <w:spacing w:after="0" w:afterAutospacing="0"/>
      <w:ind/>
    </w:pPr>
  </w:style>
  <w:style w:type="paragraph" w:styleId="964" w:default="1">
    <w:name w:val="Normal"/>
    <w:next w:val="964"/>
    <w:link w:val="964"/>
    <w:qFormat/>
    <w:pPr>
      <w:pBdr/>
      <w:spacing/>
      <w:ind/>
    </w:pPr>
    <w:rPr>
      <w:sz w:val="24"/>
      <w:szCs w:val="24"/>
      <w:lang w:val="ru-RU" w:eastAsia="zh-CN" w:bidi="ar-SA"/>
    </w:rPr>
  </w:style>
  <w:style w:type="paragraph" w:styleId="965">
    <w:name w:val="Заголовок 1"/>
    <w:basedOn w:val="964"/>
    <w:next w:val="1001"/>
    <w:link w:val="964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  <w:lang w:val="en-US"/>
    </w:rPr>
  </w:style>
  <w:style w:type="paragraph" w:styleId="966">
    <w:name w:val="Заголовок 3"/>
    <w:basedOn w:val="964"/>
    <w:next w:val="964"/>
    <w:link w:val="964"/>
    <w:qFormat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967">
    <w:name w:val="Основной шрифт абзаца"/>
    <w:next w:val="967"/>
    <w:link w:val="964"/>
    <w:uiPriority w:val="1"/>
    <w:semiHidden/>
    <w:unhideWhenUsed/>
    <w:pPr>
      <w:pBdr/>
      <w:spacing/>
      <w:ind/>
    </w:pPr>
  </w:style>
  <w:style w:type="table" w:styleId="968">
    <w:name w:val="Обычная таблица"/>
    <w:next w:val="968"/>
    <w:link w:val="964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9">
    <w:name w:val="Нет списка"/>
    <w:next w:val="969"/>
    <w:link w:val="964"/>
    <w:uiPriority w:val="99"/>
    <w:semiHidden/>
    <w:unhideWhenUsed/>
    <w:pPr>
      <w:pBdr/>
      <w:spacing/>
      <w:ind/>
    </w:pPr>
  </w:style>
  <w:style w:type="character" w:styleId="970">
    <w:name w:val="WW8Num3z0"/>
    <w:next w:val="970"/>
    <w:link w:val="964"/>
    <w:pPr>
      <w:pBdr/>
      <w:spacing/>
      <w:ind/>
    </w:pPr>
  </w:style>
  <w:style w:type="character" w:styleId="971">
    <w:name w:val="WW8Num4z0"/>
    <w:next w:val="971"/>
    <w:link w:val="964"/>
    <w:pPr>
      <w:pBdr/>
      <w:spacing/>
      <w:ind/>
    </w:pPr>
    <w:rPr>
      <w:rFonts w:ascii="Times New Roman" w:hAnsi="Times New Roman" w:cs="Times New Roman"/>
      <w:b w:val="0"/>
      <w:color w:val="000000"/>
    </w:rPr>
  </w:style>
  <w:style w:type="character" w:styleId="972">
    <w:name w:val="WW8Num5z0"/>
    <w:next w:val="972"/>
    <w:link w:val="964"/>
    <w:pPr>
      <w:pBdr/>
      <w:spacing/>
      <w:ind/>
    </w:pPr>
  </w:style>
  <w:style w:type="character" w:styleId="973">
    <w:name w:val="WW8Num6z0"/>
    <w:next w:val="973"/>
    <w:link w:val="964"/>
    <w:pPr>
      <w:pBdr/>
      <w:spacing/>
      <w:ind/>
    </w:pPr>
    <w:rPr>
      <w:color w:val="000000"/>
      <w:sz w:val="24"/>
      <w:szCs w:val="28"/>
    </w:rPr>
  </w:style>
  <w:style w:type="character" w:styleId="974">
    <w:name w:val="WW8Num8z0"/>
    <w:next w:val="974"/>
    <w:link w:val="964"/>
    <w:pPr>
      <w:pBdr/>
      <w:spacing/>
      <w:ind/>
    </w:pPr>
    <w:rPr>
      <w:b w:val="0"/>
    </w:rPr>
  </w:style>
  <w:style w:type="character" w:styleId="975">
    <w:name w:val="WW8Num9z0"/>
    <w:next w:val="975"/>
    <w:link w:val="964"/>
    <w:pPr>
      <w:pBdr/>
      <w:spacing/>
      <w:ind/>
    </w:pPr>
    <w:rPr>
      <w:rFonts w:ascii="Arial" w:hAnsi="Arial" w:cs="Arial"/>
    </w:rPr>
  </w:style>
  <w:style w:type="character" w:styleId="976">
    <w:name w:val="WW8Num9z1"/>
    <w:next w:val="976"/>
    <w:link w:val="964"/>
    <w:pPr>
      <w:pBdr/>
      <w:spacing/>
      <w:ind/>
    </w:pPr>
    <w:rPr>
      <w:rFonts w:cs="Times New Roman"/>
    </w:rPr>
  </w:style>
  <w:style w:type="character" w:styleId="977">
    <w:name w:val="WW8Num11z0"/>
    <w:next w:val="977"/>
    <w:link w:val="964"/>
    <w:pPr>
      <w:pBdr/>
      <w:spacing/>
      <w:ind/>
    </w:pPr>
    <w:rPr>
      <w:rFonts w:cs="Times New Roman"/>
      <w:b/>
      <w:i w:val="0"/>
    </w:rPr>
  </w:style>
  <w:style w:type="character" w:styleId="978">
    <w:name w:val="WW8Num11z1"/>
    <w:next w:val="978"/>
    <w:link w:val="964"/>
    <w:pPr>
      <w:pBdr/>
      <w:spacing/>
      <w:ind/>
    </w:pPr>
    <w:rPr>
      <w:rFonts w:cs="Times New Roman"/>
    </w:rPr>
  </w:style>
  <w:style w:type="character" w:styleId="979">
    <w:name w:val="WW8Num13z0"/>
    <w:next w:val="979"/>
    <w:link w:val="964"/>
    <w:pPr>
      <w:pBdr/>
      <w:spacing/>
      <w:ind/>
    </w:pPr>
  </w:style>
  <w:style w:type="character" w:styleId="980">
    <w:name w:val="WW8Num17z0"/>
    <w:next w:val="980"/>
    <w:link w:val="964"/>
    <w:pPr>
      <w:pBdr/>
      <w:spacing/>
      <w:ind/>
    </w:pPr>
    <w:rPr>
      <w:rFonts w:cs="Times New Roman"/>
    </w:rPr>
  </w:style>
  <w:style w:type="character" w:styleId="981">
    <w:name w:val="WW8Num17z1"/>
    <w:next w:val="981"/>
    <w:link w:val="964"/>
    <w:pPr>
      <w:pBdr/>
      <w:spacing/>
      <w:ind/>
    </w:pPr>
    <w:rPr>
      <w:rFonts w:cs="Times New Roman"/>
    </w:rPr>
  </w:style>
  <w:style w:type="character" w:styleId="982">
    <w:name w:val="WW8Num19z0"/>
    <w:next w:val="982"/>
    <w:link w:val="964"/>
    <w:pPr>
      <w:pBdr/>
      <w:spacing/>
      <w:ind/>
    </w:pPr>
  </w:style>
  <w:style w:type="character" w:styleId="983">
    <w:name w:val="WW8Num20z0"/>
    <w:next w:val="983"/>
    <w:link w:val="964"/>
    <w:pPr>
      <w:pBdr/>
      <w:spacing/>
      <w:ind/>
    </w:pPr>
  </w:style>
  <w:style w:type="character" w:styleId="984">
    <w:name w:val="WW8Num21z0"/>
    <w:next w:val="984"/>
    <w:link w:val="964"/>
    <w:pPr>
      <w:pBdr/>
      <w:spacing/>
      <w:ind/>
    </w:pPr>
  </w:style>
  <w:style w:type="character" w:styleId="985">
    <w:name w:val="WW8NumSt12z0"/>
    <w:next w:val="985"/>
    <w:link w:val="964"/>
    <w:pPr>
      <w:pBdr/>
      <w:spacing/>
      <w:ind/>
    </w:pPr>
    <w:rPr>
      <w:rFonts w:ascii="Times New Roman" w:hAnsi="Times New Roman" w:cs="Times New Roman"/>
    </w:rPr>
  </w:style>
  <w:style w:type="character" w:styleId="986">
    <w:name w:val="Основной шрифт абзаца2"/>
    <w:next w:val="986"/>
    <w:link w:val="964"/>
    <w:pPr>
      <w:pBdr/>
      <w:spacing/>
      <w:ind/>
    </w:pPr>
  </w:style>
  <w:style w:type="character" w:styleId="987">
    <w:name w:val="Верхний колонтитул Знак"/>
    <w:next w:val="987"/>
    <w:link w:val="964"/>
    <w:pPr>
      <w:pBdr/>
      <w:spacing/>
      <w:ind/>
    </w:pPr>
    <w:rPr>
      <w:sz w:val="24"/>
      <w:szCs w:val="24"/>
    </w:rPr>
  </w:style>
  <w:style w:type="character" w:styleId="988">
    <w:name w:val="Текст сноски Знак"/>
    <w:basedOn w:val="986"/>
    <w:next w:val="988"/>
    <w:link w:val="964"/>
    <w:pPr>
      <w:pBdr/>
      <w:spacing/>
      <w:ind/>
    </w:pPr>
  </w:style>
  <w:style w:type="character" w:styleId="989">
    <w:name w:val="Символ сноски"/>
    <w:next w:val="989"/>
    <w:link w:val="964"/>
    <w:pPr>
      <w:pBdr/>
      <w:spacing/>
      <w:ind/>
    </w:pPr>
    <w:rPr>
      <w:rFonts w:ascii="Times New Roman" w:hAnsi="Times New Roman" w:cs="Times New Roman"/>
      <w:vertAlign w:val="superscript"/>
    </w:rPr>
  </w:style>
  <w:style w:type="character" w:styleId="990">
    <w:name w:val="Текст выноски Знак"/>
    <w:next w:val="990"/>
    <w:link w:val="964"/>
    <w:pPr>
      <w:pBdr/>
      <w:spacing/>
      <w:ind/>
    </w:pPr>
    <w:rPr>
      <w:rFonts w:ascii="Tahoma" w:hAnsi="Tahoma" w:cs="Tahoma"/>
      <w:sz w:val="16"/>
      <w:szCs w:val="16"/>
    </w:rPr>
  </w:style>
  <w:style w:type="character" w:styleId="991">
    <w:name w:val="Гиперссылка"/>
    <w:next w:val="991"/>
    <w:link w:val="964"/>
    <w:pPr>
      <w:pBdr/>
      <w:spacing/>
      <w:ind/>
    </w:pPr>
    <w:rPr>
      <w:color w:val="0563c1"/>
      <w:u w:val="single"/>
    </w:rPr>
  </w:style>
  <w:style w:type="character" w:styleId="992">
    <w:name w:val="Заголовок 1 Знак"/>
    <w:next w:val="992"/>
    <w:link w:val="964"/>
    <w:pPr>
      <w:pBdr/>
      <w:spacing/>
      <w:ind/>
    </w:pPr>
    <w:rPr>
      <w:b/>
      <w:bCs/>
      <w:sz w:val="48"/>
      <w:szCs w:val="48"/>
    </w:rPr>
  </w:style>
  <w:style w:type="character" w:styleId="993">
    <w:name w:val="Абзац списка Знак"/>
    <w:next w:val="993"/>
    <w:link w:val="964"/>
    <w:pPr>
      <w:pBdr/>
      <w:spacing/>
      <w:ind/>
    </w:pPr>
    <w:rPr>
      <w:sz w:val="24"/>
      <w:szCs w:val="24"/>
    </w:rPr>
  </w:style>
  <w:style w:type="character" w:styleId="994">
    <w:name w:val="Название Знак"/>
    <w:next w:val="994"/>
    <w:link w:val="964"/>
    <w:pPr>
      <w:pBdr/>
      <w:spacing/>
      <w:ind/>
    </w:pPr>
    <w:rPr>
      <w:b/>
      <w:sz w:val="28"/>
    </w:rPr>
  </w:style>
  <w:style w:type="character" w:styleId="995">
    <w:name w:val="Нижний колонтитул Знак"/>
    <w:next w:val="995"/>
    <w:link w:val="964"/>
    <w:pPr>
      <w:pBdr/>
      <w:spacing/>
      <w:ind/>
    </w:pPr>
    <w:rPr>
      <w:sz w:val="24"/>
      <w:szCs w:val="24"/>
    </w:rPr>
  </w:style>
  <w:style w:type="character" w:styleId="996">
    <w:name w:val="Font Style20"/>
    <w:next w:val="996"/>
    <w:link w:val="964"/>
    <w:pPr>
      <w:pBdr/>
      <w:spacing/>
      <w:ind/>
    </w:pPr>
    <w:rPr>
      <w:rFonts w:ascii="Times New Roman" w:hAnsi="Times New Roman" w:cs="Times New Roman"/>
      <w:b/>
      <w:sz w:val="24"/>
    </w:rPr>
  </w:style>
  <w:style w:type="character" w:styleId="997">
    <w:name w:val="Основной шрифт абзаца1"/>
    <w:next w:val="997"/>
    <w:link w:val="964"/>
    <w:pPr>
      <w:pBdr/>
      <w:spacing/>
      <w:ind/>
    </w:pPr>
  </w:style>
  <w:style w:type="character" w:styleId="998">
    <w:name w:val="Основной текст с отступом Знак"/>
    <w:next w:val="998"/>
    <w:link w:val="964"/>
    <w:pPr>
      <w:pBdr/>
      <w:spacing/>
      <w:ind/>
    </w:pPr>
    <w:rPr>
      <w:rFonts w:eastAsia="Calibri"/>
      <w:sz w:val="24"/>
      <w:szCs w:val="24"/>
    </w:rPr>
  </w:style>
  <w:style w:type="character" w:styleId="999">
    <w:name w:val="Заголовок 3 Знак"/>
    <w:next w:val="999"/>
    <w:link w:val="964"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1000">
    <w:name w:val="Заголовок"/>
    <w:basedOn w:val="964"/>
    <w:next w:val="1001"/>
    <w:link w:val="964"/>
    <w:pPr>
      <w:pBdr/>
      <w:spacing/>
      <w:ind/>
      <w:jc w:val="center"/>
    </w:pPr>
    <w:rPr>
      <w:b/>
      <w:sz w:val="28"/>
      <w:szCs w:val="20"/>
      <w:lang w:val="en-US"/>
    </w:rPr>
  </w:style>
  <w:style w:type="paragraph" w:styleId="1001">
    <w:name w:val="Основной текст"/>
    <w:basedOn w:val="964"/>
    <w:next w:val="1001"/>
    <w:link w:val="964"/>
    <w:pPr>
      <w:pBdr/>
      <w:spacing w:after="140" w:before="0" w:line="276" w:lineRule="auto"/>
      <w:ind/>
    </w:pPr>
  </w:style>
  <w:style w:type="paragraph" w:styleId="1002">
    <w:name w:val="Список"/>
    <w:basedOn w:val="1001"/>
    <w:next w:val="1002"/>
    <w:link w:val="964"/>
    <w:pPr>
      <w:pBdr/>
      <w:spacing/>
      <w:ind/>
    </w:pPr>
    <w:rPr>
      <w:rFonts w:cs="Noto Sans"/>
    </w:rPr>
  </w:style>
  <w:style w:type="paragraph" w:styleId="1003">
    <w:name w:val="Название объекта"/>
    <w:basedOn w:val="964"/>
    <w:next w:val="1003"/>
    <w:link w:val="964"/>
    <w:qFormat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1004">
    <w:name w:val="Указатель1"/>
    <w:basedOn w:val="964"/>
    <w:next w:val="1004"/>
    <w:link w:val="964"/>
    <w:pPr>
      <w:suppressLineNumbers w:val="true"/>
      <w:pBdr/>
      <w:spacing/>
      <w:ind/>
    </w:pPr>
    <w:rPr>
      <w:rFonts w:cs="Noto Sans"/>
    </w:rPr>
  </w:style>
  <w:style w:type="paragraph" w:styleId="1005">
    <w:name w:val="Header and Footer"/>
    <w:basedOn w:val="964"/>
    <w:next w:val="1005"/>
    <w:link w:val="96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06">
    <w:name w:val="Верхний колонтитул"/>
    <w:basedOn w:val="964"/>
    <w:next w:val="1006"/>
    <w:link w:val="964"/>
    <w:pPr>
      <w:pBdr/>
      <w:spacing/>
      <w:ind/>
    </w:pPr>
    <w:rPr>
      <w:lang w:val="en-US"/>
    </w:rPr>
  </w:style>
  <w:style w:type="paragraph" w:styleId="1007">
    <w:name w:val="Текст сноски"/>
    <w:basedOn w:val="964"/>
    <w:next w:val="1007"/>
    <w:link w:val="964"/>
    <w:pPr>
      <w:pBdr/>
      <w:spacing/>
      <w:ind/>
    </w:pPr>
    <w:rPr>
      <w:sz w:val="20"/>
      <w:szCs w:val="20"/>
    </w:rPr>
  </w:style>
  <w:style w:type="paragraph" w:styleId="1008">
    <w:name w:val="Текст выноски"/>
    <w:basedOn w:val="964"/>
    <w:next w:val="1008"/>
    <w:link w:val="964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paragraph" w:styleId="1009">
    <w:name w:val="ConsPlusNormal"/>
    <w:next w:val="1009"/>
    <w:link w:val="964"/>
    <w:pPr>
      <w:widowControl w:val="false"/>
      <w:pBdr/>
      <w:spacing/>
      <w:ind/>
    </w:pPr>
    <w:rPr>
      <w:rFonts w:ascii="Arial" w:hAnsi="Arial" w:cs="Arial"/>
      <w:lang w:val="ru-RU" w:eastAsia="zh-CN" w:bidi="ar-SA"/>
    </w:rPr>
  </w:style>
  <w:style w:type="paragraph" w:styleId="1010">
    <w:name w:val="Абзац списка"/>
    <w:basedOn w:val="964"/>
    <w:next w:val="1010"/>
    <w:link w:val="964"/>
    <w:qFormat/>
    <w:pPr>
      <w:pBdr/>
      <w:spacing w:after="0" w:before="0"/>
      <w:ind w:right="0" w:firstLine="0" w:left="720"/>
      <w:contextualSpacing w:val="true"/>
    </w:pPr>
    <w:rPr>
      <w:lang w:val="en-US"/>
    </w:rPr>
  </w:style>
  <w:style w:type="paragraph" w:styleId="1011">
    <w:name w:val="ConsPlusNonformat"/>
    <w:next w:val="1011"/>
    <w:link w:val="964"/>
    <w:pPr>
      <w:pBdr/>
      <w:spacing/>
      <w:ind/>
    </w:pPr>
    <w:rPr>
      <w:rFonts w:ascii="Courier New" w:hAnsi="Courier New" w:cs="Courier New"/>
      <w:sz w:val="24"/>
      <w:szCs w:val="24"/>
      <w:lang w:val="ru-RU" w:eastAsia="zh-CN" w:bidi="ar-SA"/>
    </w:rPr>
  </w:style>
  <w:style w:type="paragraph" w:styleId="1012">
    <w:name w:val="Нижний колонтитул"/>
    <w:basedOn w:val="964"/>
    <w:next w:val="1012"/>
    <w:link w:val="964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1013">
    <w:name w:val="Без интервала"/>
    <w:next w:val="1013"/>
    <w:link w:val="964"/>
    <w:qFormat/>
    <w:pPr>
      <w:pBdr/>
      <w:spacing/>
      <w:ind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1014">
    <w:name w:val="Основной текст с отступом"/>
    <w:basedOn w:val="964"/>
    <w:next w:val="1014"/>
    <w:link w:val="964"/>
    <w:pPr>
      <w:pBdr/>
      <w:spacing/>
      <w:ind w:right="0" w:firstLine="0" w:left="420"/>
    </w:pPr>
    <w:rPr>
      <w:rFonts w:eastAsia="Calibri"/>
      <w:lang w:val="en-US"/>
    </w:rPr>
  </w:style>
  <w:style w:type="paragraph" w:styleId="1015">
    <w:name w:val="Содержимое таблицы"/>
    <w:basedOn w:val="964"/>
    <w:next w:val="1015"/>
    <w:link w:val="964"/>
    <w:pPr>
      <w:widowControl w:val="false"/>
      <w:suppressLineNumbers w:val="true"/>
      <w:pBdr/>
      <w:spacing/>
      <w:ind/>
    </w:pPr>
  </w:style>
  <w:style w:type="paragraph" w:styleId="1016">
    <w:name w:val="Заголовок таблицы"/>
    <w:basedOn w:val="1015"/>
    <w:next w:val="1016"/>
    <w:link w:val="964"/>
    <w:pPr>
      <w:suppressLineNumbers w:val="true"/>
      <w:pBdr/>
      <w:spacing/>
      <w:ind/>
      <w:jc w:val="center"/>
    </w:pPr>
    <w:rPr>
      <w:b/>
      <w:bCs/>
    </w:rPr>
  </w:style>
  <w:style w:type="paragraph" w:styleId="1017">
    <w:name w:val="Содержимое врезки"/>
    <w:basedOn w:val="964"/>
    <w:next w:val="1017"/>
    <w:link w:val="96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 №</dc:title>
  <dc:creator>Сподин А.</dc:creator>
  <cp:revision>9</cp:revision>
  <dcterms:created xsi:type="dcterms:W3CDTF">2022-09-07T08:53:00Z</dcterms:created>
  <dcterms:modified xsi:type="dcterms:W3CDTF">2026-07-28T11:29:05Z</dcterms:modified>
  <cp:version>983040</cp:version>
</cp:coreProperties>
</file>