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ОПИСАНИЕ ОБЪЕКТА ЗАКУПКИ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80"/>
        <w:contextualSpacing/>
        <w:ind w:firstLine="283"/>
        <w:jc w:val="both"/>
        <w:spacing w:before="0" w:beforeAutospacing="0" w:after="0" w:afterAutospacing="0"/>
        <w:rPr>
          <w:highlight w:val="none"/>
        </w:rPr>
      </w:pPr>
      <w:r>
        <w:rPr>
          <w:b/>
        </w:rPr>
        <w:t xml:space="preserve">1. Наименование объекта закупки:</w:t>
      </w:r>
      <w:r>
        <w:t xml:space="preserve"> Оказание услуг по проведению ежегодного технического осмотра транспортных сре</w:t>
      </w:r>
      <w:r>
        <w:t xml:space="preserve">дств с в</w:t>
      </w:r>
      <w:r>
        <w:t xml:space="preserve">ыдачей диагностической карты для служебного автотранспорта для нужд МТУ Рост</w:t>
      </w:r>
      <w:r>
        <w:t xml:space="preserve">ранснадзора по СЗФО (г. Псков</w:t>
      </w:r>
      <w:r>
        <w:t xml:space="preserve">).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0"/>
        <w:contextualSpacing/>
        <w:ind w:firstLine="283"/>
        <w:jc w:val="both"/>
        <w:spacing w:before="0" w:beforeAutospacing="0" w:after="0" w:afterAutospacing="0"/>
      </w:pPr>
      <w:r>
        <w:rPr>
          <w:b/>
          <w:bCs/>
        </w:rPr>
        <w:t xml:space="preserve">2. Место оказания услуг:</w:t>
      </w:r>
      <w:r>
        <w:t xml:space="preserve"> г. Псков.</w:t>
      </w:r>
      <w:r/>
    </w:p>
    <w:p>
      <w:pPr>
        <w:pStyle w:val="880"/>
        <w:contextualSpacing/>
        <w:ind w:firstLine="283"/>
        <w:jc w:val="both"/>
        <w:spacing w:before="0" w:beforeAutospacing="0" w:after="0" w:afterAutospacing="0"/>
      </w:pPr>
      <w:r>
        <w:rPr>
          <w:b/>
          <w:bCs/>
        </w:rPr>
        <w:t xml:space="preserve">3. Срок оказания услуг: </w:t>
      </w:r>
      <w:r>
        <w:t xml:space="preserve">с момента заключения контракта по 30.11.2026 года.</w:t>
      </w:r>
      <w:r/>
    </w:p>
    <w:p>
      <w:pPr>
        <w:pStyle w:val="880"/>
        <w:contextualSpacing/>
        <w:ind w:firstLine="283"/>
        <w:jc w:val="both"/>
        <w:spacing w:before="0" w:beforeAutospacing="0" w:after="0" w:afterAutospacing="0"/>
      </w:pPr>
      <w:r>
        <w:rPr>
          <w:b/>
          <w:bCs/>
        </w:rPr>
        <w:t xml:space="preserve">4. Требования к услугам:</w:t>
      </w:r>
      <w:r>
        <w:t xml:space="preserve"> По окончанию проведения Технического осмотра Исполнитель </w:t>
      </w:r>
      <w:r>
        <w:t xml:space="preserve">представляет Заказчику транспортное средство</w:t>
      </w:r>
      <w:r>
        <w:t xml:space="preserve"> и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 </w:t>
      </w:r>
      <w:r/>
    </w:p>
    <w:p>
      <w:pPr>
        <w:pStyle w:val="880"/>
        <w:contextualSpacing/>
        <w:ind w:firstLine="283"/>
        <w:jc w:val="both"/>
        <w:spacing w:before="0" w:beforeAutospacing="0" w:after="0" w:afterAutospacing="0"/>
      </w:pPr>
      <w:r>
        <w:t xml:space="preserve">Услуги выполняются в соответствии с Правилами проведения технического осмотра транспортных средств.</w:t>
      </w:r>
      <w:r/>
    </w:p>
    <w:p>
      <w:pPr>
        <w:pStyle w:val="880"/>
        <w:contextualSpacing/>
        <w:ind w:firstLine="283"/>
        <w:jc w:val="both"/>
        <w:spacing w:before="0" w:beforeAutospacing="0" w:after="0" w:afterAutospacing="0"/>
      </w:pPr>
      <w:r>
        <w:t xml:space="preserve">Перечень автомобилей указан в таблице № 1.</w:t>
      </w:r>
      <w:r/>
    </w:p>
    <w:p>
      <w:pPr>
        <w:pStyle w:val="880"/>
        <w:contextualSpacing/>
        <w:ind w:firstLine="283"/>
        <w:jc w:val="both"/>
        <w:spacing w:before="0" w:beforeAutospacing="0" w:after="0" w:afterAutospacing="0"/>
        <w:rPr>
          <w:rFonts w:ascii="Arial" w:hAnsi="Arial" w:cs="Arial"/>
        </w:rPr>
      </w:pPr>
      <w:r>
        <w:t xml:space="preserve">Техосмотр проводится в течение 5-и рабочих дней с момента получения заявки от Заказчика. Заявки подаются в письменном виде либо с использованием сре</w:t>
      </w:r>
      <w:r>
        <w:t xml:space="preserve">дств св</w:t>
      </w:r>
      <w:r>
        <w:t xml:space="preserve">язи (посредством электронной почты).</w:t>
      </w:r>
      <w:r>
        <w:rPr>
          <w:rFonts w:ascii="Arial" w:hAnsi="Arial" w:cs="Arial"/>
        </w:rPr>
      </w:r>
    </w:p>
    <w:p>
      <w:pPr>
        <w:pStyle w:val="880"/>
        <w:contextualSpacing/>
        <w:ind w:firstLine="283"/>
        <w:jc w:val="both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</w:rPr>
        <w:t xml:space="preserve">5. Нормативные правовые акты, в соответствии с которыми осуществляется оказание услуг:</w:t>
      </w:r>
      <w:r>
        <w:rPr>
          <w:rFonts w:ascii="Arial" w:hAnsi="Arial" w:cs="Arial"/>
        </w:rPr>
      </w:r>
    </w:p>
    <w:p>
      <w:pPr>
        <w:pStyle w:val="880"/>
        <w:numPr>
          <w:ilvl w:val="0"/>
          <w:numId w:val="12"/>
        </w:numPr>
        <w:contextualSpacing/>
        <w:ind w:left="283" w:firstLine="775"/>
        <w:jc w:val="both"/>
        <w:spacing w:before="0" w:beforeAutospacing="0" w:after="0" w:afterAutospacing="0"/>
      </w:pPr>
      <w:r>
        <w:t xml:space="preserve">Постановление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Федерации»;</w:t>
      </w:r>
      <w:r/>
    </w:p>
    <w:p>
      <w:pPr>
        <w:pStyle w:val="880"/>
        <w:numPr>
          <w:ilvl w:val="0"/>
          <w:numId w:val="11"/>
        </w:numPr>
        <w:contextualSpacing/>
        <w:ind w:left="283" w:firstLine="775"/>
        <w:jc w:val="both"/>
        <w:spacing w:before="0" w:beforeAutospacing="0" w:after="0" w:afterAutospacing="0"/>
      </w:pPr>
      <w:r>
        <w:t xml:space="preserve">Федеральный закон от 10.12.1995 № 196-ФЗ «О безопасности дорожного движения»;</w:t>
      </w:r>
      <w:r/>
    </w:p>
    <w:p>
      <w:pPr>
        <w:pStyle w:val="880"/>
        <w:numPr>
          <w:ilvl w:val="0"/>
          <w:numId w:val="11"/>
        </w:numPr>
        <w:contextualSpacing/>
        <w:ind w:left="283" w:firstLine="775"/>
        <w:jc w:val="both"/>
        <w:spacing w:before="0" w:beforeAutospacing="0" w:after="0" w:afterAutospacing="0"/>
      </w:pPr>
      <w:r>
        <w:t xml:space="preserve">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  <w:r/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</w:rPr>
      </w:pP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</w:rPr>
        <w:t xml:space="preserve">Таблица 1</w:t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tbl>
      <w:tblPr>
        <w:tblStyle w:val="729"/>
        <w:tblpPr w:horzAnchor="margin" w:tblpXSpec="left" w:vertAnchor="margin" w:tblpY="1290" w:leftFromText="180" w:topFromText="0" w:rightFromText="180" w:bottomFromText="0"/>
        <w:tblW w:w="12582" w:type="dxa"/>
        <w:tblLook w:val="04A0" w:firstRow="1" w:lastRow="0" w:firstColumn="1" w:lastColumn="0" w:noHBand="0" w:noVBand="1"/>
      </w:tblPr>
      <w:tblGrid>
        <w:gridCol w:w="575"/>
        <w:gridCol w:w="2085"/>
        <w:gridCol w:w="2410"/>
        <w:gridCol w:w="2268"/>
        <w:gridCol w:w="2126"/>
        <w:gridCol w:w="3118"/>
      </w:tblGrid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Марка ТС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г.р.з</w:t>
            </w:r>
            <w:r>
              <w:rPr>
                <w:sz w:val="32"/>
                <w:szCs w:val="32"/>
              </w:rPr>
              <w:t xml:space="preserve">. №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Категория ТС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Год выпуска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VIN</w:t>
            </w:r>
            <w:r>
              <w:rPr>
                <w:sz w:val="32"/>
                <w:szCs w:val="32"/>
              </w:rPr>
              <w:t xml:space="preserve"> №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Лада-Гранта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Р403РТ198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ХТА219010К0632419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Лада-Гранта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Р349РЕ198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ХТА219010К0632417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Лада-Гранта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Р848РВ198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ХТА219010</w:t>
            </w:r>
            <w:r>
              <w:rPr>
                <w:sz w:val="28"/>
                <w:szCs w:val="28"/>
                <w:lang w:val="en-US"/>
              </w:rPr>
              <w:t xml:space="preserve">L0660036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Рено-</w:t>
            </w:r>
            <w:r>
              <w:rPr>
                <w:sz w:val="28"/>
                <w:szCs w:val="28"/>
              </w:rPr>
              <w:t xml:space="preserve">Меган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Р452РТ198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XF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  <w:t xml:space="preserve">LM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  <w:t xml:space="preserve">BOH</w:t>
            </w:r>
            <w:r>
              <w:rPr>
                <w:sz w:val="28"/>
                <w:szCs w:val="28"/>
              </w:rPr>
              <w:t xml:space="preserve">36586285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Рено-</w:t>
            </w:r>
            <w:r>
              <w:rPr>
                <w:sz w:val="28"/>
                <w:szCs w:val="28"/>
              </w:rPr>
              <w:t xml:space="preserve">Логан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Р904РС198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M1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  <w:lang w:val="en-US"/>
              </w:rPr>
              <w:t xml:space="preserve">LLSRB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  <w:t xml:space="preserve">HBH</w:t>
            </w:r>
            <w:r>
              <w:rPr>
                <w:sz w:val="28"/>
                <w:szCs w:val="28"/>
              </w:rPr>
              <w:t xml:space="preserve">476156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ГАЗ-2705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Р938РС198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N1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XTH270500T0010604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5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Газ </w:t>
            </w:r>
            <w:r>
              <w:rPr>
                <w:sz w:val="28"/>
                <w:szCs w:val="28"/>
                <w:lang w:val="en-US"/>
              </w:rPr>
              <w:t xml:space="preserve">1992SC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</w:t>
            </w:r>
            <w:r>
              <w:rPr>
                <w:sz w:val="28"/>
                <w:szCs w:val="28"/>
              </w:rPr>
              <w:t xml:space="preserve">286</w:t>
            </w:r>
            <w:r>
              <w:rPr>
                <w:sz w:val="28"/>
                <w:szCs w:val="28"/>
                <w:lang w:val="en-US"/>
              </w:rPr>
              <w:t xml:space="preserve">P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  <w:lang w:val="en-US"/>
              </w:rPr>
              <w:t xml:space="preserve">198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N1</w:t>
            </w:r>
            <w:r>
              <w:rPr>
                <w:sz w:val="28"/>
                <w:szCs w:val="28"/>
              </w:rPr>
              <w:t xml:space="preserve"> (спец)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ХЕ81992</w:t>
            </w:r>
            <w:r>
              <w:rPr>
                <w:sz w:val="28"/>
                <w:szCs w:val="28"/>
                <w:lang w:val="en-US"/>
              </w:rPr>
              <w:t xml:space="preserve">SC</w:t>
            </w:r>
            <w:r>
              <w:rPr>
                <w:sz w:val="28"/>
                <w:szCs w:val="28"/>
              </w:rPr>
              <w:t xml:space="preserve">К0000064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0"/>
        <w:contextualSpacing/>
        <w:ind w:firstLine="0"/>
        <w:jc w:val="left"/>
        <w:spacing w:before="0" w:beforeAutospacing="0" w:after="0" w:afterAutospacing="0"/>
        <w:rPr>
          <w:rFonts w:eastAsia="Calibri"/>
          <w:b/>
          <w:bCs/>
          <w:highlight w:val="non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</w:rPr>
      </w:pP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</w:rPr>
      </w:pP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pStyle w:val="880"/>
        <w:contextualSpacing/>
        <w:ind w:firstLine="709"/>
        <w:jc w:val="right"/>
        <w:spacing w:before="0" w:beforeAutospacing="0" w:after="0" w:afterAutospacing="0"/>
        <w:rPr>
          <w:rFonts w:eastAsia="Calibri"/>
          <w:b/>
          <w:bCs/>
        </w:rPr>
      </w:pPr>
      <w:r>
        <w:rPr>
          <w:rFonts w:eastAsia="Calibri"/>
          <w:b/>
          <w:bCs/>
        </w:rPr>
      </w:r>
      <w:r/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709" w:right="709" w:bottom="426" w:left="709" w:header="284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00" w:hanging="660"/>
      </w:pPr>
      <w:rPr>
        <w:lang w:val="ru-RU" w:eastAsia="en-US" w:bidi="ar-SA"/>
      </w:rPr>
    </w:lvl>
    <w:lvl w:ilvl="1">
      <w:start w:val="29"/>
      <w:numFmt w:val="decimal"/>
      <w:isLgl w:val="false"/>
      <w:suff w:val="tab"/>
      <w:lvlText w:val="%1.%2"/>
      <w:lvlJc w:val="left"/>
      <w:pPr>
        <w:ind w:left="800" w:hanging="660"/>
      </w:pPr>
      <w:rPr>
        <w:lang w:val="ru-RU" w:eastAsia="en-US" w:bidi="ar-SA"/>
      </w:rPr>
    </w:lvl>
    <w:lvl w:ilvl="2">
      <w:start w:val="1"/>
      <w:numFmt w:val="decimal"/>
      <w:isLgl w:val="false"/>
      <w:suff w:val="tab"/>
      <w:lvlText w:val="%1.%2.%3"/>
      <w:lvlJc w:val="left"/>
      <w:pPr>
        <w:ind w:left="800" w:hanging="660"/>
      </w:pPr>
      <w:rPr>
        <w:rFonts w:ascii="Times New Roman" w:hAnsi="Times New Roman" w:eastAsia="Times New Roman" w:cs="Times New Roman"/>
        <w:spacing w:val="-1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82" w:hanging="66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76" w:hanging="66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70" w:hanging="66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64" w:hanging="66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58" w:hanging="66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52" w:hanging="660"/>
      </w:pPr>
      <w:rPr>
        <w:lang w:val="ru-RU" w:eastAsia="en-US" w:bidi="ar-SA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40" w:hanging="376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40" w:hanging="376"/>
      </w:pPr>
      <w:rPr>
        <w:rFonts w:ascii="Times New Roman" w:hAnsi="Times New Roman" w:eastAsia="Times New Roman" w:cs="Times New Roman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0" w:hanging="376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0" w:hanging="37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80" w:hanging="37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40" w:hanging="37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00" w:hanging="37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60" w:hanging="37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20" w:hanging="376"/>
      </w:pPr>
      <w:rPr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44" w:hanging="165"/>
      </w:pPr>
      <w:rPr>
        <w:rFonts w:ascii="Times New Roman" w:hAnsi="Times New Roman" w:eastAsia="Times New Roman" w:cs="Times New Roman"/>
        <w:b/>
        <w:bCs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76" w:hanging="376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●"/>
      <w:lvlJc w:val="left"/>
      <w:pPr>
        <w:ind w:left="1195" w:hanging="155"/>
      </w:pPr>
      <w:rPr>
        <w:rFonts w:ascii="Arial" w:hAnsi="Arial" w:eastAsia="Arial" w:cs="Arial"/>
        <w:spacing w:val="-1"/>
        <w:position w:val="3"/>
        <w:sz w:val="9"/>
        <w:szCs w:val="9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92" w:hanging="155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85" w:hanging="155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77" w:hanging="155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70" w:hanging="155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62" w:hanging="155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55" w:hanging="155"/>
      </w:pPr>
      <w:rPr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</w:num>
  <w:num w:numId="2">
    <w:abstractNumId w:val="2"/>
    <w:lvlOverride w:ilvl="0">
      <w:startOverride w:val="2"/>
    </w:lvlOverride>
    <w:lvlOverride w:ilvl="1">
      <w:startOverride w:val="29"/>
    </w:lvlOverride>
    <w:lvlOverride w:ilvl="2">
      <w:startOverride w:val="1"/>
    </w:lvlOverride>
  </w:num>
  <w:num w:numId="3">
    <w:abstractNumId w:val="5"/>
  </w:num>
  <w:num w:numId="4">
    <w:abstractNumId w:val="6"/>
    <w:lvlOverride w:ilvl="0">
      <w:startOverride w:val="6"/>
    </w:lvlOverride>
    <w:lvlOverride w:ilvl="1">
      <w:startOverride w:val="1"/>
    </w:lvlOverride>
  </w:num>
  <w:num w:numId="5">
    <w:abstractNumId w:val="9"/>
  </w:num>
  <w:num w:numId="6">
    <w:abstractNumId w:val="3"/>
  </w:num>
  <w:num w:numId="7">
    <w:abstractNumId w:val="11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1"/>
    <w:link w:val="715"/>
    <w:uiPriority w:val="10"/>
    <w:rPr>
      <w:sz w:val="48"/>
      <w:szCs w:val="48"/>
    </w:rPr>
  </w:style>
  <w:style w:type="character" w:styleId="37">
    <w:name w:val="Subtitle Char"/>
    <w:basedOn w:val="701"/>
    <w:link w:val="717"/>
    <w:uiPriority w:val="11"/>
    <w:rPr>
      <w:sz w:val="24"/>
      <w:szCs w:val="24"/>
    </w:rPr>
  </w:style>
  <w:style w:type="character" w:styleId="39">
    <w:name w:val="Quote Char"/>
    <w:link w:val="719"/>
    <w:uiPriority w:val="29"/>
    <w:rPr>
      <w:i/>
    </w:rPr>
  </w:style>
  <w:style w:type="character" w:styleId="41">
    <w:name w:val="Intense Quote Char"/>
    <w:link w:val="721"/>
    <w:uiPriority w:val="30"/>
    <w:rPr>
      <w:i/>
    </w:rPr>
  </w:style>
  <w:style w:type="character" w:styleId="176">
    <w:name w:val="Footnote Text Char"/>
    <w:link w:val="856"/>
    <w:uiPriority w:val="99"/>
    <w:rPr>
      <w:sz w:val="18"/>
    </w:rPr>
  </w:style>
  <w:style w:type="character" w:styleId="179">
    <w:name w:val="Endnote Text Char"/>
    <w:link w:val="859"/>
    <w:uiPriority w:val="99"/>
    <w:rPr>
      <w:sz w:val="20"/>
    </w:rPr>
  </w:style>
  <w:style w:type="paragraph" w:styleId="691" w:default="1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692">
    <w:name w:val="Heading 1"/>
    <w:basedOn w:val="691"/>
    <w:next w:val="691"/>
    <w:link w:val="891"/>
    <w:uiPriority w:val="9"/>
    <w:qFormat/>
    <w:pPr>
      <w:keepLines/>
      <w:keepNext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ar-SA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No Spacing"/>
    <w:link w:val="897"/>
    <w:qFormat/>
    <w:rPr>
      <w:sz w:val="24"/>
      <w:szCs w:val="24"/>
      <w:lang w:eastAsia="ru-RU"/>
    </w:rPr>
  </w:style>
  <w:style w:type="paragraph" w:styleId="715">
    <w:name w:val="Title"/>
    <w:basedOn w:val="691"/>
    <w:next w:val="691"/>
    <w:link w:val="716"/>
    <w:uiPriority w:val="10"/>
    <w:qFormat/>
    <w:pPr>
      <w:contextualSpacing/>
      <w:spacing w:before="300"/>
    </w:pPr>
    <w:rPr>
      <w:sz w:val="48"/>
      <w:szCs w:val="48"/>
    </w:rPr>
  </w:style>
  <w:style w:type="character" w:styleId="716" w:customStyle="1">
    <w:name w:val="Название Знак"/>
    <w:link w:val="715"/>
    <w:uiPriority w:val="10"/>
    <w:rPr>
      <w:sz w:val="48"/>
      <w:szCs w:val="48"/>
    </w:rPr>
  </w:style>
  <w:style w:type="paragraph" w:styleId="717">
    <w:name w:val="Subtitle"/>
    <w:basedOn w:val="691"/>
    <w:next w:val="691"/>
    <w:link w:val="718"/>
    <w:uiPriority w:val="11"/>
    <w:qFormat/>
    <w:pPr>
      <w:spacing w:before="200"/>
    </w:pPr>
    <w:rPr>
      <w:sz w:val="24"/>
      <w:szCs w:val="24"/>
    </w:rPr>
  </w:style>
  <w:style w:type="character" w:styleId="718" w:customStyle="1">
    <w:name w:val="Подзаголовок Знак"/>
    <w:link w:val="717"/>
    <w:uiPriority w:val="11"/>
    <w:rPr>
      <w:sz w:val="24"/>
      <w:szCs w:val="24"/>
    </w:rPr>
  </w:style>
  <w:style w:type="paragraph" w:styleId="719">
    <w:name w:val="Quote"/>
    <w:basedOn w:val="691"/>
    <w:next w:val="691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1"/>
    <w:next w:val="691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91"/>
    <w:link w:val="90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4" w:customStyle="1">
    <w:name w:val="Header Char"/>
    <w:uiPriority w:val="99"/>
  </w:style>
  <w:style w:type="paragraph" w:styleId="725">
    <w:name w:val="Footer"/>
    <w:basedOn w:val="691"/>
    <w:link w:val="901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6" w:customStyle="1">
    <w:name w:val="Footer Char"/>
    <w:uiPriority w:val="99"/>
  </w:style>
  <w:style w:type="paragraph" w:styleId="727">
    <w:name w:val="Caption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uiPriority w:val="99"/>
  </w:style>
  <w:style w:type="table" w:styleId="729">
    <w:name w:val="Table Grid"/>
    <w:basedOn w:val="702"/>
    <w:uiPriority w:val="59"/>
    <w:tblPr/>
  </w:style>
  <w:style w:type="table" w:styleId="7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/>
      <w:u w:val="single"/>
    </w:rPr>
  </w:style>
  <w:style w:type="paragraph" w:styleId="856">
    <w:name w:val="footnote text"/>
    <w:basedOn w:val="691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uiPriority w:val="99"/>
    <w:qFormat/>
    <w:rPr>
      <w:rFonts w:cs="Times New Roman"/>
      <w:vertAlign w:val="superscript"/>
    </w:rPr>
  </w:style>
  <w:style w:type="paragraph" w:styleId="859">
    <w:name w:val="endnote text"/>
    <w:basedOn w:val="691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91"/>
    <w:next w:val="691"/>
    <w:uiPriority w:val="39"/>
    <w:unhideWhenUsed/>
    <w:pPr>
      <w:spacing w:after="57"/>
    </w:pPr>
  </w:style>
  <w:style w:type="paragraph" w:styleId="863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4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5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6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7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8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9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0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1"/>
    <w:next w:val="691"/>
    <w:uiPriority w:val="99"/>
    <w:unhideWhenUsed/>
    <w:pPr>
      <w:spacing w:after="0"/>
    </w:pPr>
  </w:style>
  <w:style w:type="paragraph" w:styleId="873" w:customStyle="1">
    <w:name w:val="ConsPlusNormal"/>
    <w:link w:val="874"/>
    <w:rPr>
      <w:rFonts w:ascii="Arial" w:hAnsi="Arial" w:eastAsia="Calibri" w:cs="Arial"/>
      <w:sz w:val="22"/>
      <w:szCs w:val="22"/>
      <w:lang w:eastAsia="en-US"/>
    </w:rPr>
  </w:style>
  <w:style w:type="character" w:styleId="874" w:customStyle="1">
    <w:name w:val="ConsPlusNormal Знак"/>
    <w:link w:val="873"/>
    <w:rPr>
      <w:rFonts w:ascii="Arial" w:hAnsi="Arial" w:eastAsia="Calibri" w:cs="Arial"/>
      <w:sz w:val="22"/>
      <w:szCs w:val="22"/>
      <w:lang w:eastAsia="en-US" w:bidi="ar-SA"/>
    </w:rPr>
  </w:style>
  <w:style w:type="paragraph" w:styleId="875" w:customStyle="1">
    <w:name w:val="ConsNormal"/>
    <w:link w:val="876"/>
    <w:pPr>
      <w:ind w:right="19772" w:firstLine="720"/>
    </w:pPr>
    <w:rPr>
      <w:rFonts w:ascii="Arial" w:hAnsi="Arial" w:cs="Arial"/>
      <w:sz w:val="22"/>
      <w:szCs w:val="22"/>
      <w:lang w:eastAsia="ru-RU"/>
    </w:rPr>
  </w:style>
  <w:style w:type="character" w:styleId="876" w:customStyle="1">
    <w:name w:val="ConsNormal Знак"/>
    <w:link w:val="875"/>
    <w:rPr>
      <w:rFonts w:ascii="Arial" w:hAnsi="Arial" w:cs="Arial"/>
      <w:sz w:val="22"/>
      <w:szCs w:val="22"/>
      <w:lang w:val="ru-RU" w:eastAsia="ru-RU" w:bidi="ar-SA"/>
    </w:rPr>
  </w:style>
  <w:style w:type="character" w:styleId="877" w:customStyle="1">
    <w:name w:val="Font Style15"/>
    <w:uiPriority w:val="99"/>
    <w:rPr>
      <w:rFonts w:ascii="Times New Roman" w:hAnsi="Times New Roman" w:cs="Times New Roman"/>
      <w:sz w:val="20"/>
      <w:szCs w:val="20"/>
    </w:rPr>
  </w:style>
  <w:style w:type="character" w:styleId="878" w:customStyle="1">
    <w:name w:val="Абзац списка Знак;Абзац списка литеральный Знак;Маркер Знак;1 Знак;UL Знак;Абзац маркированнный Знак;Table-Normal Знак;RSHB_Table-Normal Знак;Предусловия Знак"/>
    <w:link w:val="879"/>
    <w:uiPriority w:val="34"/>
    <w:rPr>
      <w:rFonts w:ascii="Times New Roman" w:hAnsi="Times New Roman"/>
      <w:lang w:val="en-US" w:eastAsia="en-US"/>
    </w:rPr>
  </w:style>
  <w:style w:type="paragraph" w:styleId="879" w:customStyle="1">
    <w:name w:val="Абзац списка;Абзац списка литеральный;Маркер;1;UL;Абзац маркированнный;Table-Normal;RSHB_Table-Normal;Предусловия"/>
    <w:basedOn w:val="691"/>
    <w:link w:val="878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880">
    <w:name w:val="Normal (Web)"/>
    <w:basedOn w:val="69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81">
    <w:name w:val="Strong"/>
    <w:uiPriority w:val="22"/>
    <w:qFormat/>
    <w:rPr>
      <w:b/>
      <w:bCs/>
    </w:rPr>
  </w:style>
  <w:style w:type="character" w:styleId="882" w:customStyle="1">
    <w:name w:val="fill"/>
    <w:basedOn w:val="701"/>
  </w:style>
  <w:style w:type="paragraph" w:styleId="883">
    <w:name w:val="Balloon Text"/>
    <w:basedOn w:val="691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link w:val="883"/>
    <w:uiPriority w:val="99"/>
    <w:semiHidden/>
    <w:rPr>
      <w:rFonts w:ascii="Tahoma" w:hAnsi="Tahoma" w:cs="Tahoma"/>
      <w:sz w:val="16"/>
      <w:szCs w:val="16"/>
    </w:rPr>
  </w:style>
  <w:style w:type="character" w:styleId="885" w:customStyle="1">
    <w:name w:val="Заголовок 1 Знак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886">
    <w:name w:val="Body Text Indent"/>
    <w:basedOn w:val="691"/>
    <w:link w:val="888"/>
    <w:pPr>
      <w:ind w:left="283"/>
      <w:spacing w:after="120" w:line="240" w:lineRule="auto"/>
      <w:widowControl w:val="off"/>
    </w:pPr>
    <w:rPr>
      <w:rFonts w:ascii="Arial" w:hAnsi="Arial" w:eastAsia="Lucida Sans Unicode" w:cs="Mangal"/>
      <w:sz w:val="20"/>
      <w:szCs w:val="24"/>
      <w:lang w:val="en-US" w:eastAsia="hi-IN" w:bidi="hi-IN"/>
    </w:rPr>
  </w:style>
  <w:style w:type="character" w:styleId="887" w:customStyle="1">
    <w:name w:val="Основной текст с отступом Знак"/>
    <w:uiPriority w:val="99"/>
    <w:semiHidden/>
    <w:rPr>
      <w:sz w:val="22"/>
      <w:szCs w:val="22"/>
    </w:rPr>
  </w:style>
  <w:style w:type="character" w:styleId="888" w:customStyle="1">
    <w:name w:val="Основной текст с отступом Знак1"/>
    <w:link w:val="886"/>
    <w:rPr>
      <w:rFonts w:ascii="Arial" w:hAnsi="Arial" w:eastAsia="Lucida Sans Unicode" w:cs="Mangal"/>
      <w:szCs w:val="24"/>
      <w:lang w:val="en-US" w:eastAsia="hi-IN" w:bidi="hi-IN"/>
    </w:rPr>
  </w:style>
  <w:style w:type="paragraph" w:styleId="889" w:customStyle="1">
    <w:name w:val="Текст сноски;Знак1;Знак6 Знак;Текст сноски Знак Знак;Текст сноски Знак Знак Знак Знак"/>
    <w:basedOn w:val="691"/>
    <w:link w:val="890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90" w:customStyle="1">
    <w:name w:val="Текст сноски Знак;Знак1 Знак;Знак6 Знак Знак;Текст сноски Знак Знак Знак;Текст сноски Знак Знак Знак Знак Знак"/>
    <w:link w:val="889"/>
    <w:rPr>
      <w:rFonts w:ascii="Times New Roman" w:hAnsi="Times New Roman"/>
      <w:lang w:val="en-US" w:eastAsia="en-US"/>
    </w:rPr>
  </w:style>
  <w:style w:type="character" w:styleId="891" w:customStyle="1">
    <w:name w:val="Заголовок 1 Знак1"/>
    <w:link w:val="692"/>
    <w:uiPriority w:val="9"/>
    <w:rPr>
      <w:rFonts w:ascii="Cambria" w:hAnsi="Cambria"/>
      <w:b/>
      <w:bCs/>
      <w:color w:val="365f91"/>
      <w:sz w:val="28"/>
      <w:szCs w:val="28"/>
      <w:lang w:val="en-US" w:eastAsia="ar-SA"/>
    </w:rPr>
  </w:style>
  <w:style w:type="paragraph" w:styleId="892" w:customStyle="1">
    <w:name w:val="Основной текст с отступом 21"/>
    <w:basedOn w:val="691"/>
    <w:pPr>
      <w:ind w:firstLine="720"/>
      <w:spacing w:after="0" w:line="240" w:lineRule="auto"/>
    </w:pPr>
    <w:rPr>
      <w:rFonts w:ascii="Times New Roman" w:hAnsi="Times New Roman"/>
      <w:sz w:val="26"/>
      <w:szCs w:val="20"/>
      <w:lang w:eastAsia="ar-SA"/>
    </w:rPr>
  </w:style>
  <w:style w:type="paragraph" w:styleId="893">
    <w:name w:val="Body Text"/>
    <w:basedOn w:val="691"/>
    <w:link w:val="895"/>
    <w:uiPriority w:val="99"/>
    <w:unhideWhenUsed/>
    <w:pPr>
      <w:spacing w:after="120" w:line="240" w:lineRule="auto"/>
    </w:pPr>
    <w:rPr>
      <w:rFonts w:ascii="Times New Roman" w:hAnsi="Times New Roman"/>
      <w:sz w:val="24"/>
      <w:szCs w:val="24"/>
      <w:lang w:val="en-US" w:eastAsia="ar-SA"/>
    </w:rPr>
  </w:style>
  <w:style w:type="character" w:styleId="894" w:customStyle="1">
    <w:name w:val="Основной текст Знак"/>
    <w:uiPriority w:val="99"/>
    <w:semiHidden/>
    <w:rPr>
      <w:sz w:val="22"/>
      <w:szCs w:val="22"/>
    </w:rPr>
  </w:style>
  <w:style w:type="character" w:styleId="895" w:customStyle="1">
    <w:name w:val="Основной текст Знак1"/>
    <w:link w:val="893"/>
    <w:uiPriority w:val="99"/>
    <w:rPr>
      <w:rFonts w:ascii="Times New Roman" w:hAnsi="Times New Roman"/>
      <w:sz w:val="24"/>
      <w:szCs w:val="24"/>
      <w:lang w:val="en-US" w:eastAsia="ar-SA"/>
    </w:rPr>
  </w:style>
  <w:style w:type="paragraph" w:styleId="896" w:customStyle="1">
    <w:name w:val="Normal unindented;Обычный Без отступа"/>
    <w:qFormat/>
    <w:pPr>
      <w:jc w:val="both"/>
      <w:spacing w:before="120" w:after="120" w:line="276" w:lineRule="auto"/>
    </w:pPr>
    <w:rPr>
      <w:rFonts w:ascii="Times New Roman" w:hAnsi="Times New Roman"/>
      <w:sz w:val="22"/>
      <w:szCs w:val="22"/>
      <w:lang w:eastAsia="ru-RU"/>
    </w:rPr>
  </w:style>
  <w:style w:type="character" w:styleId="897" w:customStyle="1">
    <w:name w:val="Без интервала Знак"/>
    <w:link w:val="714"/>
    <w:rPr>
      <w:sz w:val="24"/>
      <w:szCs w:val="24"/>
      <w:lang w:val="ru-RU" w:eastAsia="ru-RU" w:bidi="ar-SA"/>
    </w:rPr>
  </w:style>
  <w:style w:type="paragraph" w:styleId="898">
    <w:name w:val="Plain Text"/>
    <w:basedOn w:val="691"/>
    <w:link w:val="899"/>
    <w:pPr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styleId="899" w:customStyle="1">
    <w:name w:val="Текст Знак"/>
    <w:link w:val="898"/>
    <w:rPr>
      <w:rFonts w:ascii="Courier New" w:hAnsi="Courier New"/>
      <w:lang w:val="en-US" w:eastAsia="en-US"/>
    </w:rPr>
  </w:style>
  <w:style w:type="character" w:styleId="900" w:customStyle="1">
    <w:name w:val="Верхний колонтитул Знак"/>
    <w:link w:val="723"/>
    <w:uiPriority w:val="99"/>
    <w:rPr>
      <w:sz w:val="22"/>
      <w:szCs w:val="22"/>
      <w:lang w:val="en-US" w:eastAsia="en-US"/>
    </w:rPr>
  </w:style>
  <w:style w:type="character" w:styleId="901" w:customStyle="1">
    <w:name w:val="Нижний колонтитул Знак"/>
    <w:link w:val="725"/>
    <w:uiPriority w:val="99"/>
    <w:semiHidden/>
    <w:rPr>
      <w:sz w:val="22"/>
      <w:szCs w:val="22"/>
      <w:lang w:val="en-US" w:eastAsia="en-US"/>
    </w:rPr>
  </w:style>
  <w:style w:type="paragraph" w:styleId="902" w:customStyle="1">
    <w:name w:val="copyright-info"/>
    <w:basedOn w:val="6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03">
    <w:name w:val="Emphasis"/>
    <w:uiPriority w:val="20"/>
    <w:qFormat/>
    <w:rPr>
      <w:i/>
      <w:iCs/>
    </w:rPr>
  </w:style>
  <w:style w:type="character" w:styleId="904" w:customStyle="1">
    <w:name w:val="Другое_"/>
    <w:link w:val="905"/>
    <w:rPr>
      <w:sz w:val="26"/>
    </w:rPr>
  </w:style>
  <w:style w:type="paragraph" w:styleId="905" w:customStyle="1">
    <w:name w:val="Другое"/>
    <w:basedOn w:val="691"/>
    <w:link w:val="904"/>
    <w:pPr>
      <w:spacing w:after="0" w:line="240" w:lineRule="auto"/>
      <w:widowControl w:val="off"/>
    </w:pPr>
    <w:rPr>
      <w:sz w:val="26"/>
      <w:szCs w:val="20"/>
      <w:lang w:val="en-US" w:eastAsia="en-US"/>
    </w:rPr>
  </w:style>
  <w:style w:type="paragraph" w:styleId="906" w:customStyle="1">
    <w:name w:val="Шрифт"/>
    <w:basedOn w:val="691"/>
    <w:link w:val="907"/>
    <w:qFormat/>
    <w:rPr>
      <w:rFonts w:ascii="Arial" w:hAnsi="Arial" w:eastAsia="Calibri"/>
      <w:color w:val="000000"/>
      <w:sz w:val="24"/>
      <w:szCs w:val="24"/>
      <w:shd w:val="clear" w:color="auto" w:fill="ffffff"/>
      <w:lang w:val="en-US" w:eastAsia="en-US"/>
    </w:rPr>
  </w:style>
  <w:style w:type="character" w:styleId="907" w:customStyle="1">
    <w:name w:val="Шрифт Знак"/>
    <w:link w:val="906"/>
    <w:rPr>
      <w:rFonts w:ascii="Arial" w:hAnsi="Arial" w:eastAsia="Calibri"/>
      <w:color w:val="000000"/>
      <w:sz w:val="24"/>
      <w:szCs w:val="24"/>
      <w:lang w:val="en-US" w:eastAsia="en-US"/>
    </w:rPr>
  </w:style>
  <w:style w:type="table" w:styleId="908" w:customStyle="1">
    <w:name w:val="Сетка таблицы1"/>
    <w:basedOn w:val="702"/>
    <w:next w:val="729"/>
    <w:uiPriority w:val="59"/>
    <w:rPr>
      <w:sz w:val="22"/>
      <w:szCs w:val="22"/>
    </w:rPr>
    <w:tblPr/>
  </w:style>
  <w:style w:type="table" w:styleId="909" w:customStyle="1">
    <w:name w:val="Сетка таблицы2"/>
    <w:basedOn w:val="702"/>
    <w:next w:val="729"/>
    <w:uiPriority w:val="59"/>
    <w:rPr>
      <w:sz w:val="22"/>
      <w:szCs w:val="22"/>
    </w:rPr>
    <w:tblPr/>
  </w:style>
  <w:style w:type="table" w:styleId="910" w:customStyle="1">
    <w:name w:val="Сетка таблицы11"/>
    <w:basedOn w:val="702"/>
    <w:uiPriority w:val="59"/>
    <w:rPr>
      <w:rFonts w:eastAsia="Calibri"/>
      <w:sz w:val="22"/>
      <w:szCs w:val="22"/>
      <w:lang w:eastAsia="en-US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2026-03-30T13:31:00Z</dcterms:created>
  <dcterms:modified xsi:type="dcterms:W3CDTF">2026-06-24T12:55:35Z</dcterms:modified>
  <cp:version>917504</cp:version>
</cp:coreProperties>
</file>