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B236C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124E94">
        <w:rPr>
          <w:rFonts w:ascii="Times New Roman" w:hAnsi="Times New Roman" w:cs="Times New Roman"/>
        </w:rPr>
        <w:t>фотооборудование</w:t>
      </w:r>
      <w:proofErr w:type="gramEnd"/>
      <w:r w:rsidR="00914546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7D13C4">
        <w:rPr>
          <w:rFonts w:ascii="Times New Roman" w:hAnsi="Times New Roman" w:cs="Times New Roman"/>
        </w:rPr>
        <w:t>1</w:t>
      </w:r>
      <w:r w:rsidR="00124E94">
        <w:rPr>
          <w:rFonts w:ascii="Times New Roman" w:hAnsi="Times New Roman" w:cs="Times New Roman"/>
        </w:rPr>
        <w:t>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E34FB9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  <w:p w:rsidR="00A93AA4" w:rsidRPr="00E34FB9" w:rsidRDefault="00E34FB9" w:rsidP="00E3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>после проведения процедуры закупки в спецификацию включаются конкретные характеристики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и наименование (марка и модель)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товара в соответствии с предложением победителя закупки)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186B21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7743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124E94" w:rsidRDefault="00124E94" w:rsidP="00186B21">
            <w:pPr>
              <w:spacing w:line="259" w:lineRule="auto"/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Фотокамера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– фотокамера со сменным объективом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Возможность съемки видео - наличие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Эффективных пикселей более 24млн.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Соотношение сторон   3:2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 объективами RF, RF-S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Стабилизация изображения – оптическая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Максимальное количество зон автофокусировки в режиме фото более 140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Режимы автофокусировки: Покадровая и следящая автофокусировка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Функция блокировки автофокусировки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Подсветка автофокусировки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Режимы замера экспозиции: замер в реальном времени с датчика изображения; оценочный замер; частичный замер в центре; центрально-взвешенный замер; точечный замер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Диапазон яркости замера: Фото: EV -2 – 20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Блокировка </w:t>
            </w:r>
            <w:proofErr w:type="spellStart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автоэкспозиции</w:t>
            </w:r>
            <w:proofErr w:type="spellEnd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: авто; вручную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Компенсация экспозиции: +/-3 EV с шагом 1/3 ступени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Чувствительность ISO: диапазон не уже от 100 до 12 000 единиц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Электронный затвор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Скорость затвора от 30 до 1/4000 сек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Автоматический баланс белого с датчиком изображения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функции пользовательского баланса белого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Частота обновления электронного видоискателя 60 кадров в секунду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Количество точек не менее 2,360,000 со 100% покрытием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коррекции диоптрий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Наличие функции </w:t>
            </w:r>
            <w:proofErr w:type="spellStart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предпросмотра</w:t>
            </w:r>
            <w:proofErr w:type="spellEnd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глубины резкости видоискателя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ЖК-дисплей – наличие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Диагональ не менее 3 дюймов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Разрешение более 1млн точек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регулировки яркости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встроенной вспышки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lastRenderedPageBreak/>
              <w:t>Режимы вспышки: авто; оценочный с приоритетом лица; оценочный средний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Блокировка экспозиции вспышки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Синхронизация по второй шторке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 внешними вспышками: E-TTL II обязательна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Горячий башмак – наличие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Стили изображения съемки: авто; стандартный; портрет; пейзаж; высокая детализация; нейтральный; точный; монохромный; пользовательский.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Цветовое пространство: </w:t>
            </w:r>
            <w:proofErr w:type="spellStart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sRGB</w:t>
            </w:r>
            <w:proofErr w:type="spellEnd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AdobeRGB</w:t>
            </w:r>
            <w:proofErr w:type="spellEnd"/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Функции обработки изображения: коррекция периферийной освещенности; коррекция хроматической аберрации; коррекция искажений; коррекция дифракции; шумоподавление при длительной выдержке; шумоподавление при высоких значениях ISO 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Функция непрерывной съемка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Покадровый автофокус – наличие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Формат фотоснимка RAW/C-RAW и JPEG обязателен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Максимальный размер изображения не менее 6000 x 4000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Типы видеофайлов MP4: MPEG-4 AVC/H.264 обязательны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Размеры видеофайлов 4K UHD не менее 3840 x 2160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Наличие интерфейса USB </w:t>
            </w:r>
            <w:proofErr w:type="spellStart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Type</w:t>
            </w:r>
            <w:proofErr w:type="spellEnd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-C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Наличие </w:t>
            </w:r>
            <w:proofErr w:type="spellStart"/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Bluetooth</w:t>
            </w:r>
            <w:proofErr w:type="spellEnd"/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карт памяти: SD, SDHC, SDXC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Объем поставляемой карты памяти не менее 256 Гб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Совместимость с UHS-I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Питание от литий-ионного аккумулятора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Ресурс аккумулятора более 300 кадров по стандарту CIPA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Функция отключения дисплея должна быть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 более 960 грамм</w:t>
            </w:r>
          </w:p>
          <w:p w:rsidR="00124E94" w:rsidRPr="00186B21" w:rsidRDefault="00124E94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186B21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B21" w:rsidRPr="00A93AA4" w:rsidRDefault="00186B21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E9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124E94">
            <w:pPr>
              <w:spacing w:line="259" w:lineRule="auto"/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Объектив, (совместимый с фотокамерой п.1 настояще</w:t>
            </w: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й спецификации</w:t>
            </w: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)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Объектив должен быть совместим с фотокамерой настояще</w:t>
            </w:r>
            <w:r w:rsidR="00D336CB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й спецификации </w:t>
            </w: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без использования переходников и адаптеров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Кратность зума более 16х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автофокусировки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стабилизации изображения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Диафрагма F3.50 - F6.30</w:t>
            </w:r>
          </w:p>
          <w:p w:rsidR="00124E94" w:rsidRPr="00124E94" w:rsidRDefault="00124E94" w:rsidP="00124E94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Минимальное расстояние фокусировки не более 15 см</w:t>
            </w:r>
          </w:p>
          <w:p w:rsidR="00124E94" w:rsidRPr="00124E94" w:rsidRDefault="00124E94" w:rsidP="00124E94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124E94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Ультразвуковой мотор - наличие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3E1D5F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E9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186B21">
            <w:pPr>
              <w:spacing w:line="259" w:lineRule="auto"/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</w:pPr>
            <w:r w:rsidRPr="00124E94"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  <w:t xml:space="preserve">Система питания </w:t>
            </w:r>
            <w:proofErr w:type="gramStart"/>
            <w:r w:rsidRPr="00124E94"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  <w:t xml:space="preserve">фотокамеры </w:t>
            </w:r>
            <w:r w:rsidR="00D336CB"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  <w:t xml:space="preserve"> (</w:t>
            </w:r>
            <w:proofErr w:type="gramEnd"/>
            <w:r w:rsidR="00D336CB"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  <w:t xml:space="preserve">адаптер) </w:t>
            </w: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(совместимый с фотокамерой п.1</w:t>
            </w:r>
            <w:r w:rsidRPr="00124E94">
              <w:rPr>
                <w:rFonts w:ascii="Century Schoolbook" w:eastAsia="Calibri" w:hAnsi="Century Schoolbook" w:cs="Times New Roman"/>
                <w:color w:val="212529"/>
                <w:sz w:val="22"/>
                <w:szCs w:val="22"/>
                <w:lang w:eastAsia="en-US"/>
              </w:rPr>
              <w:t xml:space="preserve"> </w:t>
            </w:r>
            <w:r w:rsidRPr="00124E94">
              <w:rPr>
                <w:rFonts w:ascii="Century Schoolbook" w:eastAsia="Calibri" w:hAnsi="Century Schoolbook" w:cs="Times New Roman"/>
                <w:b/>
                <w:color w:val="212529"/>
                <w:sz w:val="22"/>
                <w:szCs w:val="22"/>
                <w:lang w:eastAsia="en-US"/>
              </w:rPr>
              <w:t>настоящей спецификации)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Адаптер питания </w:t>
            </w:r>
            <w:proofErr w:type="spellStart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Kingma</w:t>
            </w:r>
            <w:proofErr w:type="spellEnd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для питания от сети фотокамеры </w:t>
            </w:r>
            <w:r w:rsidRPr="003E1D5F">
              <w:rPr>
                <w:rFonts w:ascii="Century Schoolbook" w:eastAsia="Calibri" w:hAnsi="Century Schoolbook" w:cs="Times New Roman"/>
                <w:color w:val="212529"/>
                <w:sz w:val="22"/>
                <w:szCs w:val="22"/>
                <w:lang w:eastAsia="en-US"/>
              </w:rPr>
              <w:t>п.1 настояще</w:t>
            </w:r>
            <w:r w:rsidR="000C3C74">
              <w:rPr>
                <w:rFonts w:ascii="Century Schoolbook" w:eastAsia="Calibri" w:hAnsi="Century Schoolbook" w:cs="Times New Roman"/>
                <w:color w:val="212529"/>
                <w:sz w:val="22"/>
                <w:szCs w:val="22"/>
                <w:lang w:eastAsia="en-US"/>
              </w:rPr>
              <w:t xml:space="preserve">й спецификации </w:t>
            </w:r>
            <w:bookmarkStart w:id="0" w:name="_GoBack"/>
            <w:bookmarkEnd w:id="0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и подключается к адаптеру питания от сети. 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встроенной системы защиты от перегрузки по току, перегрева, перенапряжения и короткого замыкания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Входное напряжение</w:t>
            </w: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ab/>
              <w:t>100-240В, 1 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Выходное напряжение</w:t>
            </w: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ab/>
              <w:t>8.4В, 3 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Длина кабеля не менее 3.5 метра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Кабель-удлинитель USB-C </w:t>
            </w:r>
            <w:proofErr w:type="spellStart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to</w:t>
            </w:r>
            <w:proofErr w:type="spellEnd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USB-C в наличии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Длина интерфейсного кабеля не менее 4,5 метров; один р</w:t>
            </w:r>
            <w:r w:rsidRPr="003E1D5F">
              <w:rPr>
                <w:rFonts w:ascii="Century Schoolbook" w:eastAsia="Times New Roman" w:hAnsi="Century Schoolbook" w:cs="Times New Roman"/>
                <w:sz w:val="22"/>
                <w:szCs w:val="22"/>
              </w:rPr>
              <w:t>азъем кабеля должен быть угловым 90 град.; м</w:t>
            </w: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аксимальный ток не менее 3 Ампер; скорость сигнала - 10 Гбит/с</w:t>
            </w:r>
          </w:p>
          <w:p w:rsidR="003E1D5F" w:rsidRPr="00186B21" w:rsidRDefault="003E1D5F" w:rsidP="003E1D5F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Комплектация: адаптер, блок питания, кабель сетевой, кабель интерфейсный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3E1D5F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E9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D5F" w:rsidRPr="003E1D5F" w:rsidRDefault="003E1D5F" w:rsidP="00186B21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3E1D5F">
              <w:rPr>
                <w:rFonts w:ascii="Century Schoolbook" w:eastAsia="Times New Roman" w:hAnsi="Century Schoolbook" w:cs="Times New Roman"/>
                <w:b/>
                <w:sz w:val="22"/>
                <w:szCs w:val="22"/>
                <w:lang w:val="en-US"/>
              </w:rPr>
              <w:t>Web</w:t>
            </w:r>
            <w:r w:rsidRPr="003E1D5F"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  <w:t>-камера с микрофоном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Число мегапикселей матрицы не менее 4 </w:t>
            </w:r>
            <w:proofErr w:type="spellStart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Мп</w:t>
            </w:r>
            <w:proofErr w:type="spellEnd"/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Фокусировка - автоматическая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Угол обзора не менее 90 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Разрешение не менее по горизонтали не менее 2560 по вертикали не менее 1440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Максимальная частота кадров ≥30 кадр/сек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микрофона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прищепки в конструкции камеры</w:t>
            </w:r>
          </w:p>
          <w:p w:rsidR="00124E94" w:rsidRPr="003E1D5F" w:rsidRDefault="00124E94" w:rsidP="003E1D5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3E1D5F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E9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124E9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3E1D5F" w:rsidP="00186B21">
            <w:pPr>
              <w:spacing w:line="259" w:lineRule="auto"/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</w:pPr>
            <w:r w:rsidRPr="003E1D5F">
              <w:rPr>
                <w:rFonts w:ascii="Century Schoolbook" w:eastAsia="Times New Roman" w:hAnsi="Century Schoolbook" w:cs="Times New Roman"/>
                <w:b/>
                <w:sz w:val="22"/>
                <w:szCs w:val="22"/>
              </w:rPr>
              <w:t>Штатив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Штатив телескопический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Максимальная высота штатива не менее 165 см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Минимальная высота не более 60 см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Присоединительная резьба 1/4 дюйма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Max</w:t>
            </w:r>
            <w:proofErr w:type="spellEnd"/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нагрузка до 0.95 кг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пузырькового</w:t>
            </w:r>
            <w:r w:rsidR="00191D8E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уров</w:t>
            </w: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ня 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Наличие механизма плавного подъема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Должна быть фиксация телескопических ножек на клипсах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Резиновые упоры ножек</w:t>
            </w:r>
          </w:p>
          <w:p w:rsidR="003E1D5F" w:rsidRPr="003E1D5F" w:rsidRDefault="003E1D5F" w:rsidP="003E1D5F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Съемная голова штатива с наклонной площадкой</w:t>
            </w:r>
          </w:p>
          <w:p w:rsidR="003E1D5F" w:rsidRPr="003E1D5F" w:rsidRDefault="003E1D5F" w:rsidP="003E1D5F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3E1D5F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нетто не более 1 кг.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Default="003E1D5F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E94" w:rsidRPr="00A93AA4" w:rsidRDefault="00124E9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C3C74"/>
    <w:rsid w:val="000D2B43"/>
    <w:rsid w:val="000F19B6"/>
    <w:rsid w:val="00100A56"/>
    <w:rsid w:val="001072C0"/>
    <w:rsid w:val="00107415"/>
    <w:rsid w:val="001114A7"/>
    <w:rsid w:val="00112DB3"/>
    <w:rsid w:val="0012401C"/>
    <w:rsid w:val="00124E94"/>
    <w:rsid w:val="001277EE"/>
    <w:rsid w:val="0014001B"/>
    <w:rsid w:val="00152DEC"/>
    <w:rsid w:val="00160BC1"/>
    <w:rsid w:val="00166B3A"/>
    <w:rsid w:val="00166E85"/>
    <w:rsid w:val="0018339A"/>
    <w:rsid w:val="00186B21"/>
    <w:rsid w:val="00191D8E"/>
    <w:rsid w:val="001C7A9D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82AA4"/>
    <w:rsid w:val="002A1127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C26"/>
    <w:rsid w:val="003B236C"/>
    <w:rsid w:val="003C051E"/>
    <w:rsid w:val="003E1D5F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074C6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747C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4394"/>
    <w:rsid w:val="0077604B"/>
    <w:rsid w:val="0077758D"/>
    <w:rsid w:val="00795E5B"/>
    <w:rsid w:val="007B3A20"/>
    <w:rsid w:val="007C3C33"/>
    <w:rsid w:val="007C45D0"/>
    <w:rsid w:val="007D13C4"/>
    <w:rsid w:val="007D3FF2"/>
    <w:rsid w:val="007D6DBF"/>
    <w:rsid w:val="007E04C9"/>
    <w:rsid w:val="00801122"/>
    <w:rsid w:val="00836CE9"/>
    <w:rsid w:val="008470EA"/>
    <w:rsid w:val="00851745"/>
    <w:rsid w:val="008561B9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14546"/>
    <w:rsid w:val="0092016C"/>
    <w:rsid w:val="0095005B"/>
    <w:rsid w:val="009565ED"/>
    <w:rsid w:val="00960F42"/>
    <w:rsid w:val="009A3F49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42D11"/>
    <w:rsid w:val="00B50FEB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64D47"/>
    <w:rsid w:val="00C95263"/>
    <w:rsid w:val="00CB2AAA"/>
    <w:rsid w:val="00CD7B70"/>
    <w:rsid w:val="00D17F72"/>
    <w:rsid w:val="00D20B3B"/>
    <w:rsid w:val="00D272A3"/>
    <w:rsid w:val="00D30FE2"/>
    <w:rsid w:val="00D336CB"/>
    <w:rsid w:val="00D43E5C"/>
    <w:rsid w:val="00D46862"/>
    <w:rsid w:val="00D55008"/>
    <w:rsid w:val="00D64AB9"/>
    <w:rsid w:val="00D726EA"/>
    <w:rsid w:val="00DA0002"/>
    <w:rsid w:val="00DA0FA3"/>
    <w:rsid w:val="00DA49F2"/>
    <w:rsid w:val="00DA4CE8"/>
    <w:rsid w:val="00DA7752"/>
    <w:rsid w:val="00DB42B7"/>
    <w:rsid w:val="00DD1AEF"/>
    <w:rsid w:val="00DD6C26"/>
    <w:rsid w:val="00DF63B9"/>
    <w:rsid w:val="00E04385"/>
    <w:rsid w:val="00E164F6"/>
    <w:rsid w:val="00E21EF4"/>
    <w:rsid w:val="00E303A6"/>
    <w:rsid w:val="00E34A43"/>
    <w:rsid w:val="00E34FB9"/>
    <w:rsid w:val="00E4326A"/>
    <w:rsid w:val="00E4516A"/>
    <w:rsid w:val="00E477BF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9B09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F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16937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112</cp:revision>
  <cp:lastPrinted>2023-01-12T07:58:00Z</cp:lastPrinted>
  <dcterms:created xsi:type="dcterms:W3CDTF">2017-10-04T08:07:00Z</dcterms:created>
  <dcterms:modified xsi:type="dcterms:W3CDTF">2026-06-22T12:30:00Z</dcterms:modified>
</cp:coreProperties>
</file>