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BE203">
      <w:pPr>
        <w:rPr>
          <w:b/>
        </w:rPr>
      </w:pPr>
    </w:p>
    <w:p w14:paraId="7CCA51A5">
      <w:pPr>
        <w:rPr>
          <w:b/>
        </w:rPr>
      </w:pPr>
    </w:p>
    <w:p w14:paraId="78AB2EDC">
      <w:pPr>
        <w:ind w:firstLine="709"/>
        <w:jc w:val="center"/>
      </w:pPr>
      <w:r>
        <w:t>Техническое задание на проведение СОУТ в Дальневосточном МТУ Росавиации</w:t>
      </w:r>
    </w:p>
    <w:p w14:paraId="5A319AF1">
      <w:pPr>
        <w:ind w:firstLine="709"/>
        <w:jc w:val="both"/>
      </w:pPr>
    </w:p>
    <w:p w14:paraId="17DCDFDD">
      <w:pPr>
        <w:ind w:firstLine="709"/>
        <w:jc w:val="both"/>
      </w:pPr>
    </w:p>
    <w:tbl>
      <w:tblPr>
        <w:tblStyle w:val="8"/>
        <w:tblW w:w="14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14"/>
        <w:gridCol w:w="708"/>
        <w:gridCol w:w="2694"/>
        <w:gridCol w:w="3118"/>
        <w:gridCol w:w="3686"/>
        <w:gridCol w:w="1872"/>
      </w:tblGrid>
      <w:tr w14:paraId="6B6C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75" w:type="dxa"/>
            <w:vMerge w:val="restart"/>
            <w:vAlign w:val="center"/>
          </w:tcPr>
          <w:p w14:paraId="7667488F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№ п/п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14:paraId="735797F2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Наименование Услуги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26D24D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Кол-во, р.м.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302A09D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Перечень рабочих мест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46977E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Сроки оказания Услуги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442E80BC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Требования к результату оказания Услуги</w:t>
            </w:r>
          </w:p>
        </w:tc>
        <w:tc>
          <w:tcPr>
            <w:tcW w:w="1872" w:type="dxa"/>
            <w:vMerge w:val="restart"/>
            <w:shd w:val="clear" w:color="auto" w:fill="auto"/>
            <w:vAlign w:val="center"/>
          </w:tcPr>
          <w:p w14:paraId="470D7C78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Место проведения СОУТ</w:t>
            </w:r>
          </w:p>
        </w:tc>
      </w:tr>
      <w:tr w14:paraId="57B16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D1C5975">
            <w:pPr>
              <w:jc w:val="both"/>
              <w:rPr>
                <w:rFonts w:eastAsia="Times New Roman"/>
              </w:rPr>
            </w:pPr>
          </w:p>
        </w:tc>
        <w:tc>
          <w:tcPr>
            <w:tcW w:w="2014" w:type="dxa"/>
            <w:vMerge w:val="continue"/>
            <w:shd w:val="clear" w:color="auto" w:fill="auto"/>
          </w:tcPr>
          <w:p w14:paraId="53A0C820">
            <w:pPr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708" w:type="dxa"/>
            <w:vMerge w:val="continue"/>
            <w:shd w:val="clear" w:color="auto" w:fill="auto"/>
          </w:tcPr>
          <w:p w14:paraId="5A2A5FAC">
            <w:pPr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2694" w:type="dxa"/>
            <w:vMerge w:val="continue"/>
            <w:shd w:val="clear" w:color="auto" w:fill="auto"/>
          </w:tcPr>
          <w:p w14:paraId="26A5207A">
            <w:pPr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9005901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начало</w:t>
            </w:r>
          </w:p>
          <w:p w14:paraId="1F14DC8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окончание</w:t>
            </w:r>
          </w:p>
        </w:tc>
        <w:tc>
          <w:tcPr>
            <w:tcW w:w="3686" w:type="dxa"/>
            <w:vMerge w:val="continue"/>
            <w:shd w:val="clear" w:color="auto" w:fill="auto"/>
          </w:tcPr>
          <w:p w14:paraId="7E5C926F">
            <w:pPr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1872" w:type="dxa"/>
            <w:vMerge w:val="continue"/>
            <w:shd w:val="clear" w:color="auto" w:fill="auto"/>
          </w:tcPr>
          <w:p w14:paraId="406AAE66">
            <w:pPr>
              <w:jc w:val="both"/>
              <w:rPr>
                <w:rFonts w:eastAsia="Times New Roman"/>
                <w:sz w:val="22"/>
              </w:rPr>
            </w:pPr>
          </w:p>
        </w:tc>
      </w:tr>
      <w:tr w14:paraId="6DAE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8F0523">
            <w:pPr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48C4E74E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EA8223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8F5AA5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16E15A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5</w:t>
            </w:r>
          </w:p>
          <w:p w14:paraId="27BA5E04">
            <w:pPr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3B58643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6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5EC84C4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7</w:t>
            </w:r>
          </w:p>
        </w:tc>
      </w:tr>
      <w:tr w14:paraId="33D16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A78F542">
            <w:pPr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</w:t>
            </w:r>
          </w:p>
        </w:tc>
        <w:tc>
          <w:tcPr>
            <w:tcW w:w="2014" w:type="dxa"/>
            <w:shd w:val="clear" w:color="auto" w:fill="auto"/>
            <w:vAlign w:val="center"/>
          </w:tcPr>
          <w:p w14:paraId="6D65D8F7">
            <w:pPr>
              <w:rPr>
                <w:rFonts w:eastAsia="Times New Roman"/>
                <w:iCs/>
                <w:sz w:val="22"/>
              </w:rPr>
            </w:pPr>
            <w:r>
              <w:rPr>
                <w:rFonts w:eastAsia="Times New Roman"/>
                <w:iCs/>
                <w:sz w:val="22"/>
              </w:rPr>
              <w:t>Проведение специальной оценки условий труда</w:t>
            </w:r>
          </w:p>
        </w:tc>
        <w:tc>
          <w:tcPr>
            <w:tcW w:w="708" w:type="dxa"/>
            <w:shd w:val="clear" w:color="auto" w:fill="auto"/>
          </w:tcPr>
          <w:p w14:paraId="5435426C">
            <w:pPr>
              <w:jc w:val="both"/>
              <w:rPr>
                <w:rFonts w:eastAsia="Times New Roman"/>
                <w:sz w:val="22"/>
              </w:rPr>
            </w:pPr>
          </w:p>
          <w:p w14:paraId="1A42112A">
            <w:pPr>
              <w:jc w:val="both"/>
              <w:rPr>
                <w:rFonts w:eastAsia="Times New Roman"/>
                <w:sz w:val="22"/>
              </w:rPr>
            </w:pPr>
          </w:p>
          <w:p w14:paraId="73992942">
            <w:pPr>
              <w:jc w:val="both"/>
              <w:rPr>
                <w:rFonts w:eastAsia="Times New Roman"/>
                <w:sz w:val="22"/>
              </w:rPr>
            </w:pPr>
          </w:p>
          <w:p w14:paraId="55D0C13C">
            <w:pPr>
              <w:jc w:val="both"/>
              <w:rPr>
                <w:rFonts w:eastAsia="Times New Roman"/>
                <w:sz w:val="22"/>
              </w:rPr>
            </w:pPr>
          </w:p>
          <w:p w14:paraId="77415C76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5EC3526B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1 ….</w:t>
            </w:r>
          </w:p>
          <w:p w14:paraId="03FEF567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2 ….</w:t>
            </w:r>
          </w:p>
          <w:p w14:paraId="3AD8AFFE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3 …</w:t>
            </w:r>
          </w:p>
          <w:p w14:paraId="710A23B3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4 …</w:t>
            </w:r>
          </w:p>
          <w:p w14:paraId="052033D7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5 …</w:t>
            </w:r>
          </w:p>
          <w:p w14:paraId="21406373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6 …</w:t>
            </w:r>
          </w:p>
          <w:p w14:paraId="1F4E2D7C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7 …</w:t>
            </w:r>
          </w:p>
          <w:p w14:paraId="218507E4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8 …</w:t>
            </w:r>
          </w:p>
        </w:tc>
        <w:tc>
          <w:tcPr>
            <w:tcW w:w="3118" w:type="dxa"/>
            <w:shd w:val="clear" w:color="auto" w:fill="auto"/>
          </w:tcPr>
          <w:p w14:paraId="44B908EF">
            <w:pPr>
              <w:jc w:val="both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Не позднее 15 рабочих дней с даты  заключения договора</w:t>
            </w:r>
          </w:p>
        </w:tc>
        <w:tc>
          <w:tcPr>
            <w:tcW w:w="3686" w:type="dxa"/>
            <w:shd w:val="clear" w:color="auto" w:fill="auto"/>
          </w:tcPr>
          <w:p w14:paraId="09989823">
            <w:pPr>
              <w:tabs>
                <w:tab w:val="left" w:pos="2311"/>
              </w:tabs>
              <w:rPr>
                <w:rFonts w:eastAsia="Times New Roman"/>
                <w:sz w:val="22"/>
              </w:rPr>
            </w:pPr>
            <w:r>
              <w:rPr>
                <w:spacing w:val="-5"/>
              </w:rPr>
              <w:t>Проведение специальной оценки условий труда 8 рабочих мест МОП по условиям труда Дальневосточное МТУ Росавиации проводится во исполнение ст. 214 Трудового Кодекса Российской Федерации и в соответствии с требованиями Федерального закона от 28.12.2013 № 426-ФЗ «О специальной оценке условий труда».</w:t>
            </w:r>
          </w:p>
        </w:tc>
        <w:tc>
          <w:tcPr>
            <w:tcW w:w="1872" w:type="dxa"/>
            <w:shd w:val="clear" w:color="auto" w:fill="auto"/>
          </w:tcPr>
          <w:p w14:paraId="3E112BFD">
            <w:pPr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  <w:t>г. Хабаровске, ул., Петра Комаров, 6</w:t>
            </w:r>
          </w:p>
        </w:tc>
      </w:tr>
    </w:tbl>
    <w:p w14:paraId="4F4FEBE5">
      <w:pPr>
        <w:jc w:val="both"/>
      </w:pPr>
    </w:p>
    <w:p w14:paraId="60B0E8E5">
      <w:pPr>
        <w:ind w:right="-2" w:firstLine="709"/>
        <w:jc w:val="both"/>
        <w:rPr>
          <w:spacing w:val="-5"/>
        </w:rPr>
      </w:pPr>
      <w:r>
        <w:rPr>
          <w:spacing w:val="-5"/>
        </w:rPr>
        <w:t>Проведение специальной оценки условий труда 8 рабочих мест по условиям труда Дальневосточное МТУ Росавиации проводится во исполнение ст. 214 Трудового Кодекса Российской Федерации и в соответствии с требованиями Федерального закона от 28.12.2013 № 426-ФЗ «О специальной оценке условий труда». Работы по проведению специальной оценки условий труда на рабочих местах Дальневосточное МТУ Росавиации проводятся согласно графику выполнения работ/оказания услуг в техническом задании. Работы проводятся непосредственно на производственной площадке заказчика.</w:t>
      </w:r>
    </w:p>
    <w:p w14:paraId="7DE37F9D">
      <w:pPr>
        <w:ind w:right="-2" w:firstLine="709"/>
        <w:jc w:val="both"/>
        <w:rPr>
          <w:spacing w:val="-5"/>
        </w:rPr>
      </w:pPr>
      <w:r>
        <w:rPr>
          <w:spacing w:val="-5"/>
          <w:lang w:val="ru-RU"/>
        </w:rPr>
        <w:t>Исполнителю</w:t>
      </w:r>
      <w:r>
        <w:rPr>
          <w:spacing w:val="-5"/>
        </w:rPr>
        <w:t xml:space="preserve"> по результатам проведения специальной оценки условий труда</w:t>
      </w:r>
      <w:r>
        <w:rPr>
          <w:rFonts w:hint="default"/>
          <w:spacing w:val="-5"/>
          <w:lang w:val="ru-RU"/>
        </w:rPr>
        <w:t xml:space="preserve"> необходимо сформировать отчет</w:t>
      </w:r>
      <w:r>
        <w:rPr>
          <w:spacing w:val="-5"/>
        </w:rPr>
        <w:t>, состоящего из:</w:t>
      </w:r>
    </w:p>
    <w:p w14:paraId="1BA3B5DB">
      <w:pPr>
        <w:ind w:right="-2" w:firstLine="709"/>
        <w:jc w:val="both"/>
        <w:rPr>
          <w:spacing w:val="-5"/>
        </w:rPr>
      </w:pPr>
      <w:r>
        <w:rPr>
          <w:spacing w:val="-5"/>
        </w:rPr>
        <w:t>- перечня рабочих мест, на которых проводилась специальная оценка условий труда (с указанием идентифицированных потенциально вредных и (или) опасных факторов производственной среды и трудового процесса);</w:t>
      </w:r>
    </w:p>
    <w:p w14:paraId="728443EF">
      <w:pPr>
        <w:ind w:right="-2" w:firstLine="709"/>
        <w:jc w:val="both"/>
        <w:rPr>
          <w:spacing w:val="-5"/>
        </w:rPr>
      </w:pPr>
      <w:r>
        <w:rPr>
          <w:spacing w:val="-5"/>
        </w:rPr>
        <w:t>- сведений об организации, проводящей специальную оценку условий труда, с приложением копий документов, подтверждающих ее соответствие установленным статьей 19 Федерального закона от 28.12.2013 № 426-ФЗ «О специальной оценке условий труда» требованиям;</w:t>
      </w:r>
    </w:p>
    <w:p w14:paraId="572F1C90">
      <w:pPr>
        <w:ind w:right="-2" w:firstLine="709"/>
        <w:jc w:val="both"/>
        <w:rPr>
          <w:spacing w:val="-5"/>
        </w:rPr>
      </w:pPr>
      <w:r>
        <w:rPr>
          <w:spacing w:val="-5"/>
        </w:rPr>
        <w:t>- карт специальной оценки условий труда, содержащие сведения об установленном экспертом организации, проводящей СОУТ, классе (подклассе) условий труда на конкретных рабочих местах;</w:t>
      </w:r>
    </w:p>
    <w:p w14:paraId="45679A27">
      <w:pPr>
        <w:ind w:right="-2" w:firstLine="709"/>
        <w:jc w:val="both"/>
        <w:rPr>
          <w:spacing w:val="-5"/>
        </w:rPr>
      </w:pPr>
      <w:r>
        <w:rPr>
          <w:spacing w:val="-5"/>
        </w:rPr>
        <w:t>- протоколов проведения исследований (испытаний) и измерений идентифицированных вредных и (или) опасных производственных факторов;</w:t>
      </w:r>
    </w:p>
    <w:p w14:paraId="32919BD7">
      <w:pPr>
        <w:ind w:right="-2" w:firstLine="709"/>
        <w:jc w:val="both"/>
        <w:rPr>
          <w:spacing w:val="-5"/>
        </w:rPr>
      </w:pPr>
      <w:r>
        <w:rPr>
          <w:spacing w:val="-5"/>
        </w:rPr>
        <w:t>- протоколов оценки эффективности средств индивидуальной защиты;</w:t>
      </w:r>
    </w:p>
    <w:p w14:paraId="1714607F">
      <w:pPr>
        <w:ind w:right="-2" w:firstLine="709"/>
        <w:jc w:val="both"/>
        <w:rPr>
          <w:spacing w:val="-5"/>
        </w:rPr>
      </w:pPr>
      <w:r>
        <w:rPr>
          <w:spacing w:val="-5"/>
        </w:rPr>
        <w:t>- протоколов комиссии, содержащий решение о невозможности проведения исследований (испытаний) и измерений по основанию, указанному в части 9 статьи 12 ФЗ № 426 (при наличии такого решения);</w:t>
      </w:r>
    </w:p>
    <w:p w14:paraId="03C6B65E">
      <w:pPr>
        <w:ind w:right="-2" w:firstLine="709"/>
        <w:jc w:val="both"/>
        <w:rPr>
          <w:spacing w:val="-5"/>
        </w:rPr>
      </w:pPr>
      <w:r>
        <w:rPr>
          <w:spacing w:val="-5"/>
        </w:rPr>
        <w:t>- сводной ведомости специальной оценки условий труда;</w:t>
      </w:r>
    </w:p>
    <w:p w14:paraId="794ED989">
      <w:pPr>
        <w:ind w:right="-2" w:firstLine="709"/>
        <w:jc w:val="both"/>
        <w:rPr>
          <w:spacing w:val="-5"/>
        </w:rPr>
      </w:pPr>
      <w:r>
        <w:rPr>
          <w:spacing w:val="-5"/>
        </w:rPr>
        <w:t>- перечня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60FC4F1C">
      <w:pPr>
        <w:ind w:firstLine="709"/>
        <w:jc w:val="both"/>
        <w:rPr>
          <w:spacing w:val="-5"/>
        </w:rPr>
      </w:pPr>
      <w:r>
        <w:rPr>
          <w:spacing w:val="-5"/>
        </w:rPr>
        <w:t>- заключения эксперта организации, проводящей специальную оценку условий труда.</w:t>
      </w:r>
    </w:p>
    <w:p w14:paraId="4A73C634">
      <w:pPr>
        <w:ind w:firstLine="709"/>
        <w:jc w:val="both"/>
        <w:rPr>
          <w:spacing w:val="-5"/>
        </w:rPr>
      </w:pPr>
      <w:r>
        <w:rPr>
          <w:spacing w:val="-5"/>
        </w:rPr>
        <w:t>Методика измерений и оценок должна отвечать требованиям соответствующих СанПиН, ГОСТ, «Руководства по гигиенической оценке факторов рабочей среды и трудового процесса. Критерии и классификация условий труда» Р 2.2.2006-05, соответствии с приказом МинТруда России от 21.11.2023 №817н «</w:t>
      </w:r>
      <w: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заполнению"</w:t>
      </w:r>
      <w:r>
        <w:rPr>
          <w:spacing w:val="-5"/>
        </w:rPr>
        <w:t>, соответствии Федеральным законом Российской Федерации от 28.12.2013 г. № 426-ФЗ «О специальной оценке условий труда», а также действующим законодательством в области специальной оценки  условий труда и других государственных нормативных документов.</w:t>
      </w:r>
    </w:p>
    <w:p w14:paraId="56879B58">
      <w:pPr>
        <w:ind w:right="-2" w:firstLine="709"/>
        <w:jc w:val="both"/>
        <w:rPr>
          <w:spacing w:val="-5"/>
        </w:rPr>
      </w:pPr>
      <w:r>
        <w:rPr>
          <w:spacing w:val="-5"/>
        </w:rPr>
        <w:t xml:space="preserve">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</w:t>
      </w:r>
      <w:r>
        <w:fldChar w:fldCharType="begin"/>
      </w:r>
      <w:r>
        <w:instrText xml:space="preserve"> HYPERLINK "garantF1://12061093.300" </w:instrText>
      </w:r>
      <w:r>
        <w:fldChar w:fldCharType="separate"/>
      </w:r>
      <w:r>
        <w:rPr>
          <w:spacing w:val="-5"/>
        </w:rPr>
        <w:t>законодательством</w:t>
      </w:r>
      <w:r>
        <w:rPr>
          <w:spacing w:val="-5"/>
        </w:rPr>
        <w:fldChar w:fldCharType="end"/>
      </w:r>
      <w:r>
        <w:rPr>
          <w:spacing w:val="-5"/>
        </w:rPr>
        <w:t xml:space="preserve">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измерений, и (или) методики (методы) измерений, предназначенные для выполнения прямых измерений, и соответствующие им средства измерений утвержденного типа, прошедшие поверку. Методики (методы) измерений и соответствующие им средства измерений должны позволять проводить исследования (испытания) и измерения уровней вредных и (или) опасных производственных факторов условий труда во всех диапазонах, установленных методикой проведения специальной оценки условий труда.</w:t>
      </w:r>
    </w:p>
    <w:p w14:paraId="6117FC0A">
      <w:pPr>
        <w:ind w:right="-2" w:firstLine="709"/>
        <w:jc w:val="both"/>
        <w:rPr>
          <w:spacing w:val="-5"/>
        </w:rPr>
      </w:pPr>
      <w:r>
        <w:rPr>
          <w:spacing w:val="-5"/>
          <w:lang w:val="ru-RU"/>
        </w:rPr>
        <w:t>Участник</w:t>
      </w:r>
      <w:r>
        <w:rPr>
          <w:rFonts w:hint="default"/>
          <w:spacing w:val="-5"/>
          <w:lang w:val="ru-RU"/>
        </w:rPr>
        <w:t xml:space="preserve"> закупки должен быть зарегистрирован</w:t>
      </w:r>
      <w:r>
        <w:rPr>
          <w:spacing w:val="-5"/>
        </w:rPr>
        <w:t xml:space="preserve"> в Реестре организаций, проводящих специальную оценку условий труда в соответствии с частью 3 ст. 19 Федерального закона № 426-ФЗ «О специальной оценке условий труда».</w:t>
      </w:r>
    </w:p>
    <w:p w14:paraId="2B6A71B7">
      <w:pPr>
        <w:ind w:right="-2" w:firstLine="709"/>
        <w:jc w:val="both"/>
        <w:rPr>
          <w:spacing w:val="-5"/>
        </w:rPr>
      </w:pPr>
      <w:r>
        <w:rPr>
          <w:spacing w:val="-5"/>
        </w:rPr>
        <w:t>Участник закупки в составе заявки на участие в закупке представляет документы, подтверждающие право на оказание  услуг</w:t>
      </w:r>
      <w:r>
        <w:rPr>
          <w:rFonts w:hint="default"/>
          <w:spacing w:val="-5"/>
          <w:lang w:val="ru-RU"/>
        </w:rPr>
        <w:t xml:space="preserve">, к таким документам относится </w:t>
      </w:r>
      <w:r>
        <w:rPr>
          <w:spacing w:val="-5"/>
        </w:rPr>
        <w:t>выписка из реестра организаций, проводящих СОУТ.</w:t>
      </w:r>
      <w:bookmarkStart w:id="0" w:name="_GoBack"/>
      <w:bookmarkEnd w:id="0"/>
    </w:p>
    <w:sectPr>
      <w:footerReference r:id="rId3" w:type="default"/>
      <w:footnotePr>
        <w:pos w:val="beneathText"/>
      </w:footnotePr>
      <w:endnotePr>
        <w:numFmt w:val="decimal"/>
      </w:endnotePr>
      <w:pgSz w:w="16838" w:h="11906" w:orient="landscape"/>
      <w:pgMar w:top="993" w:right="851" w:bottom="850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eiry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4EF90">
    <w:pPr>
      <w:pStyle w:val="26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drawingGridHorizontalSpacing w:val="57"/>
  <w:drawingGridVerticalSpacing w:val="57"/>
  <w:noPunctuationKerning w:val="1"/>
  <w:characterSpacingControl w:val="doNotCompress"/>
  <w:footnotePr>
    <w:pos w:val="beneathText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8C"/>
    <w:rsid w:val="00004C1C"/>
    <w:rsid w:val="0001445E"/>
    <w:rsid w:val="0002640D"/>
    <w:rsid w:val="00033D0B"/>
    <w:rsid w:val="000348EF"/>
    <w:rsid w:val="00037872"/>
    <w:rsid w:val="00050129"/>
    <w:rsid w:val="0005420C"/>
    <w:rsid w:val="000A088E"/>
    <w:rsid w:val="000C13E9"/>
    <w:rsid w:val="000C46DD"/>
    <w:rsid w:val="000E32D2"/>
    <w:rsid w:val="00124FF9"/>
    <w:rsid w:val="00125D14"/>
    <w:rsid w:val="00130BD0"/>
    <w:rsid w:val="00135825"/>
    <w:rsid w:val="00136594"/>
    <w:rsid w:val="00142DFC"/>
    <w:rsid w:val="00143262"/>
    <w:rsid w:val="001514FB"/>
    <w:rsid w:val="001A06ED"/>
    <w:rsid w:val="001B3F28"/>
    <w:rsid w:val="001C4430"/>
    <w:rsid w:val="001C77D1"/>
    <w:rsid w:val="001D38CC"/>
    <w:rsid w:val="001E45B6"/>
    <w:rsid w:val="00203A3D"/>
    <w:rsid w:val="00216654"/>
    <w:rsid w:val="00232CFD"/>
    <w:rsid w:val="00233BC7"/>
    <w:rsid w:val="00256D6E"/>
    <w:rsid w:val="00294423"/>
    <w:rsid w:val="002A1037"/>
    <w:rsid w:val="002A6BC7"/>
    <w:rsid w:val="002E1246"/>
    <w:rsid w:val="002E678A"/>
    <w:rsid w:val="002F3990"/>
    <w:rsid w:val="00303857"/>
    <w:rsid w:val="003109CD"/>
    <w:rsid w:val="00327930"/>
    <w:rsid w:val="00334B8C"/>
    <w:rsid w:val="00346618"/>
    <w:rsid w:val="00397642"/>
    <w:rsid w:val="003D3E73"/>
    <w:rsid w:val="00414B80"/>
    <w:rsid w:val="004176E6"/>
    <w:rsid w:val="004340CF"/>
    <w:rsid w:val="004349A2"/>
    <w:rsid w:val="00442A37"/>
    <w:rsid w:val="004529BD"/>
    <w:rsid w:val="0045473F"/>
    <w:rsid w:val="0047417F"/>
    <w:rsid w:val="0048403C"/>
    <w:rsid w:val="0048735C"/>
    <w:rsid w:val="00493340"/>
    <w:rsid w:val="00497867"/>
    <w:rsid w:val="004A6639"/>
    <w:rsid w:val="004B68A9"/>
    <w:rsid w:val="004C4568"/>
    <w:rsid w:val="004D59B5"/>
    <w:rsid w:val="004E2A84"/>
    <w:rsid w:val="004F31A8"/>
    <w:rsid w:val="00552A75"/>
    <w:rsid w:val="005743C1"/>
    <w:rsid w:val="00591DFD"/>
    <w:rsid w:val="005B5029"/>
    <w:rsid w:val="005E0871"/>
    <w:rsid w:val="005F4206"/>
    <w:rsid w:val="00610086"/>
    <w:rsid w:val="00655DBC"/>
    <w:rsid w:val="006A6F80"/>
    <w:rsid w:val="006E60ED"/>
    <w:rsid w:val="006F512D"/>
    <w:rsid w:val="006F68E1"/>
    <w:rsid w:val="00703F78"/>
    <w:rsid w:val="007048E3"/>
    <w:rsid w:val="007352B5"/>
    <w:rsid w:val="007417B5"/>
    <w:rsid w:val="0075259A"/>
    <w:rsid w:val="00773E13"/>
    <w:rsid w:val="00783820"/>
    <w:rsid w:val="007910FA"/>
    <w:rsid w:val="00791FDC"/>
    <w:rsid w:val="007A4C2E"/>
    <w:rsid w:val="007B6523"/>
    <w:rsid w:val="007C0738"/>
    <w:rsid w:val="007C794B"/>
    <w:rsid w:val="007E3DBC"/>
    <w:rsid w:val="007F4508"/>
    <w:rsid w:val="00804E88"/>
    <w:rsid w:val="0082565E"/>
    <w:rsid w:val="00826FEB"/>
    <w:rsid w:val="008303DC"/>
    <w:rsid w:val="00854B83"/>
    <w:rsid w:val="008628CE"/>
    <w:rsid w:val="00863C62"/>
    <w:rsid w:val="008770E9"/>
    <w:rsid w:val="00890C91"/>
    <w:rsid w:val="008953A1"/>
    <w:rsid w:val="008A3F93"/>
    <w:rsid w:val="008C03F8"/>
    <w:rsid w:val="008C33AC"/>
    <w:rsid w:val="008C511E"/>
    <w:rsid w:val="008D1CBA"/>
    <w:rsid w:val="008D30A5"/>
    <w:rsid w:val="008F709D"/>
    <w:rsid w:val="00901ECD"/>
    <w:rsid w:val="00926E5F"/>
    <w:rsid w:val="00941927"/>
    <w:rsid w:val="00941D7B"/>
    <w:rsid w:val="00963EC5"/>
    <w:rsid w:val="009670FA"/>
    <w:rsid w:val="00971F9E"/>
    <w:rsid w:val="00976321"/>
    <w:rsid w:val="00986EC0"/>
    <w:rsid w:val="009904CC"/>
    <w:rsid w:val="009A494F"/>
    <w:rsid w:val="009B137E"/>
    <w:rsid w:val="009C2D64"/>
    <w:rsid w:val="009C37DD"/>
    <w:rsid w:val="009C51D2"/>
    <w:rsid w:val="009D3335"/>
    <w:rsid w:val="009D3A82"/>
    <w:rsid w:val="009F484E"/>
    <w:rsid w:val="00A00C0F"/>
    <w:rsid w:val="00A07FC3"/>
    <w:rsid w:val="00A13902"/>
    <w:rsid w:val="00A2206D"/>
    <w:rsid w:val="00A65B75"/>
    <w:rsid w:val="00A6738E"/>
    <w:rsid w:val="00A761E2"/>
    <w:rsid w:val="00AC1538"/>
    <w:rsid w:val="00AD0AD3"/>
    <w:rsid w:val="00B0397E"/>
    <w:rsid w:val="00B06DE3"/>
    <w:rsid w:val="00B11208"/>
    <w:rsid w:val="00B328D0"/>
    <w:rsid w:val="00B44626"/>
    <w:rsid w:val="00B815D2"/>
    <w:rsid w:val="00B84996"/>
    <w:rsid w:val="00B852F7"/>
    <w:rsid w:val="00B95EC1"/>
    <w:rsid w:val="00BE0A45"/>
    <w:rsid w:val="00BE74FD"/>
    <w:rsid w:val="00C13502"/>
    <w:rsid w:val="00C3153C"/>
    <w:rsid w:val="00C44BD6"/>
    <w:rsid w:val="00C5549A"/>
    <w:rsid w:val="00C55FF4"/>
    <w:rsid w:val="00C73703"/>
    <w:rsid w:val="00C74993"/>
    <w:rsid w:val="00C84CB4"/>
    <w:rsid w:val="00C84E31"/>
    <w:rsid w:val="00C9040D"/>
    <w:rsid w:val="00C97293"/>
    <w:rsid w:val="00CA3001"/>
    <w:rsid w:val="00CA53B9"/>
    <w:rsid w:val="00CB0208"/>
    <w:rsid w:val="00CD3E26"/>
    <w:rsid w:val="00CF3603"/>
    <w:rsid w:val="00D03C6D"/>
    <w:rsid w:val="00D36D0B"/>
    <w:rsid w:val="00D420D7"/>
    <w:rsid w:val="00D43679"/>
    <w:rsid w:val="00D644DB"/>
    <w:rsid w:val="00DA61F0"/>
    <w:rsid w:val="00DC2833"/>
    <w:rsid w:val="00DF731B"/>
    <w:rsid w:val="00E04D63"/>
    <w:rsid w:val="00E1596B"/>
    <w:rsid w:val="00E21262"/>
    <w:rsid w:val="00E2447E"/>
    <w:rsid w:val="00E36CCD"/>
    <w:rsid w:val="00E372B1"/>
    <w:rsid w:val="00E40507"/>
    <w:rsid w:val="00E41DE0"/>
    <w:rsid w:val="00E6739A"/>
    <w:rsid w:val="00E75D9F"/>
    <w:rsid w:val="00EB5ADD"/>
    <w:rsid w:val="00EB6B3F"/>
    <w:rsid w:val="00ED206D"/>
    <w:rsid w:val="00F02F60"/>
    <w:rsid w:val="00F05E8A"/>
    <w:rsid w:val="00F152F7"/>
    <w:rsid w:val="00F27F33"/>
    <w:rsid w:val="00F47B34"/>
    <w:rsid w:val="00F47F2B"/>
    <w:rsid w:val="00F55F65"/>
    <w:rsid w:val="00F62872"/>
    <w:rsid w:val="00F82662"/>
    <w:rsid w:val="00F84E6D"/>
    <w:rsid w:val="00F91459"/>
    <w:rsid w:val="00F93304"/>
    <w:rsid w:val="00FA113B"/>
    <w:rsid w:val="00FB3B1F"/>
    <w:rsid w:val="00FC23EB"/>
    <w:rsid w:val="00FD0E12"/>
    <w:rsid w:val="00FD6CDF"/>
    <w:rsid w:val="00FE2111"/>
    <w:rsid w:val="00FF5915"/>
    <w:rsid w:val="6E99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99" w:name="annotation reference"/>
    <w:lsdException w:unhideWhenUsed="0" w:uiPriority="0" w:semiHidden="0" w:name="line number"/>
    <w:lsdException w:uiPriority="0" w:semiHidden="0" w:name="page number"/>
    <w:lsdException w:unhideWhenUsed="0" w:uiPriority="99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99" w:semiHidden="0" w:name="Body Text Indent 2"/>
    <w:lsdException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5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ru-RU" w:eastAsia="ja-JP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spacing w:before="600" w:after="120"/>
      <w:ind w:left="1647" w:hanging="567"/>
      <w:outlineLvl w:val="0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3">
    <w:name w:val="heading 2"/>
    <w:basedOn w:val="1"/>
    <w:next w:val="1"/>
    <w:link w:val="32"/>
    <w:qFormat/>
    <w:uiPriority w:val="0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34"/>
    <w:qFormat/>
    <w:uiPriority w:val="99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zh-CN"/>
    </w:rPr>
  </w:style>
  <w:style w:type="paragraph" w:styleId="5">
    <w:name w:val="heading 4"/>
    <w:basedOn w:val="1"/>
    <w:next w:val="1"/>
    <w:link w:val="36"/>
    <w:qFormat/>
    <w:uiPriority w:val="0"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  <w:lang w:val="zh-CN"/>
    </w:rPr>
  </w:style>
  <w:style w:type="paragraph" w:styleId="6">
    <w:name w:val="heading 9"/>
    <w:basedOn w:val="1"/>
    <w:next w:val="1"/>
    <w:link w:val="41"/>
    <w:qFormat/>
    <w:uiPriority w:val="0"/>
    <w:pPr>
      <w:spacing w:before="240" w:after="60"/>
      <w:outlineLvl w:val="8"/>
    </w:pPr>
    <w:rPr>
      <w:rFonts w:ascii="Arial" w:hAnsi="Arial" w:eastAsia="Times New Roman" w:cs="Arial"/>
      <w:sz w:val="22"/>
      <w:szCs w:val="22"/>
      <w:lang w:eastAsia="ru-RU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unhideWhenUsed/>
    <w:uiPriority w:val="99"/>
    <w:rPr>
      <w:color w:val="800080"/>
      <w:u w:val="single"/>
    </w:rPr>
  </w:style>
  <w:style w:type="character" w:styleId="10">
    <w:name w:val="footnote reference"/>
    <w:uiPriority w:val="0"/>
    <w:rPr>
      <w:vertAlign w:val="superscript"/>
    </w:rPr>
  </w:style>
  <w:style w:type="character" w:styleId="11">
    <w:name w:val="annotation reference"/>
    <w:semiHidden/>
    <w:uiPriority w:val="99"/>
    <w:rPr>
      <w:sz w:val="16"/>
      <w:szCs w:val="16"/>
    </w:rPr>
  </w:style>
  <w:style w:type="character" w:styleId="12">
    <w:name w:val="endnote reference"/>
    <w:uiPriority w:val="99"/>
    <w:rPr>
      <w:vertAlign w:val="superscript"/>
    </w:rPr>
  </w:style>
  <w:style w:type="character" w:styleId="13">
    <w:name w:val="Hyperlink"/>
    <w:uiPriority w:val="0"/>
    <w:rPr>
      <w:color w:val="0000FF"/>
      <w:u w:val="single"/>
    </w:rPr>
  </w:style>
  <w:style w:type="character" w:styleId="14">
    <w:name w:val="page number"/>
    <w:unhideWhenUsed/>
    <w:uiPriority w:val="0"/>
  </w:style>
  <w:style w:type="paragraph" w:styleId="15">
    <w:name w:val="Balloon Text"/>
    <w:basedOn w:val="1"/>
    <w:link w:val="44"/>
    <w:semiHidden/>
    <w:uiPriority w:val="99"/>
    <w:rPr>
      <w:rFonts w:ascii="Tahoma" w:hAnsi="Tahoma" w:cs="Tahoma"/>
      <w:sz w:val="16"/>
      <w:szCs w:val="16"/>
    </w:r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Indent 3"/>
    <w:basedOn w:val="1"/>
    <w:link w:val="30"/>
    <w:uiPriority w:val="99"/>
    <w:pPr>
      <w:widowControl w:val="0"/>
      <w:spacing w:line="300" w:lineRule="auto"/>
      <w:ind w:left="40"/>
      <w:jc w:val="both"/>
    </w:pPr>
    <w:rPr>
      <w:rFonts w:ascii="Arial" w:hAnsi="Arial" w:eastAsia="Times New Roman"/>
      <w:sz w:val="22"/>
      <w:szCs w:val="22"/>
      <w:lang w:val="zh-CN" w:eastAsia="zh-CN"/>
    </w:rPr>
  </w:style>
  <w:style w:type="paragraph" w:styleId="18">
    <w:name w:val="endnote text"/>
    <w:basedOn w:val="1"/>
    <w:link w:val="39"/>
    <w:qFormat/>
    <w:uiPriority w:val="0"/>
    <w:rPr>
      <w:sz w:val="20"/>
      <w:szCs w:val="20"/>
      <w:lang w:val="zh-CN"/>
    </w:rPr>
  </w:style>
  <w:style w:type="paragraph" w:styleId="19">
    <w:name w:val="annotation text"/>
    <w:basedOn w:val="1"/>
    <w:link w:val="48"/>
    <w:semiHidden/>
    <w:uiPriority w:val="99"/>
    <w:rPr>
      <w:sz w:val="20"/>
      <w:szCs w:val="20"/>
    </w:rPr>
  </w:style>
  <w:style w:type="paragraph" w:styleId="20">
    <w:name w:val="annotation subject"/>
    <w:basedOn w:val="19"/>
    <w:next w:val="19"/>
    <w:link w:val="49"/>
    <w:semiHidden/>
    <w:uiPriority w:val="99"/>
    <w:rPr>
      <w:b/>
      <w:bCs/>
    </w:rPr>
  </w:style>
  <w:style w:type="paragraph" w:styleId="21">
    <w:name w:val="footnote text"/>
    <w:basedOn w:val="1"/>
    <w:link w:val="40"/>
    <w:uiPriority w:val="0"/>
    <w:pPr>
      <w:jc w:val="both"/>
    </w:pPr>
    <w:rPr>
      <w:rFonts w:eastAsia="Times New Roman"/>
      <w:sz w:val="20"/>
      <w:szCs w:val="20"/>
      <w:lang w:val="zh-CN" w:eastAsia="zh-CN"/>
    </w:rPr>
  </w:style>
  <w:style w:type="paragraph" w:styleId="22">
    <w:name w:val="header"/>
    <w:basedOn w:val="1"/>
    <w:link w:val="45"/>
    <w:uiPriority w:val="0"/>
    <w:pPr>
      <w:tabs>
        <w:tab w:val="center" w:pos="4677"/>
        <w:tab w:val="right" w:pos="9355"/>
      </w:tabs>
    </w:pPr>
  </w:style>
  <w:style w:type="paragraph" w:styleId="23">
    <w:name w:val="Body Text"/>
    <w:basedOn w:val="1"/>
    <w:link w:val="50"/>
    <w:qFormat/>
    <w:uiPriority w:val="0"/>
    <w:pPr>
      <w:widowControl w:val="0"/>
      <w:spacing w:after="120"/>
      <w:ind w:firstLine="680"/>
    </w:pPr>
    <w:rPr>
      <w:rFonts w:eastAsia="Times New Roman"/>
      <w:snapToGrid w:val="0"/>
      <w:sz w:val="16"/>
      <w:szCs w:val="20"/>
      <w:lang w:eastAsia="ru-RU"/>
    </w:rPr>
  </w:style>
  <w:style w:type="paragraph" w:styleId="24">
    <w:name w:val="Body Text Indent"/>
    <w:basedOn w:val="1"/>
    <w:link w:val="43"/>
    <w:uiPriority w:val="0"/>
    <w:pPr>
      <w:spacing w:after="120"/>
      <w:ind w:left="283"/>
    </w:pPr>
  </w:style>
  <w:style w:type="paragraph" w:styleId="25">
    <w:name w:val="Title"/>
    <w:basedOn w:val="1"/>
    <w:link w:val="42"/>
    <w:qFormat/>
    <w:uiPriority w:val="0"/>
    <w:pPr>
      <w:autoSpaceDE w:val="0"/>
      <w:autoSpaceDN w:val="0"/>
      <w:adjustRightInd w:val="0"/>
      <w:jc w:val="center"/>
    </w:pPr>
    <w:rPr>
      <w:rFonts w:ascii="Arial" w:hAnsi="Arial" w:eastAsia="Times New Roman" w:cs="Arial"/>
      <w:b/>
      <w:bCs/>
      <w:sz w:val="28"/>
      <w:szCs w:val="28"/>
      <w:lang w:eastAsia="ru-RU"/>
    </w:rPr>
  </w:style>
  <w:style w:type="paragraph" w:styleId="26">
    <w:name w:val="footer"/>
    <w:basedOn w:val="1"/>
    <w:link w:val="31"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27">
    <w:name w:val="Body Text Indent 2"/>
    <w:basedOn w:val="1"/>
    <w:link w:val="46"/>
    <w:unhideWhenUsed/>
    <w:uiPriority w:val="99"/>
    <w:pPr>
      <w:spacing w:after="120" w:line="480" w:lineRule="auto"/>
      <w:ind w:left="283"/>
    </w:pPr>
    <w:rPr>
      <w:rFonts w:ascii="Calibri" w:hAnsi="Calibri" w:eastAsia="Calibri"/>
      <w:sz w:val="22"/>
      <w:szCs w:val="22"/>
      <w:lang w:eastAsia="en-US"/>
    </w:rPr>
  </w:style>
  <w:style w:type="table" w:styleId="28">
    <w:name w:val="Table Grid"/>
    <w:basedOn w:val="8"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Знак Знак Знак"/>
    <w:basedOn w:val="1"/>
    <w:uiPriority w:val="0"/>
    <w:pPr>
      <w:spacing w:after="160" w:line="240" w:lineRule="exact"/>
    </w:pPr>
    <w:rPr>
      <w:rFonts w:ascii="Tahoma" w:hAnsi="Tahoma" w:eastAsia="Times New Roman" w:cs="Tahoma"/>
      <w:sz w:val="18"/>
      <w:szCs w:val="18"/>
      <w:lang w:val="en-US" w:eastAsia="en-US"/>
    </w:rPr>
  </w:style>
  <w:style w:type="character" w:customStyle="1" w:styleId="30">
    <w:name w:val="Основной текст с отступом 3 Знак"/>
    <w:link w:val="17"/>
    <w:qFormat/>
    <w:uiPriority w:val="99"/>
    <w:rPr>
      <w:rFonts w:ascii="Arial" w:hAnsi="Arial" w:eastAsia="Times New Roman" w:cs="Arial"/>
      <w:sz w:val="22"/>
      <w:szCs w:val="22"/>
    </w:rPr>
  </w:style>
  <w:style w:type="character" w:customStyle="1" w:styleId="31">
    <w:name w:val="Нижний колонтитул Знак"/>
    <w:link w:val="26"/>
    <w:qFormat/>
    <w:uiPriority w:val="99"/>
    <w:rPr>
      <w:sz w:val="24"/>
      <w:szCs w:val="24"/>
      <w:lang w:eastAsia="ja-JP"/>
    </w:rPr>
  </w:style>
  <w:style w:type="character" w:customStyle="1" w:styleId="32">
    <w:name w:val="Заголовок 2 Знак"/>
    <w:link w:val="3"/>
    <w:semiHidden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  <w:lang w:eastAsia="ja-JP"/>
    </w:rPr>
  </w:style>
  <w:style w:type="paragraph" w:customStyle="1" w:styleId="33">
    <w:name w:val="Продолжение заголовка 2"/>
    <w:basedOn w:val="1"/>
    <w:next w:val="1"/>
    <w:qFormat/>
    <w:uiPriority w:val="99"/>
    <w:pPr>
      <w:spacing w:before="60" w:after="120"/>
      <w:ind w:left="709"/>
      <w:jc w:val="both"/>
    </w:pPr>
    <w:rPr>
      <w:rFonts w:eastAsia="Times New Roman"/>
      <w:sz w:val="20"/>
      <w:szCs w:val="20"/>
      <w:lang w:eastAsia="en-US"/>
    </w:rPr>
  </w:style>
  <w:style w:type="character" w:customStyle="1" w:styleId="34">
    <w:name w:val="Заголовок 3 Знак"/>
    <w:link w:val="4"/>
    <w:qFormat/>
    <w:uiPriority w:val="99"/>
    <w:rPr>
      <w:rFonts w:ascii="Cambria" w:hAnsi="Cambria" w:eastAsia="Times New Roman" w:cs="Times New Roman"/>
      <w:b/>
      <w:bCs/>
      <w:sz w:val="26"/>
      <w:szCs w:val="26"/>
      <w:lang w:eastAsia="ja-JP"/>
    </w:rPr>
  </w:style>
  <w:style w:type="paragraph" w:customStyle="1" w:styleId="35">
    <w:name w:val="Таблица"/>
    <w:basedOn w:val="1"/>
    <w:qFormat/>
    <w:uiPriority w:val="0"/>
    <w:pPr>
      <w:widowControl w:val="0"/>
      <w:suppressLineNumbers/>
      <w:suppressAutoHyphens/>
      <w:spacing w:before="40" w:after="40"/>
    </w:pPr>
    <w:rPr>
      <w:rFonts w:eastAsia="Times New Roman"/>
      <w:sz w:val="20"/>
      <w:szCs w:val="20"/>
      <w:lang w:eastAsia="ru-RU"/>
    </w:rPr>
  </w:style>
  <w:style w:type="character" w:customStyle="1" w:styleId="36">
    <w:name w:val="Заголовок 4 Знак"/>
    <w:link w:val="5"/>
    <w:semiHidden/>
    <w:qFormat/>
    <w:uiPriority w:val="0"/>
    <w:rPr>
      <w:rFonts w:ascii="Calibri" w:hAnsi="Calibri" w:eastAsia="Times New Roman" w:cs="Times New Roman"/>
      <w:b/>
      <w:bCs/>
      <w:sz w:val="28"/>
      <w:szCs w:val="28"/>
      <w:lang w:eastAsia="ja-JP"/>
    </w:rPr>
  </w:style>
  <w:style w:type="paragraph" w:styleId="37">
    <w:name w:val="List Paragraph"/>
    <w:basedOn w:val="1"/>
    <w:qFormat/>
    <w:uiPriority w:val="34"/>
    <w:pPr>
      <w:ind w:left="708"/>
    </w:pPr>
  </w:style>
  <w:style w:type="paragraph" w:customStyle="1" w:styleId="38">
    <w:name w:val="Абзац"/>
    <w:basedOn w:val="1"/>
    <w:qFormat/>
    <w:uiPriority w:val="0"/>
    <w:pPr>
      <w:spacing w:before="60" w:after="120"/>
      <w:jc w:val="both"/>
    </w:pPr>
    <w:rPr>
      <w:rFonts w:eastAsia="Times New Roman"/>
      <w:sz w:val="20"/>
      <w:szCs w:val="20"/>
      <w:lang w:eastAsia="en-US"/>
    </w:rPr>
  </w:style>
  <w:style w:type="character" w:customStyle="1" w:styleId="39">
    <w:name w:val="Текст концевой сноски Знак"/>
    <w:link w:val="18"/>
    <w:qFormat/>
    <w:uiPriority w:val="0"/>
    <w:rPr>
      <w:lang w:eastAsia="ja-JP"/>
    </w:rPr>
  </w:style>
  <w:style w:type="character" w:customStyle="1" w:styleId="40">
    <w:name w:val="Текст сноски Знак"/>
    <w:link w:val="21"/>
    <w:qFormat/>
    <w:locked/>
    <w:uiPriority w:val="0"/>
    <w:rPr>
      <w:rFonts w:eastAsia="Times New Roman"/>
    </w:rPr>
  </w:style>
  <w:style w:type="character" w:customStyle="1" w:styleId="41">
    <w:name w:val="Заголовок 9 Знак"/>
    <w:link w:val="6"/>
    <w:qFormat/>
    <w:uiPriority w:val="0"/>
    <w:rPr>
      <w:rFonts w:ascii="Arial" w:hAnsi="Arial" w:eastAsia="Times New Roman" w:cs="Arial"/>
      <w:sz w:val="22"/>
      <w:szCs w:val="22"/>
    </w:rPr>
  </w:style>
  <w:style w:type="character" w:customStyle="1" w:styleId="42">
    <w:name w:val="Название Знак"/>
    <w:link w:val="25"/>
    <w:qFormat/>
    <w:uiPriority w:val="0"/>
    <w:rPr>
      <w:rFonts w:ascii="Arial" w:hAnsi="Arial" w:eastAsia="Times New Roman" w:cs="Arial"/>
      <w:b/>
      <w:bCs/>
      <w:sz w:val="28"/>
      <w:szCs w:val="28"/>
    </w:rPr>
  </w:style>
  <w:style w:type="character" w:customStyle="1" w:styleId="43">
    <w:name w:val="Основной текст с отступом Знак"/>
    <w:link w:val="24"/>
    <w:qFormat/>
    <w:uiPriority w:val="0"/>
    <w:rPr>
      <w:sz w:val="24"/>
      <w:szCs w:val="24"/>
      <w:lang w:eastAsia="ja-JP"/>
    </w:rPr>
  </w:style>
  <w:style w:type="character" w:customStyle="1" w:styleId="44">
    <w:name w:val="Текст выноски Знак"/>
    <w:link w:val="15"/>
    <w:semiHidden/>
    <w:qFormat/>
    <w:uiPriority w:val="99"/>
    <w:rPr>
      <w:rFonts w:ascii="Tahoma" w:hAnsi="Tahoma" w:cs="Tahoma"/>
      <w:sz w:val="16"/>
      <w:szCs w:val="16"/>
      <w:lang w:eastAsia="ja-JP"/>
    </w:rPr>
  </w:style>
  <w:style w:type="character" w:customStyle="1" w:styleId="45">
    <w:name w:val="Верхний колонтитул Знак"/>
    <w:link w:val="22"/>
    <w:uiPriority w:val="99"/>
    <w:rPr>
      <w:sz w:val="24"/>
      <w:szCs w:val="24"/>
      <w:lang w:eastAsia="ja-JP"/>
    </w:rPr>
  </w:style>
  <w:style w:type="character" w:customStyle="1" w:styleId="46">
    <w:name w:val="Основной текст с отступом 2 Знак"/>
    <w:link w:val="27"/>
    <w:uiPriority w:val="99"/>
    <w:rPr>
      <w:rFonts w:ascii="Calibri" w:hAnsi="Calibri" w:eastAsia="Calibri"/>
      <w:sz w:val="22"/>
      <w:szCs w:val="22"/>
      <w:lang w:eastAsia="en-US"/>
    </w:rPr>
  </w:style>
  <w:style w:type="table" w:customStyle="1" w:styleId="47">
    <w:name w:val="Сетка таблицы1"/>
    <w:basedOn w:val="8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8">
    <w:name w:val="Текст примечания Знак"/>
    <w:link w:val="19"/>
    <w:semiHidden/>
    <w:uiPriority w:val="99"/>
    <w:rPr>
      <w:lang w:eastAsia="ja-JP"/>
    </w:rPr>
  </w:style>
  <w:style w:type="character" w:customStyle="1" w:styleId="49">
    <w:name w:val="Тема примечания Знак"/>
    <w:link w:val="20"/>
    <w:semiHidden/>
    <w:uiPriority w:val="99"/>
    <w:rPr>
      <w:b/>
      <w:bCs/>
      <w:lang w:eastAsia="ja-JP"/>
    </w:rPr>
  </w:style>
  <w:style w:type="character" w:customStyle="1" w:styleId="50">
    <w:name w:val="Основной текст Знак"/>
    <w:link w:val="23"/>
    <w:uiPriority w:val="0"/>
    <w:rPr>
      <w:rFonts w:eastAsia="Times New Roman"/>
      <w:snapToGrid w:val="0"/>
      <w:sz w:val="16"/>
    </w:rPr>
  </w:style>
  <w:style w:type="paragraph" w:customStyle="1" w:styleId="51">
    <w:name w:val="Normal_0"/>
    <w:uiPriority w:val="0"/>
    <w:pPr>
      <w:widowControl w:val="0"/>
    </w:pPr>
    <w:rPr>
      <w:rFonts w:ascii="Times New Roman" w:hAnsi="Times New Roman" w:eastAsia="Times New Roman" w:cs="Times New Roman"/>
      <w:b/>
      <w:snapToGrid w:val="0"/>
      <w:lang w:val="ru-RU" w:eastAsia="ru-RU" w:bidi="ar-SA"/>
    </w:rPr>
  </w:style>
  <w:style w:type="paragraph" w:customStyle="1" w:styleId="52">
    <w:name w:val="Обычный1"/>
    <w:qFormat/>
    <w:uiPriority w:val="0"/>
    <w:pPr>
      <w:widowControl w:val="0"/>
      <w:snapToGrid w:val="0"/>
    </w:pPr>
    <w:rPr>
      <w:rFonts w:ascii="Times New Roman" w:hAnsi="Times New Roman" w:eastAsia="Times New Roman" w:cs="Times New Roman"/>
      <w:b/>
      <w:lang w:val="ru-RU" w:eastAsia="ru-RU" w:bidi="ar-SA"/>
    </w:rPr>
  </w:style>
  <w:style w:type="character" w:customStyle="1" w:styleId="53">
    <w:name w:val="ca-01"/>
    <w:uiPriority w:val="0"/>
    <w:rPr>
      <w:rFonts w:hint="default" w:ascii="Times New Roman" w:hAnsi="Times New Roman" w:cs="Times New Roman"/>
      <w:sz w:val="22"/>
      <w:szCs w:val="22"/>
    </w:rPr>
  </w:style>
  <w:style w:type="paragraph" w:customStyle="1" w:styleId="54">
    <w:name w:val="pa-5"/>
    <w:basedOn w:val="1"/>
    <w:uiPriority w:val="0"/>
    <w:pPr>
      <w:spacing w:line="240" w:lineRule="atLeast"/>
      <w:ind w:firstLine="540"/>
      <w:jc w:val="both"/>
    </w:pPr>
    <w:rPr>
      <w:rFonts w:ascii="Arial Unicode MS" w:hAnsi="Arial Unicode MS" w:eastAsia="Arial Unicode MS" w:cs="Arial Unicode MS"/>
      <w:lang w:eastAsia="ru-RU"/>
    </w:rPr>
  </w:style>
  <w:style w:type="paragraph" w:customStyle="1" w:styleId="55">
    <w:name w:val="pa-7"/>
    <w:basedOn w:val="1"/>
    <w:uiPriority w:val="0"/>
    <w:pPr>
      <w:spacing w:line="240" w:lineRule="atLeast"/>
      <w:ind w:firstLine="560"/>
      <w:jc w:val="both"/>
    </w:pPr>
    <w:rPr>
      <w:rFonts w:ascii="Arial Unicode MS" w:hAnsi="Arial Unicode MS" w:eastAsia="Arial Unicode MS" w:cs="Arial Unicode MS"/>
      <w:lang w:eastAsia="ru-RU"/>
    </w:rPr>
  </w:style>
  <w:style w:type="paragraph" w:customStyle="1" w:styleId="56">
    <w:name w:val="Normal_1"/>
    <w:uiPriority w:val="0"/>
    <w:pPr>
      <w:widowControl w:val="0"/>
    </w:pPr>
    <w:rPr>
      <w:rFonts w:ascii="Times New Roman" w:hAnsi="Times New Roman" w:eastAsia="Times New Roman" w:cs="Times New Roman"/>
      <w:b/>
      <w:snapToGrid w:val="0"/>
      <w:lang w:val="ru-RU" w:eastAsia="ru-RU" w:bidi="ar-SA"/>
    </w:rPr>
  </w:style>
  <w:style w:type="paragraph" w:customStyle="1" w:styleId="57">
    <w:name w:val="Обычный2"/>
    <w:qFormat/>
    <w:uiPriority w:val="0"/>
    <w:pPr>
      <w:widowControl w:val="0"/>
    </w:pPr>
    <w:rPr>
      <w:rFonts w:ascii="Times New Roman" w:hAnsi="Times New Roman" w:eastAsia="Times New Roman" w:cs="Times New Roman"/>
      <w:b/>
      <w:snapToGrid w:val="0"/>
      <w:lang w:val="ru-RU" w:eastAsia="ru-RU" w:bidi="ar-SA"/>
    </w:rPr>
  </w:style>
  <w:style w:type="paragraph" w:customStyle="1" w:styleId="58">
    <w:name w:val="Знак Знак2 Знак Знак Знак Знак"/>
    <w:basedOn w:val="1"/>
    <w:qFormat/>
    <w:uiPriority w:val="0"/>
    <w:pPr>
      <w:spacing w:after="160" w:line="240" w:lineRule="exact"/>
    </w:pPr>
    <w:rPr>
      <w:rFonts w:ascii="Tahoma" w:hAnsi="Tahoma" w:eastAsia="Times New Roman" w:cs="Tahoma"/>
      <w:sz w:val="18"/>
      <w:szCs w:val="18"/>
      <w:lang w:val="en-US" w:eastAsia="en-US"/>
    </w:rPr>
  </w:style>
  <w:style w:type="paragraph" w:customStyle="1" w:styleId="59">
    <w:name w:val="Body Text Indent 31"/>
    <w:basedOn w:val="1"/>
    <w:uiPriority w:val="0"/>
    <w:pPr>
      <w:spacing w:before="120"/>
      <w:ind w:firstLine="567"/>
      <w:jc w:val="both"/>
    </w:pPr>
    <w:rPr>
      <w:rFonts w:ascii="Arial" w:hAnsi="Arial" w:eastAsia="Times New Roman"/>
      <w:sz w:val="22"/>
      <w:szCs w:val="20"/>
      <w:lang w:eastAsia="ru-RU"/>
    </w:rPr>
  </w:style>
  <w:style w:type="paragraph" w:customStyle="1" w:styleId="60">
    <w:name w:val="ConsPlusNonformat"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sz w:val="24"/>
      <w:szCs w:val="24"/>
      <w:lang w:val="ru-RU" w:eastAsia="ru-RU" w:bidi="ar-SA"/>
    </w:rPr>
  </w:style>
  <w:style w:type="paragraph" w:customStyle="1" w:styleId="61">
    <w:name w:val="ConsPlusNormal"/>
    <w:link w:val="62"/>
    <w:uiPriority w:val="0"/>
    <w:pPr>
      <w:autoSpaceDE w:val="0"/>
      <w:autoSpaceDN w:val="0"/>
      <w:adjustRightInd w:val="0"/>
      <w:ind w:firstLine="720"/>
    </w:pPr>
    <w:rPr>
      <w:rFonts w:ascii="Arial" w:hAnsi="Arial" w:eastAsia="Times New Roman" w:cs="Arial"/>
      <w:sz w:val="24"/>
      <w:szCs w:val="24"/>
      <w:lang w:val="ru-RU" w:eastAsia="ru-RU" w:bidi="ar-SA"/>
    </w:rPr>
  </w:style>
  <w:style w:type="character" w:customStyle="1" w:styleId="62">
    <w:name w:val="ConsPlusNormal Знак"/>
    <w:link w:val="61"/>
    <w:uiPriority w:val="0"/>
    <w:rPr>
      <w:rFonts w:ascii="Arial" w:hAnsi="Arial" w:eastAsia="Times New Roman" w:cs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62AA1-A316-4CA0-80FA-D479F9CE6A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Transneft</Company>
  <Pages>2</Pages>
  <Words>910</Words>
  <Characters>5187</Characters>
  <Lines>43</Lines>
  <Paragraphs>12</Paragraphs>
  <TotalTime>5</TotalTime>
  <ScaleCrop>false</ScaleCrop>
  <LinksUpToDate>false</LinksUpToDate>
  <CharactersWithSpaces>6085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2026-08-04T06:42:00Z</dcterms:created>
  <dc:creator>Administrator</dc:creator>
  <cp:lastModifiedBy>user</cp:lastModifiedBy>
  <cp:lastPrinted>2026-08-06T05:21:00Z</cp:lastPrinted>
  <dcterms:modified xsi:type="dcterms:W3CDTF">2026-08-06T23:02:58Z</dcterms:modified>
  <dc:title>Дополнительное соглашение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3C0AB967A90744459666B3EF3C57EE7A_12</vt:lpwstr>
  </property>
</Properties>
</file>