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keepLines/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КОНТРАКТ № ________________________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contextualSpacing/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jc w:val="center"/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ввод в эксплуатацию, обучение правилам эксплуатации специалистов, эксплуатирующих медицинское изделие: «Термостат лабораторный»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рамках</w:t>
      </w:r>
      <w:r>
        <w:rPr>
          <w:rFonts w:ascii="Times New Roman" w:hAnsi="Times New Roman" w:cs="Times New Roman"/>
          <w:sz w:val="24"/>
          <w:szCs w:val="24"/>
        </w:rPr>
        <w:t xml:space="preserve"> реализации федерального проекта «Университеты для поколения лидеров».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keepNext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center"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  <w:shd w:val="clear" w:color="auto" w:fill="e0e0e0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ИКЗ 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e0e0e0"/>
        </w:rPr>
        <w:t xml:space="preserve">26 1 2225004738 222501001 0042 0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e0e0e0"/>
        </w:rPr>
        <w:t xml:space="preserve">66 0000 000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e0e0e0"/>
        </w:rPr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e0e0e0"/>
        </w:rPr>
      </w:r>
    </w:p>
    <w:p>
      <w:pPr>
        <w:contextualSpacing/>
        <w:jc w:val="center"/>
        <w:keepNext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highlight w:val="white"/>
          <w:shd w:val="clear" w:color="auto" w:fill="e0e0e0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white"/>
          <w:shd w:val="clear" w:color="auto" w:fill="e0e0e0"/>
        </w:rPr>
        <w:t xml:space="preserve">ИГК 000000Ю807526QXC0002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  <w:shd w:val="clear" w:color="auto" w:fill="e0e0e0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  <w:shd w:val="clear" w:color="auto" w:fill="e0e0e0"/>
        </w:rPr>
      </w:r>
    </w:p>
    <w:p>
      <w:pPr>
        <w:contextualSpacing/>
        <w:jc w:val="center"/>
        <w:keepNext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г. Барнаул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ab/>
        <w:t xml:space="preserve">               «____»__________ 2026 г.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tabs>
          <w:tab w:val="left" w:pos="6585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567"/>
        <w:jc w:val="both"/>
        <w:keepNext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  <w:highlight w:val="white"/>
          <w:lang w:eastAsia="ar-SA"/>
        </w:rPr>
        <w:t xml:space="preserve">Федеральное г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у</w:t>
      </w:r>
      <w:r>
        <w:rPr>
          <w:rFonts w:ascii="Times New Roman" w:hAnsi="Times New Roman" w:cs="Times New Roman"/>
          <w:bCs/>
          <w:spacing w:val="-1"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3"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3"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cs="Times New Roman"/>
          <w:bCs/>
          <w:spacing w:val="-3"/>
          <w:sz w:val="24"/>
          <w:szCs w:val="24"/>
          <w:highlight w:val="white"/>
          <w:lang w:eastAsia="ar-SA"/>
        </w:rPr>
        <w:t xml:space="preserve">т</w:t>
      </w:r>
      <w:r>
        <w:rPr>
          <w:rFonts w:ascii="Times New Roman" w:hAnsi="Times New Roman" w:cs="Times New Roman"/>
          <w:bCs/>
          <w:spacing w:val="1"/>
          <w:sz w:val="24"/>
          <w:szCs w:val="24"/>
          <w:highlight w:val="white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2"/>
          <w:sz w:val="24"/>
          <w:szCs w:val="24"/>
          <w:highlight w:val="white"/>
          <w:lang w:eastAsia="ar-SA"/>
        </w:rPr>
        <w:t xml:space="preserve">нн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ое бюджетное об</w:t>
      </w:r>
      <w:r>
        <w:rPr>
          <w:rFonts w:ascii="Times New Roman" w:hAnsi="Times New Roman" w:cs="Times New Roman"/>
          <w:bCs/>
          <w:spacing w:val="-3"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5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з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6"/>
          <w:sz w:val="24"/>
          <w:szCs w:val="24"/>
          <w:highlight w:val="white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5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3"/>
          <w:sz w:val="24"/>
          <w:szCs w:val="24"/>
          <w:highlight w:val="white"/>
          <w:lang w:eastAsia="ar-SA"/>
        </w:rPr>
        <w:t xml:space="preserve">т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4"/>
          <w:szCs w:val="24"/>
          <w:highlight w:val="white"/>
          <w:lang w:eastAsia="ar-SA"/>
        </w:rPr>
        <w:t xml:space="preserve">л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ь</w:t>
      </w:r>
      <w:r>
        <w:rPr>
          <w:rFonts w:ascii="Times New Roman" w:hAnsi="Times New Roman" w:cs="Times New Roman"/>
          <w:bCs/>
          <w:spacing w:val="2"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ое</w:t>
      </w:r>
      <w:r>
        <w:rPr>
          <w:rFonts w:ascii="Times New Roman" w:hAnsi="Times New Roman" w:cs="Times New Roman"/>
          <w:bCs/>
          <w:spacing w:val="1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уч</w:t>
      </w:r>
      <w:r>
        <w:rPr>
          <w:rFonts w:ascii="Times New Roman" w:hAnsi="Times New Roman" w:cs="Times New Roman"/>
          <w:bCs/>
          <w:spacing w:val="-3"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3"/>
          <w:sz w:val="24"/>
          <w:szCs w:val="24"/>
          <w:highlight w:val="white"/>
          <w:lang w:eastAsia="ar-SA"/>
        </w:rPr>
        <w:t xml:space="preserve">ж</w:t>
      </w:r>
      <w:r>
        <w:rPr>
          <w:rFonts w:ascii="Times New Roman" w:hAnsi="Times New Roman" w:cs="Times New Roman"/>
          <w:bCs/>
          <w:spacing w:val="-1"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2"/>
          <w:sz w:val="24"/>
          <w:szCs w:val="24"/>
          <w:highlight w:val="white"/>
          <w:lang w:eastAsia="ar-SA"/>
        </w:rPr>
        <w:t xml:space="preserve">ни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bCs/>
          <w:spacing w:val="-4"/>
          <w:sz w:val="24"/>
          <w:szCs w:val="24"/>
          <w:highlight w:val="white"/>
          <w:lang w:eastAsia="ar-SA"/>
        </w:rPr>
        <w:t xml:space="preserve">вы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cs="Times New Roman"/>
          <w:bCs/>
          <w:spacing w:val="6"/>
          <w:sz w:val="24"/>
          <w:szCs w:val="24"/>
          <w:highlight w:val="white"/>
          <w:lang w:eastAsia="ar-SA"/>
        </w:rPr>
        <w:t xml:space="preserve">ш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4"/>
          <w:szCs w:val="24"/>
          <w:highlight w:val="white"/>
          <w:lang w:eastAsia="ar-SA"/>
        </w:rPr>
        <w:t xml:space="preserve">г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3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об</w:t>
      </w:r>
      <w:r>
        <w:rPr>
          <w:rFonts w:ascii="Times New Roman" w:hAnsi="Times New Roman" w:cs="Times New Roman"/>
          <w:bCs/>
          <w:spacing w:val="-3"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5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2"/>
          <w:sz w:val="24"/>
          <w:szCs w:val="24"/>
          <w:highlight w:val="white"/>
          <w:lang w:eastAsia="ar-SA"/>
        </w:rPr>
        <w:t xml:space="preserve">з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1"/>
          <w:sz w:val="24"/>
          <w:szCs w:val="24"/>
          <w:highlight w:val="white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5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2"/>
          <w:sz w:val="24"/>
          <w:szCs w:val="24"/>
          <w:highlight w:val="white"/>
          <w:lang w:eastAsia="ar-SA"/>
        </w:rPr>
        <w:t xml:space="preserve">ния </w:t>
      </w:r>
      <w:r>
        <w:rPr>
          <w:rFonts w:ascii="Times New Roman" w:hAnsi="Times New Roman" w:cs="Times New Roman"/>
          <w:bCs/>
          <w:spacing w:val="-1"/>
          <w:sz w:val="24"/>
          <w:szCs w:val="24"/>
          <w:highlight w:val="white"/>
          <w:lang w:eastAsia="ar-SA"/>
        </w:rPr>
        <w:t xml:space="preserve">«Алтайский государственный университет»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cs="Times New Roman"/>
          <w:spacing w:val="-1"/>
          <w:sz w:val="24"/>
          <w:szCs w:val="24"/>
          <w:highlight w:val="white"/>
          <w:lang w:eastAsia="ar-SA"/>
        </w:rPr>
        <w:t xml:space="preserve">м</w:t>
      </w:r>
      <w:r>
        <w:rPr>
          <w:rFonts w:ascii="Times New Roman" w:hAnsi="Times New Roman" w:cs="Times New Roman"/>
          <w:spacing w:val="-7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spacing w:val="2"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у</w:t>
      </w:r>
      <w:r>
        <w:rPr>
          <w:rFonts w:ascii="Times New Roman" w:hAnsi="Times New Roman" w:cs="Times New Roman"/>
          <w:spacing w:val="-7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spacing w:val="4"/>
          <w:sz w:val="24"/>
          <w:szCs w:val="24"/>
          <w:highlight w:val="white"/>
          <w:lang w:eastAsia="ar-SA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ое</w:t>
      </w:r>
      <w:r>
        <w:rPr>
          <w:rFonts w:ascii="Times New Roman" w:hAnsi="Times New Roman" w:cs="Times New Roman"/>
          <w:spacing w:val="-4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в</w:t>
      </w:r>
      <w:r>
        <w:rPr>
          <w:rFonts w:ascii="Times New Roman" w:hAnsi="Times New Roman" w:cs="Times New Roman"/>
          <w:spacing w:val="4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cs="Times New Roman"/>
          <w:spacing w:val="3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ль</w:t>
      </w:r>
      <w:r>
        <w:rPr>
          <w:rFonts w:ascii="Times New Roman" w:hAnsi="Times New Roman" w:cs="Times New Roman"/>
          <w:spacing w:val="2"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cs="Times New Roman"/>
          <w:spacing w:val="-7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spacing w:val="2"/>
          <w:sz w:val="24"/>
          <w:szCs w:val="24"/>
          <w:highlight w:val="white"/>
          <w:lang w:eastAsia="ar-SA"/>
        </w:rPr>
        <w:t xml:space="preserve">й</w:t>
      </w:r>
      <w:r>
        <w:rPr>
          <w:rFonts w:ascii="Times New Roman" w:hAnsi="Times New Roman" w:cs="Times New Roman"/>
          <w:spacing w:val="3"/>
          <w:sz w:val="24"/>
          <w:szCs w:val="24"/>
          <w:highlight w:val="white"/>
          <w:lang w:eastAsia="ar-SA"/>
        </w:rPr>
        <w:t xml:space="preserve">ш</w:t>
      </w:r>
      <w:r>
        <w:rPr>
          <w:rFonts w:ascii="Times New Roman" w:hAnsi="Times New Roman" w:cs="Times New Roman"/>
          <w:spacing w:val="-7"/>
          <w:sz w:val="24"/>
          <w:szCs w:val="24"/>
          <w:highlight w:val="white"/>
          <w:lang w:eastAsia="ar-SA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м</w:t>
      </w:r>
      <w:r>
        <w:rPr>
          <w:rFonts w:ascii="Times New Roman" w:hAnsi="Times New Roman" w:cs="Times New Roman"/>
          <w:spacing w:val="2"/>
          <w:sz w:val="24"/>
          <w:szCs w:val="24"/>
          <w:highlight w:val="white"/>
          <w:lang w:eastAsia="ar-SA"/>
        </w:rPr>
        <w:t xml:space="preserve"> «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З</w:t>
      </w:r>
      <w:r>
        <w:rPr>
          <w:rFonts w:ascii="Times New Roman" w:hAnsi="Times New Roman" w:cs="Times New Roman"/>
          <w:spacing w:val="3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spacing w:val="-2"/>
          <w:sz w:val="24"/>
          <w:szCs w:val="24"/>
          <w:highlight w:val="white"/>
          <w:lang w:eastAsia="ar-SA"/>
        </w:rPr>
        <w:t xml:space="preserve">к</w:t>
      </w:r>
      <w:r>
        <w:rPr>
          <w:rFonts w:ascii="Times New Roman" w:hAnsi="Times New Roman" w:cs="Times New Roman"/>
          <w:spacing w:val="3"/>
          <w:sz w:val="24"/>
          <w:szCs w:val="24"/>
          <w:highlight w:val="white"/>
          <w:lang w:eastAsia="ar-SA"/>
        </w:rPr>
        <w:t xml:space="preserve">а</w:t>
      </w:r>
      <w:r>
        <w:rPr>
          <w:rFonts w:ascii="Times New Roman" w:hAnsi="Times New Roman" w:cs="Times New Roman"/>
          <w:spacing w:val="-1"/>
          <w:sz w:val="24"/>
          <w:szCs w:val="24"/>
          <w:highlight w:val="white"/>
          <w:lang w:eastAsia="ar-SA"/>
        </w:rPr>
        <w:t xml:space="preserve">зч</w:t>
      </w:r>
      <w:r>
        <w:rPr>
          <w:rFonts w:ascii="Times New Roman" w:hAnsi="Times New Roman" w:cs="Times New Roman"/>
          <w:spacing w:val="2"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cs="Times New Roman"/>
          <w:spacing w:val="-2"/>
          <w:sz w:val="24"/>
          <w:szCs w:val="24"/>
          <w:highlight w:val="white"/>
          <w:lang w:eastAsia="ar-SA"/>
        </w:rPr>
        <w:t xml:space="preserve">к»,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в </w:t>
      </w:r>
      <w:r>
        <w:rPr>
          <w:rFonts w:ascii="Times New Roman" w:hAnsi="Times New Roman" w:cs="Times New Roman"/>
          <w:spacing w:val="-5"/>
          <w:sz w:val="24"/>
          <w:szCs w:val="24"/>
          <w:highlight w:val="white"/>
          <w:lang w:eastAsia="ar-SA"/>
        </w:rPr>
        <w:t xml:space="preserve">л</w:t>
      </w:r>
      <w:r>
        <w:rPr>
          <w:rFonts w:ascii="Times New Roman" w:hAnsi="Times New Roman" w:cs="Times New Roman"/>
          <w:spacing w:val="2"/>
          <w:sz w:val="24"/>
          <w:szCs w:val="24"/>
          <w:highlight w:val="white"/>
          <w:lang w:eastAsia="ar-SA"/>
        </w:rPr>
        <w:t xml:space="preserve">иц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е </w:t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  <w:lang w:eastAsia="ar-SA"/>
        </w:rPr>
        <w:t xml:space="preserve">ректора Бочарова Сергея Николаевича, действующего на основании Устава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, с одной стороны, и 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</w:t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  <w:lang w:eastAsia="ar-SA"/>
        </w:rPr>
        <w:t xml:space="preserve">, именуемое в дальнейшем «Поставщик», действующего на основании </w:t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  <w:lang w:eastAsia="ar-SA"/>
        </w:rPr>
        <w:t xml:space="preserve">____________________________</w:t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  <w:lang w:eastAsia="ar-SA"/>
        </w:rPr>
        <w:t xml:space="preserve">, с другой стороны, в дальнейшем вместе именуемые Стороны, на основании п. 5 ч. 1 ст. 93 Федерального закона от 05 апреля 2013г. № 44-ФЗ</w:t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</w:rPr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</w:rPr>
      </w:r>
    </w:p>
    <w:p>
      <w:pPr>
        <w:contextualSpacing/>
        <w:ind w:firstLine="567"/>
        <w:jc w:val="center"/>
        <w:keepNext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pacing w:val="5"/>
          <w:sz w:val="24"/>
          <w:szCs w:val="24"/>
          <w:highlight w:val="white"/>
        </w:rPr>
      </w:pPr>
      <w:r>
        <w:rPr>
          <w:rFonts w:ascii="Times New Roman" w:hAnsi="Times New Roman" w:cs="Times New Roman"/>
          <w:spacing w:val="5"/>
          <w:sz w:val="24"/>
          <w:szCs w:val="24"/>
          <w:highlight w:val="white"/>
        </w:rPr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</w:rPr>
      </w:r>
      <w:r>
        <w:rPr>
          <w:rFonts w:ascii="Times New Roman" w:hAnsi="Times New Roman" w:cs="Times New Roman"/>
          <w:spacing w:val="5"/>
          <w:sz w:val="24"/>
          <w:szCs w:val="24"/>
          <w:highlight w:val="white"/>
        </w:rPr>
      </w:r>
    </w:p>
    <w:p>
      <w:pPr>
        <w:pStyle w:val="669"/>
        <w:contextualSpacing/>
        <w:ind w:left="0"/>
        <w:jc w:val="center"/>
        <w:spacing w:before="0" w:after="0"/>
        <w:tabs>
          <w:tab w:val="clear" w:pos="0" w:leader="none"/>
          <w:tab w:val="left" w:pos="708" w:leader="none"/>
        </w:tabs>
        <w:rPr>
          <w:rFonts w:cs="Times New Roman"/>
          <w:b w:val="0"/>
          <w:i w:val="0"/>
          <w:sz w:val="24"/>
          <w:szCs w:val="24"/>
          <w:highlight w:val="white"/>
        </w:rPr>
      </w:pPr>
      <w:r>
        <w:rPr>
          <w:rFonts w:cs="Times New Roman"/>
          <w:b w:val="0"/>
          <w:i w:val="0"/>
          <w:sz w:val="24"/>
          <w:szCs w:val="24"/>
          <w:highlight w:val="white"/>
          <w:lang w:val="en-US"/>
        </w:rPr>
        <w:t xml:space="preserve">I</w:t>
      </w:r>
      <w:r>
        <w:rPr>
          <w:rFonts w:cs="Times New Roman"/>
          <w:b w:val="0"/>
          <w:i w:val="0"/>
          <w:sz w:val="24"/>
          <w:szCs w:val="24"/>
          <w:highlight w:val="white"/>
        </w:rPr>
        <w:t xml:space="preserve">. Предмет Контракта</w:t>
      </w:r>
      <w:r>
        <w:rPr>
          <w:rFonts w:cs="Times New Roman"/>
          <w:b w:val="0"/>
          <w:i w:val="0"/>
          <w:sz w:val="24"/>
          <w:szCs w:val="24"/>
          <w:highlight w:val="white"/>
        </w:rPr>
      </w:r>
      <w:r>
        <w:rPr>
          <w:rFonts w:cs="Times New Roman"/>
          <w:b w:val="0"/>
          <w:i w:val="0"/>
          <w:sz w:val="24"/>
          <w:szCs w:val="24"/>
          <w:highlight w:val="white"/>
        </w:rPr>
      </w:r>
    </w:p>
    <w:p>
      <w:pPr>
        <w:pStyle w:val="669"/>
        <w:contextualSpacing/>
        <w:ind w:left="0"/>
        <w:jc w:val="both"/>
        <w:spacing w:before="0" w:after="0"/>
        <w:tabs>
          <w:tab w:val="clear" w:pos="0" w:leader="none"/>
          <w:tab w:val="left" w:pos="708" w:leader="none"/>
        </w:tabs>
        <w:rPr>
          <w:rFonts w:cs="Times New Roman"/>
          <w:i w:val="0"/>
          <w:color w:val="000000"/>
          <w:sz w:val="24"/>
          <w:szCs w:val="24"/>
        </w:rPr>
      </w:pPr>
      <w:r>
        <w:rPr>
          <w:rFonts w:cs="Times New Roman"/>
          <w:sz w:val="24"/>
          <w:szCs w:val="24"/>
          <w:highlight w:val="white"/>
        </w:rPr>
        <w:t xml:space="preserve">      1.1. </w:t>
      </w:r>
      <w:r>
        <w:rPr>
          <w:rFonts w:cs="Times New Roman"/>
          <w:sz w:val="24"/>
          <w:szCs w:val="24"/>
        </w:rPr>
        <w:t xml:space="preserve">В соответствии с Контрактом Поставщик обязуется в порядке и сроки, предусмотренные Контрактом, осуществить поставку, ввод в эксплуатацию, обучение правилам эксплуатации специалистов, эксплуатирующих медицинское изделие медицинское изделие: </w:t>
      </w:r>
      <w:r>
        <w:rPr>
          <w:rFonts w:cs="Times New Roman"/>
          <w:sz w:val="24"/>
          <w:szCs w:val="24"/>
        </w:rPr>
        <w:t xml:space="preserve">«Термостат лабораторный»</w:t>
      </w:r>
      <w:r>
        <w:rPr>
          <w:rFonts w:cs="Times New Roman"/>
          <w:sz w:val="24"/>
          <w:szCs w:val="24"/>
          <w:highlight w:val="white"/>
        </w:rPr>
        <w:t xml:space="preserve">  </w:t>
      </w:r>
      <w:r>
        <w:rPr>
          <w:rFonts w:cs="Times New Roman"/>
          <w:sz w:val="24"/>
          <w:szCs w:val="24"/>
        </w:rPr>
        <w:t xml:space="preserve">в рамках реализации федерального проекта «Университеты для поколения лидеров» (далее - Оборудование) в соответствии со Спецификацией (</w:t>
      </w:r>
      <w:hyperlink w:tooltip="#P389" w:anchor="P389" w:history="1">
        <w:r>
          <w:rPr>
            <w:rFonts w:cs="Times New Roman"/>
            <w:sz w:val="24"/>
            <w:szCs w:val="24"/>
          </w:rPr>
          <w:t xml:space="preserve">приложение N 1</w:t>
        </w:r>
      </w:hyperlink>
      <w:r>
        <w:rPr>
          <w:rFonts w:cs="Times New Roman"/>
          <w:sz w:val="24"/>
          <w:szCs w:val="24"/>
        </w:rPr>
        <w:t xml:space="preserve"> к Контракту) и надлежащим образом оказать услуги по доставке, разгрузке, сборке, установке, монтажу, вводу в эксплуатацию О</w:t>
      </w:r>
      <w:r>
        <w:rPr>
          <w:rFonts w:cs="Times New Roman"/>
          <w:sz w:val="24"/>
          <w:szCs w:val="24"/>
        </w:rPr>
        <w:t xml:space="preserve">борудования,  обучению правилам эксплуатации и инструктажу специалистов Заказчика, эксплуатирующих Оборудование и специалистов Заказчика, осуществляющих техническое обслуживание Оборудования, правилам эксплуатации и технического обслуживания Оборудования в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соответствии</w:t>
      </w:r>
      <w:r>
        <w:rPr>
          <w:rFonts w:cs="Times New Roman"/>
          <w:sz w:val="24"/>
          <w:szCs w:val="24"/>
        </w:rPr>
        <w:t xml:space="preserve"> с требованиями техни</w:t>
      </w:r>
      <w:r>
        <w:rPr>
          <w:rFonts w:cs="Times New Roman"/>
          <w:sz w:val="24"/>
          <w:szCs w:val="24"/>
        </w:rPr>
        <w:t xml:space="preserve">ческой и (или) эксплуатационной документации производителя (изготовителя) Оборудования (далее - Услуги), а Заказчик обязуется в порядке и сроки, предусмотренные Контрактом, принять и оплатить поставленное Оборудование и надлежащим образам оказанные Услуги.</w:t>
      </w:r>
      <w:r>
        <w:rPr>
          <w:rFonts w:cs="Times New Roman"/>
          <w:i w:val="0"/>
          <w:color w:val="000000"/>
          <w:sz w:val="24"/>
          <w:szCs w:val="24"/>
        </w:rPr>
        <w:t xml:space="preserve"> </w:t>
      </w:r>
      <w:r>
        <w:rPr>
          <w:rFonts w:cs="Times New Roman"/>
          <w:i w:val="0"/>
          <w:color w:val="000000"/>
          <w:sz w:val="24"/>
          <w:szCs w:val="24"/>
        </w:rPr>
      </w:r>
      <w:r>
        <w:rPr>
          <w:rFonts w:cs="Times New Roman"/>
          <w:i w:val="0"/>
          <w:color w:val="000000"/>
          <w:sz w:val="24"/>
          <w:szCs w:val="24"/>
        </w:rPr>
      </w:r>
    </w:p>
    <w:p>
      <w:pPr>
        <w:pStyle w:val="669"/>
        <w:contextualSpacing/>
        <w:ind w:left="0"/>
        <w:jc w:val="center"/>
        <w:spacing w:before="0" w:after="0"/>
        <w:tabs>
          <w:tab w:val="clear" w:pos="0" w:leader="none"/>
          <w:tab w:val="left" w:pos="708" w:leader="none"/>
        </w:tabs>
        <w:rPr>
          <w:rFonts w:cs="Times New Roman"/>
          <w:i w:val="0"/>
          <w:color w:val="000000"/>
          <w:sz w:val="24"/>
          <w:szCs w:val="24"/>
        </w:rPr>
      </w:pPr>
      <w:r>
        <w:rPr>
          <w:rFonts w:cs="Times New Roman"/>
          <w:i w:val="0"/>
          <w:color w:val="000000"/>
          <w:sz w:val="24"/>
          <w:szCs w:val="24"/>
        </w:rPr>
      </w:r>
      <w:r>
        <w:rPr>
          <w:rFonts w:cs="Times New Roman"/>
          <w:i w:val="0"/>
          <w:color w:val="000000"/>
          <w:sz w:val="24"/>
          <w:szCs w:val="24"/>
        </w:rPr>
      </w:r>
      <w:r>
        <w:rPr>
          <w:rFonts w:cs="Times New Roman"/>
          <w:i w:val="0"/>
          <w:color w:val="000000"/>
          <w:sz w:val="24"/>
          <w:szCs w:val="24"/>
        </w:rPr>
      </w:r>
    </w:p>
    <w:p>
      <w:pPr>
        <w:pStyle w:val="669"/>
        <w:contextualSpacing/>
        <w:ind w:left="0"/>
        <w:jc w:val="center"/>
        <w:spacing w:before="0" w:after="0"/>
        <w:tabs>
          <w:tab w:val="clear" w:pos="0" w:leader="none"/>
          <w:tab w:val="left" w:pos="708" w:leader="none"/>
        </w:tabs>
        <w:rPr>
          <w:rFonts w:cs="Times New Roman"/>
          <w:color w:val="000000"/>
          <w:sz w:val="24"/>
          <w:szCs w:val="24"/>
        </w:rPr>
      </w:pPr>
      <w:r>
        <w:rPr>
          <w:rFonts w:cs="Times New Roman"/>
          <w:i w:val="0"/>
          <w:color w:val="000000"/>
          <w:sz w:val="24"/>
          <w:szCs w:val="24"/>
        </w:rPr>
        <w:t xml:space="preserve">II</w:t>
      </w:r>
      <w:r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i w:val="0"/>
          <w:color w:val="000000"/>
          <w:sz w:val="24"/>
          <w:szCs w:val="24"/>
        </w:rPr>
        <w:t xml:space="preserve">Цена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i w:val="0"/>
          <w:color w:val="000000"/>
          <w:sz w:val="24"/>
          <w:szCs w:val="24"/>
        </w:rPr>
        <w:t xml:space="preserve">Контракта и порядок расчетов</w:t>
      </w:r>
      <w:r>
        <w:rPr>
          <w:rFonts w:cs="Times New Roman"/>
          <w:color w:val="000000"/>
          <w:sz w:val="24"/>
          <w:szCs w:val="24"/>
        </w:rPr>
      </w:r>
      <w:r>
        <w:rPr>
          <w:rFonts w:cs="Times New Roman"/>
          <w:color w:val="000000"/>
          <w:sz w:val="24"/>
          <w:szCs w:val="24"/>
        </w:rPr>
      </w:r>
    </w:p>
    <w:p>
      <w:pPr>
        <w:contextualSpacing/>
        <w:ind w:firstLine="426"/>
        <w:jc w:val="both"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2.1. Цена Контракта составляет: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ind w:firstLine="426"/>
        <w:jc w:val="both"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2.2. Цена Контракта включает в себя стоимость Товара, стоимость тары и упаковки, доставки Товара до склада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Заказчика, включая все сопутствующие расходы, такие как погрузочно-разгрузочные работы, расходы на страхование, уплату таможенных пошлин, налогов, сборов и других обязательных платежей, а также другие затраты Поставщика, связанные с исполнением Контракта.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2.3. </w:t>
      </w:r>
      <w:r>
        <w:rPr>
          <w:rFonts w:ascii="Times New Roman" w:hAnsi="Times New Roman" w:cs="Times New Roman"/>
          <w:bCs/>
          <w:sz w:val="24"/>
          <w:szCs w:val="24"/>
          <w:highlight w:val="white"/>
          <w:lang w:eastAsia="ru-RU"/>
        </w:rPr>
        <w:t xml:space="preserve">Источник финансирования - Средства бюджетных учреждений: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средства гранта в форме Субсидии, предоставленной в рамках реализации федерального проекта «Университеты для поколения лидеров» (Соглашение № 075-15-2026-028 от «03» апреля 2026 года).</w:t>
      </w:r>
      <w:r>
        <w:rPr>
          <w:rFonts w:ascii="Times New Roman" w:hAnsi="Times New Roman" w:eastAsia="Calibri" w:cs="Times New Roman"/>
          <w:i/>
        </w:rPr>
      </w:r>
      <w:r>
        <w:rPr>
          <w:rFonts w:ascii="Times New Roman" w:hAnsi="Times New Roman" w:eastAsia="Calibri" w:cs="Times New Roman"/>
          <w:i/>
        </w:rPr>
      </w:r>
    </w:p>
    <w:p>
      <w:pPr>
        <w:contextualSpacing/>
        <w:ind w:firstLine="426"/>
        <w:jc w:val="both"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2.4. Оплата осуществляется по безналичному расчету путем перечисления денежных средств на расчетный счет Поставщика, в срок не более десяти рабочих дней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 даты подписания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акта приемки товаров, работ, услуг (ф. 0510452).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keepNext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2.5. Цена Контракта является твердой и определ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яется на весь срок исполнения Контракта, за исключением случаев, установленных Федеральным законом от 05 апреля 2013 г. N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2.6. Заказчик имеет право произвести полный отказ от оплаты расходов, не предусмотренных Контрактом.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III. Порядок, сроки и условия поставки и приемки Товара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Поставка Оборудования осуществляется Поставщиком с разгрузкой 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транспортного средства по адресу: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Российская Федерация, край Алтайский,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г.о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город Барнаул, г. Барнаул,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пр-кт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Ленина, д. 61А (кабинет 007), (далее - Место доставки).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Поставка Оборудования осуществляется Поставщиком с разгрузкой с транспортного средства по адресу: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Российская Федерация, край Алтайский,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город Барнаул, г. Барнаул,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пр-кт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Ленина, д. 61А (кабинет 007), (далее - Место доставки).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Поставка, по вводу в эксплуатацию, обучение правилам эксплуатации специалистов, эксплуатирующих медицинское изделие осуществляется Поставщиком в Месте доставки в соответствии с Отгрузочной разнарядкой (Планом распределения),  в срок до 01 ноября 2026 года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даты заключения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Контракта.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Поставщик не менее чем за 2 (Два)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рабочих дня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оставщик должен обеспечить упаковку Оборудования,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Оборудования.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.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Вся упаковка должна соответствовать требованиям законодательства Российской Федерации, иметь следующую маркировку: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eastAsia="Calibri" w:cs="Times New Roman"/>
          <w:sz w:val="24"/>
          <w:szCs w:val="24"/>
        </w:rPr>
        <w:t xml:space="preserve">Наименование Оборудования: ____________________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Контракт N __________ 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Заказчик (название): __________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(название компании): __________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Получатель: __________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Пункт назначения: __________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Грузоотправитель: ____________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Ящик/контейнер N ____, всего ящиков/контейнеров 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Размеры (высота, длина, ширина) __________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Вес брутто _____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кг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Вес нетто _____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кг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Два экземпляра упаковочного листа с описанием Оборудования, указанием веса нетто, веса брутто, колич</w:t>
      </w:r>
      <w:r>
        <w:rPr>
          <w:rFonts w:ascii="Times New Roman" w:hAnsi="Times New Roman" w:eastAsia="Calibri" w:cs="Times New Roman"/>
          <w:sz w:val="24"/>
          <w:szCs w:val="24"/>
        </w:rPr>
        <w:t xml:space="preserve">ества, указанием номера и даты Контракта, с приложением документации на Оборудование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требованиях.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Условия поставки товара.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Товар должен поставляться в полном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объеме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в соответствии с требованиями документации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Заказчика. 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Поставщик должен своими силами осуществить: поставку товара, разгрузку до места назначения. Поставщик несет ответственность за всякого рода порчу товара вследствие некачественной или ненадлежащей упаковки и транспортировки.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При поставке Оборудования Поставщик представляет следующую документацию: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копию регистрационного удостоверения на Оборудование;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техническую и (или) эксплуатационную документацию производителя (изготовителя) Оборудования на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русском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языке;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товарную накладную, оформленную в установленном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порядке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гарантию производителя на Оборудование, срок действия которой составляет 12 месяцев, оформленную в виде отдельного документа;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гарантию Поставщика на Оборудование, срок действия которой должен составлять не менее срока действия гарантии производителя на Оборудование, оформленную в виде отдельного документа;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копию документа, подтверждающего соответствие Оборудования, выданного уполномоченными органами (организациями);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сведения, необходимые д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ля работы с Оборудованием, включая предоставление ключей, паролей доступа (если это предусмотрено производителем оборудования) и иных сведений, необходимых для монтажа, наладки, применения, эксплуатации, технического обслуживания данного вида Оборудования.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Порядок приемки товаров: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Приемка поставленного Оборудования осуществляется в ходе передачи Оборудования Заказчику (Получателю) в Месте доставки и включает в себя следующее: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а) проверку по упаковочным листам номенклатуры поставленного Оборудования на соответствие Спецификации  и Техническим требованиям;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б) проверку полноты и правильности оформления комплекта сопроводительных документов в соответствии с условиями Контракта;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в) контроль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наличия/отсутствия внешних повреждений оригинальной упаковки Оборудования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г) проверку наличия необходимых документов (копий документов) на Оборудование: регистрационных удостоверений, документа, подтверждающего соответствие Оборудования, выданного уполномоченными органами (организациями);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д) проверку наличия технической и (или) эксплуатационной документации производителя (изготовителя) Оборудования на русском языке;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е) проверку комплектности и целостности поставленного Оборудования.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Приемка Оборудования осуществляется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соответствии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 требованиями законодательства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факту приемки Оборудования Поставщик и Заказчик (Получатель) подписывают Акт приема-передачи Оборудования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425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3.3. Товар должен соответствовать требованиям, подтверждающих качество Товара, обеспечивающие ее безопасность для жизни и здоровья окружающих.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425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  <w:t xml:space="preserve">3.4.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вместе с поставляемым Товаром направляет оригиналы первичных бухгалтерских документов: счет на оплату, счет-фактура (при наличии), товарная накладная (или универсальный передаточный документ (УПД)),  а также необходимые документы, предусмотренн</w:t>
      </w:r>
      <w:r>
        <w:rPr>
          <w:rFonts w:ascii="Times New Roman" w:hAnsi="Times New Roman" w:eastAsia="Calibri" w:cs="Times New Roman"/>
          <w:sz w:val="24"/>
          <w:szCs w:val="24"/>
        </w:rPr>
        <w:t xml:space="preserve">ые действующим законодательством РФ: документы, подтверждающие страну происхождения товара, документы, подтверждающие качество - копии сертификата или декларации соответствия, заверенные надлежащим образом в соответствии с действующим законодательством РФ.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Первичные бухгалтерские документы (наименование, количество, единицы измерения, цена) должны полностью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соответствовать спецификации Договора и содержать указания на ИГК (</w:t>
      </w:r>
      <w:r>
        <w:rPr>
          <w:rFonts w:ascii="Calibri" w:hAnsi="Calibri" w:eastAsia="Calibri" w:cs="Times New Roman"/>
        </w:rPr>
        <w:t xml:space="preserve">000000Ю807526QXC0002</w:t>
      </w:r>
      <w:r>
        <w:rPr>
          <w:rFonts w:ascii="Times New Roman" w:hAnsi="Times New Roman" w:eastAsia="Calibri" w:cs="Times New Roman"/>
          <w:sz w:val="24"/>
          <w:szCs w:val="24"/>
        </w:rPr>
        <w:t xml:space="preserve">).</w:t>
      </w: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3.5. Приёмка Товара по качеству и количеству производится, приемочной комиссией Заказчика и оформляется Актом приемки товаров, работ, услуг (ф.0510452). Приемка Товара по акту осуществляется в течение 20 (Двадцати) рабочих дней со дня поставки 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овара на склад Заказчика и предоставлении первичных бухгалтерских документов, оформленных в соответствии с действующим законодательством РФ. Приемочная комиссия Заказчика проверяет соответствие Товара сведениям, указанным в транспортных и сопроводительных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документах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(включая настоящий контракт) по наименованию, количеству и качеству в случае их соответствия формирует и подписывает Акт приемки товаров, работ, услуг (ф.05104</w:t>
      </w:r>
      <w:r>
        <w:rPr>
          <w:rFonts w:ascii="Times New Roman" w:hAnsi="Times New Roman" w:eastAsia="Calibri" w:cs="Times New Roman"/>
          <w:sz w:val="24"/>
          <w:szCs w:val="24"/>
        </w:rPr>
        <w:t xml:space="preserve">52) с указанием (отсутствием) недостатков. Приемочная комиссия Заказчика направляет Акт приемки товаров, работ, услуг (ф.0510452) Поставщику. В случае если при приемке Товара будет обнаружен Товар не надлежащего качества или несоответствующего ассортимента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Заказчик может отказаться от приемки Товара, уведомив об этом Поставщика. При этом Поставщик обязан заменить некачественный или не соответствующий ассортименту Товар на качественный или соответствующий ассортименту в срок - не более 3(трех) рабочих дней.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3.6. Датой приемки Товара считается дата  подписания акта приемки товаров, работ, услуг (ф.0510452).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IV. Обязательства Сторон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 Поставщик обязан: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4.1.1. поставить Товар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порядке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количестве, в срок и на условиях, предусмотренных Контрактом и Спецификацией (Приложение № 1 к Контракту);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4.1.2. обеспечить соответствие поставляемог</w:t>
      </w:r>
      <w:r>
        <w:rPr>
          <w:rFonts w:ascii="Times New Roman" w:hAnsi="Times New Roman" w:eastAsia="Calibri" w:cs="Times New Roman"/>
          <w:sz w:val="24"/>
          <w:szCs w:val="24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порядке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на условиях, предусмотренных Контрактом;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4.1.4. 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4.1.5. поставка Товара осуществляется путем передачи Поставщиком Товара, транспортных, Товаросопроводительных и (или) иных документов, подтверждающих доставку Товара Заказчику.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 Поставщик вправе: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4.2.1. требовать от Заказчика произвести приемку Товара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порядке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в сроки, предусмотренные Контрактом;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4.2.2. требовать своевременной оплаты на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условиях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установленных Контрактом, надлежащим образом поставленного и принятого Заказчиком Товара;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4.2.4. требовать возмещения убытков, уплаты неустоек (штрафов, пеней)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соответствии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 разделом VI Контракта;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ч. 4 статьи 14 Федерального закона от 5 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апреля 2013 г. N 44-ФЗ "О контрактной системе в сфере закупок товаров, работ, услуг для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обеспечения государственных и муниципальных нужд"</w:t>
      </w:r>
      <w:r>
        <w:rPr>
          <w:rFonts w:ascii="Times New Roman" w:hAnsi="Times New Roman" w:eastAsia="Calibri" w:cs="Times New Roman"/>
          <w:sz w:val="24"/>
          <w:szCs w:val="24"/>
        </w:rPr>
        <w:t xml:space="preserve"> )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 Заказчик обязуется: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порядке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сроки, предусмотренные Контрактом;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4.3.2. требовать уплаты неустоек (штрафов, пеней)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соответствии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 разделом VI Контракта;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 Заказчик вправе: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4.4.1. требовать от Поставщика надлежащего исполнения обязательств по Контракту;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4.4.4. требовать возмещения убытков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соответствии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 разделом VI Контракта, причиненных по вине Поставщика;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4.4.6. отказаться от приемки и оплаты Товара, не соответствующего условиям Контракта;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4.4.7.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V. Качество Товара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5.1. Поставляемый Товар должен быть новым Товаром (Товаром, который не был в употреблении, в ремонте, в том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числе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предусмотреноКонтрактом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доставляется и разгружается силами и за счет Поставщика. Поставщик несет ответственность за всякого рода порчу товара вследствие некачественной или ненадлежащей упаковки и транспортировки.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5.2. Т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ребования к упаковке, маркировке: Приобретаемый товар должен иметь упаковку, которая обеспечивает сохранность товара при транспортировке и погрузочно-разгрузочных работах к конечному месту эксплуатации до приемки его заказчиком, включая условия перегрузки.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Маркировка, упаковка товара должна соответствовать требованиям нормативно-технической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документации, утвержденной в установленном порядке. Маркировка товара должна содержать наименование изделия,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5.3. Требование к безопасности Товара: Товар должен соответствовать санитарным правилам и нормам, утвержденным федеральным органом исполнительной власти по государственном</w:t>
      </w:r>
      <w:r>
        <w:rPr>
          <w:rFonts w:ascii="Times New Roman" w:hAnsi="Times New Roman" w:eastAsia="Calibri" w:cs="Times New Roman"/>
          <w:sz w:val="24"/>
          <w:szCs w:val="24"/>
        </w:rPr>
        <w:t xml:space="preserve">у надзору в области стандартизации и сертификации, федеральным органом исполнительной власти в области государственного санитарно-эпидемиологического надзора в соответствии с их компетенцией и в установленном законодательством Российской Федерации порядке.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 должен соответствовать требованиям,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подтверждающих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качество товара, обеспечивающие ее безопасность для жизни и здоровья.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5.4. Требования к гарантии качества Товара, а также требования к гарантийному сроку и (или) объему предоставления гарантий их качества, к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Гарантийный срок на поставляемый Товар составляет 12 месяцев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 даты подписания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документа о приемке и не менее гарантийного срока, указанного Производителем в документации на Товар.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5.5. Доставка Товара должна осуществляется с учетом условий, обеспечивающих надлежащий уровень сохранности при транспортировке.  Поставщик несет все риски, связанные с хранением товара до момента передачи его Заказчику.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VI. Ответственность Сторон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6.1. Сторона Контракта, имущественные интересы (деловая репутация) которой нарушены в результате неисполнения или ненадлежащего исполнения обязательств по Контракту другой Стороной, вправе требовать полного возмещения причиненных ей этой Стороной убытков.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6.2. Ответственность Поставщика: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случае просрочки исполнения Поставщиком обязательств (в том числ</w:t>
      </w:r>
      <w:r>
        <w:rPr>
          <w:rFonts w:ascii="Times New Roman" w:hAnsi="Times New Roman" w:eastAsia="Calibri" w:cs="Times New Roman"/>
          <w:sz w:val="24"/>
          <w:szCs w:val="24"/>
        </w:rPr>
        <w:t xml:space="preserve">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Пеня начисляется за каждый день про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 каждый факт неисполнен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10 процентов цены Контракта (этапа)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случае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если цена Контракта (этапа) не превышает 3 млн. рублей – ____________ руб.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1000 рублей, если цена Контракта не превышает 3 млн. рублей.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6.3. Ответственность Заказчика: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случае просрочки исполнения Заказчиком обязатель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Пеня начисляется за каждый день просрочки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Такая пеня устанавливается Контрактом в размере одной трехсотой действующей на дату уплаты пеней </w:t>
      </w:r>
      <w:hyperlink r:id="rId10" w:tooltip="consultantplus://offline/ref=BEDDEDB8E80613988CD2DCD90BCF289085C3F5E9EA60F86EF622A6CBEF34AB6E27B56862AA2EB4C811F13B3175D857E9CDCA3CDB56AA1274q5C" w:history="1">
        <w:r>
          <w:rPr>
            <w:rFonts w:ascii="Times New Roman" w:hAnsi="Times New Roman" w:eastAsia="Calibri" w:cs="Times New Roman"/>
            <w:sz w:val="24"/>
            <w:szCs w:val="24"/>
          </w:rPr>
          <w:t xml:space="preserve">ключевой ставки</w:t>
        </w:r>
      </w:hyperlink>
      <w:r>
        <w:rPr>
          <w:rFonts w:ascii="Times New Roman" w:hAnsi="Times New Roman" w:eastAsia="Calibri" w:cs="Times New Roman"/>
          <w:sz w:val="24"/>
          <w:szCs w:val="24"/>
        </w:rPr>
        <w:t xml:space="preserve"> Центрального банка Российской Федерации от не уплаченной в срок суммы.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следующем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1000 рублей, если цена контракта не превышает 3 млн. рублей (включительно).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Применение штрафных санкций не освобождает Стороны от исполнения обязательств по настоящему Контракту.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US"/>
        </w:rPr>
        <w:t xml:space="preserve">VII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. Исключительные права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Товара.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7.2.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Все убытки, понесенные Заказчиком в случае нарушения исключительных прав третьих лиц на результаты интеллектуа</w:t>
      </w:r>
      <w:r>
        <w:rPr>
          <w:rFonts w:ascii="Times New Roman" w:hAnsi="Times New Roman" w:eastAsia="Calibri" w:cs="Times New Roman"/>
          <w:sz w:val="24"/>
          <w:szCs w:val="24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US"/>
        </w:rPr>
        <w:t xml:space="preserve">VIII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. Обстоятельства непреодолимой силы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8.2. В случае если надлежащее исполнение Стороной предусмотренных Контрактом обязательств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IX. Рассмотрение и разрешение споров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9.1. Стороны принимают необходимые м</w:t>
      </w:r>
      <w:r>
        <w:rPr>
          <w:rFonts w:ascii="Times New Roman" w:hAnsi="Times New Roman" w:eastAsia="Calibri" w:cs="Times New Roman"/>
          <w:sz w:val="24"/>
          <w:szCs w:val="24"/>
        </w:rPr>
        <w:t xml:space="preserve">еры к тому, чтобы любые спорные вопросы и разногласия, которые могут возникнуть из настоящего Контракта или в связи с ним, были урегулированы путем переговоров. Спорные вопросы, по которым Стороны не достигнут согласия, подлежат рассмотрению в Арбитражном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суде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Алтайского края.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9.2. Претензия оформляется в письменной форме. В претензии перечисляются доп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9.3. Срок рассмотрения претензии не может превышать 10 (десяти) календарных дней. Переписка Сторон может осуществляться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виде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писем или телеграмм, иного электронного сообщения - с последующим предоставлением оригинала документа.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X. Срок действия и порядок расторжения Контракта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10.1. Контра</w:t>
      </w:r>
      <w:r>
        <w:rPr>
          <w:rFonts w:ascii="Times New Roman" w:hAnsi="Times New Roman" w:eastAsia="Calibri" w:cs="Times New Roman"/>
          <w:sz w:val="24"/>
          <w:szCs w:val="24"/>
        </w:rPr>
        <w:t xml:space="preserve">кт вст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упает в силу с момента его подписания обеими Сторонами и действует до полного исполнения Сторонами всех обязательств по Контракту. Окончание срока действия Контракта не влечет прекращения неисполненных обязатель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ств 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орон по Контракту, в том числе гарантийных обязательств Поставщика.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10.2.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XI. Прочие положения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11.1.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11.2.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11.3. Изменение условий Кон</w:t>
      </w:r>
      <w:r>
        <w:rPr>
          <w:rFonts w:ascii="Times New Roman" w:hAnsi="Times New Roman" w:eastAsia="Calibri" w:cs="Times New Roman"/>
          <w:sz w:val="24"/>
          <w:szCs w:val="24"/>
        </w:rPr>
        <w:t xml:space="preserve">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11.4.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11.5.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11.6.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целях исполнения обязательств по настоящему Контракту Поставщик дает согласие на осуществление в отношении его контроля за соблюдением Заказчиком условий и порядка предоставления Субсидий, в том числе в части достижения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результатов предоставления Субсидии, который осуществляется главным распорядителем бюджетных средств, а также органами государственного (муниципального) финансового контроля в соответствии со статьями 268.1 и 269.2 Бюджетного кодекса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XII.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Антикоррупционная оговорка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12.1. Стороны обязуются соблюдать законодательство Российской Федерации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12.2.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При исполнении своих обязательств по настоящему Контрак</w:t>
      </w:r>
      <w:r>
        <w:rPr>
          <w:rFonts w:ascii="Times New Roman" w:hAnsi="Times New Roman" w:eastAsia="Calibri" w:cs="Times New Roman"/>
          <w:sz w:val="24"/>
          <w:szCs w:val="24"/>
        </w:rPr>
        <w:t xml:space="preserve">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</w:t>
      </w:r>
      <w:r>
        <w:rPr>
          <w:rFonts w:ascii="Times New Roman" w:hAnsi="Times New Roman" w:eastAsia="Calibri" w:cs="Times New Roman"/>
          <w:sz w:val="24"/>
          <w:szCs w:val="24"/>
        </w:rPr>
        <w:t xml:space="preserve">целью получить какие-либо неправомерные преимущества или достичь неправомерных целей.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12.3.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XIII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Перечень приложений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13.1. Неотъемлемой частью Контракта является следующее приложение: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Спецификация (Приложение № 1 к Контракту).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both"/>
        <w:keepNext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contextualSpacing/>
        <w:jc w:val="center"/>
        <w:keepNext/>
        <w:spacing w:after="0" w:line="240" w:lineRule="auto"/>
        <w:tabs>
          <w:tab w:val="left" w:pos="2310" w:leader="none"/>
        </w:tabs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XI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val="en-US"/>
        </w:rPr>
        <w:t xml:space="preserve">V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. Реквизиты сторон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tabs>
          <w:tab w:val="left" w:pos="231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ar-SA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ФГБОУ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«Алтайский государственный университет»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ИНН 2225004738    КПП 222501001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Юридический адрес: 656049 г. Барнаул пр. Ленина, д.61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Телефон 8(3852) 29-66-51, адрес эл. почты: rector@asu.ru,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uoz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@</w:t>
      </w:r>
      <w:r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m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ail.asu.ru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Банк получателя: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ОКЦ № 1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СибГУ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Банка России // УФК по Новосибирской области, г Новосибирск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БИК 015004950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Номер казначейского счета, открытого территориальному органу Федерального казначейства (расчетного счета)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03215643000000015100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Номер банковского счета, открытого территориальному органу Федерального казначейства 40102810445370000043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Получатель: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УПРАВЛЕНИЕ ФЕДЕРАЛЬНОГО КАЗНАЧЕЙСТВА ПО НОВОСИБИРСКОЙ ОБЛАСТИ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zh-CN"/>
        </w:rPr>
        <w:t xml:space="preserve"> (ФГБОУ ВО «Алтайский государственный университет» 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zh-CN"/>
        </w:rPr>
        <w:t xml:space="preserve">л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zh-CN"/>
        </w:rPr>
        <w:t xml:space="preserve">/с 711U8899001)</w:t>
      </w:r>
      <w:r>
        <w:rPr>
          <w:rFonts w:ascii="Times New Roman" w:hAnsi="Times New Roman" w:eastAsia="Times New Roman" w:cs="Times New Roman"/>
          <w:bCs/>
          <w:sz w:val="22"/>
          <w:szCs w:val="22"/>
          <w:lang w:eastAsia="zh-CN"/>
        </w:rPr>
      </w:r>
      <w:r>
        <w:rPr>
          <w:rFonts w:ascii="Times New Roman" w:hAnsi="Times New Roman" w:eastAsia="Times New Roman" w:cs="Times New Roman"/>
          <w:bCs/>
          <w:sz w:val="22"/>
          <w:szCs w:val="22"/>
          <w:lang w:eastAsia="zh-CN"/>
        </w:rPr>
      </w:r>
    </w:p>
    <w:p>
      <w:pPr>
        <w:contextualSpacing/>
        <w:keepNext/>
        <w:spacing w:after="0" w:line="240" w:lineRule="auto"/>
        <w:rPr>
          <w:rFonts w:ascii="Tahoma" w:hAnsi="Tahoma" w:eastAsia="Times New Roman" w:cs="Tahoma"/>
          <w:bCs/>
          <w:sz w:val="20"/>
          <w:szCs w:val="20"/>
          <w:lang w:eastAsia="zh-CN"/>
        </w:rPr>
      </w:pPr>
      <w:r>
        <w:rPr>
          <w:rFonts w:ascii="Tahoma" w:hAnsi="Tahoma" w:eastAsia="Times New Roman" w:cs="Tahoma"/>
          <w:bCs/>
          <w:sz w:val="20"/>
          <w:szCs w:val="20"/>
          <w:lang w:eastAsia="zh-CN"/>
        </w:rPr>
      </w:r>
      <w:r>
        <w:rPr>
          <w:rFonts w:ascii="Tahoma" w:hAnsi="Tahoma" w:eastAsia="Times New Roman" w:cs="Tahoma"/>
          <w:bCs/>
          <w:sz w:val="20"/>
          <w:szCs w:val="20"/>
          <w:lang w:eastAsia="zh-CN"/>
        </w:rPr>
      </w:r>
      <w:r>
        <w:rPr>
          <w:rFonts w:ascii="Tahoma" w:hAnsi="Tahoma" w:eastAsia="Times New Roman" w:cs="Tahoma"/>
          <w:bCs/>
          <w:sz w:val="20"/>
          <w:szCs w:val="20"/>
          <w:lang w:eastAsia="zh-CN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Ректор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________________/С.Н. Бочаров/                               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МП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ind w:firstLine="18"/>
        <w:jc w:val="both"/>
        <w:keepNext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ПОСТАВЩИК: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___________________/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______________/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МП</w:t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jc w:val="right"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Приложение №1 к Контракту №_______________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keepNext/>
        <w:spacing w:after="0" w:line="240" w:lineRule="auto"/>
        <w:tabs>
          <w:tab w:val="left" w:pos="4211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Cs/>
          <w:sz w:val="21"/>
          <w:szCs w:val="21"/>
          <w:lang w:eastAsia="ru-RU"/>
        </w:rPr>
        <w:t xml:space="preserve">Поставка, ввод в эксплуатацию, обучение правилам эксплуатации специалистов, эксплуатирующих медицинское изделие: «Термостат лабораторный»  в </w:t>
      </w:r>
      <w:r>
        <w:rPr>
          <w:rFonts w:ascii="Times New Roman" w:hAnsi="Times New Roman" w:eastAsia="Times New Roman" w:cs="Times New Roman"/>
          <w:bCs/>
          <w:sz w:val="21"/>
          <w:szCs w:val="21"/>
          <w:lang w:eastAsia="ru-RU"/>
        </w:rPr>
        <w:t xml:space="preserve">рамках</w:t>
      </w:r>
      <w:r>
        <w:rPr>
          <w:rFonts w:ascii="Times New Roman" w:hAnsi="Times New Roman" w:eastAsia="Times New Roman" w:cs="Times New Roman"/>
          <w:bCs/>
          <w:sz w:val="21"/>
          <w:szCs w:val="21"/>
          <w:lang w:eastAsia="ru-RU"/>
        </w:rPr>
        <w:t xml:space="preserve"> реализации федерального проекта «Университеты для поколения лидеров».</w:t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 xml:space="preserve">Функциональные, технические и качественные характеристики, эксплуатационные характеристики объекта закупки:</w:t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eastAsia="Calibri" w:cs="Times New Roman"/>
          <w:b/>
          <w:i/>
          <w:sz w:val="21"/>
          <w:szCs w:val="21"/>
        </w:rPr>
      </w:pPr>
      <w:r>
        <w:rPr>
          <w:rFonts w:ascii="Times New Roman" w:hAnsi="Times New Roman" w:eastAsia="Times New Roman" w:cs="Times New Roman"/>
          <w:b/>
          <w:i/>
          <w:sz w:val="21"/>
          <w:szCs w:val="21"/>
        </w:rPr>
        <w:t xml:space="preserve">Таблица №1. Описание объекта закупки</w:t>
      </w:r>
      <w:r>
        <w:rPr>
          <w:rFonts w:ascii="Times New Roman" w:hAnsi="Times New Roman" w:eastAsia="Calibri" w:cs="Times New Roman"/>
          <w:b/>
          <w:i/>
          <w:sz w:val="21"/>
          <w:szCs w:val="21"/>
        </w:rPr>
      </w:r>
      <w:r>
        <w:rPr>
          <w:rFonts w:ascii="Times New Roman" w:hAnsi="Times New Roman" w:eastAsia="Calibri" w:cs="Times New Roman"/>
          <w:b/>
          <w:i/>
          <w:sz w:val="21"/>
          <w:szCs w:val="21"/>
        </w:rPr>
      </w:r>
    </w:p>
    <w:tbl>
      <w:tblPr>
        <w:tblW w:w="94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09"/>
        <w:gridCol w:w="1134"/>
        <w:gridCol w:w="1276"/>
        <w:gridCol w:w="850"/>
        <w:gridCol w:w="1701"/>
      </w:tblGrid>
      <w:tr>
        <w:tblPrEx/>
        <w:trPr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Краткое описание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Цена за ед. товара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Страна происхождения товара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9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Термостат лабораторный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Тип: Термостат твердотельный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Функция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нагрева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:Н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аличие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Функция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охлаждения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:Н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аличие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от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перегрева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:Н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аличие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Диапазон регулировки температуры: от -5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°С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до 100°С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скорость нагрева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perscript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С/мин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): 12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скорость охлаждения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vertAlign w:val="superscript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С/мин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): 15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Дисплей жидкокристаллический: Наличие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программ: 5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Термоблок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 для пробирок объемом 2 мл: Наличие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мест для пробирок объемом 2 мл: 24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r>
          </w:p>
        </w:tc>
      </w:tr>
    </w:tbl>
    <w:p>
      <w:pPr>
        <w:contextualSpacing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ЗАКАЗЧИК: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Ректор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keepNext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________________/С.Н. Бочаров/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МП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ind w:firstLine="18"/>
        <w:jc w:val="both"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ПОСТАВЩИК: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firstLine="18"/>
        <w:jc w:val="both"/>
        <w:keepNext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________________/____________/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keepNext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МП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18"/>
        <w:jc w:val="both"/>
        <w:keepNext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4"/>
      <w:numFmt w:val="decimal"/>
      <w:isLgl w:val="false"/>
      <w:suff w:val="tab"/>
      <w:lvlText w:val="%1.%2"/>
      <w:lvlJc w:val="left"/>
      <w:pPr>
        <w:ind w:left="600" w:hanging="360"/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00" w:hanging="720"/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720"/>
        <w:tabs>
          <w:tab w:val="num" w:pos="0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040" w:hanging="1080"/>
        <w:tabs>
          <w:tab w:val="num" w:pos="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280" w:hanging="1080"/>
        <w:tabs>
          <w:tab w:val="num" w:pos="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880" w:hanging="1440"/>
        <w:tabs>
          <w:tab w:val="num" w:pos="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120" w:hanging="1440"/>
        <w:tabs>
          <w:tab w:val="num" w:pos="0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720" w:hanging="1800"/>
        <w:tabs>
          <w:tab w:val="num" w:pos="0" w:leader="none"/>
        </w:tabs>
      </w:pPr>
      <w:rPr>
        <w:color w:val="00000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  <w:pPr>
      <w:spacing w:line="256" w:lineRule="auto"/>
    </w:pPr>
  </w:style>
  <w:style w:type="paragraph" w:styleId="669">
    <w:name w:val="Heading 1"/>
    <w:basedOn w:val="668"/>
    <w:next w:val="668"/>
    <w:link w:val="921"/>
    <w:uiPriority w:val="9"/>
    <w:qFormat/>
    <w:pPr>
      <w:ind w:left="432"/>
      <w:keepNext/>
      <w:spacing w:before="240" w:after="60" w:line="240" w:lineRule="auto"/>
      <w:tabs>
        <w:tab w:val="num" w:pos="0" w:leader="none"/>
      </w:tabs>
      <w:outlineLvl w:val="0"/>
    </w:pPr>
    <w:rPr>
      <w:rFonts w:ascii="Times New Roman" w:hAnsi="Times New Roman" w:eastAsia="Times New Roman" w:cs="Calibri"/>
      <w:b/>
      <w:bCs/>
      <w:i/>
      <w:iCs/>
      <w:sz w:val="40"/>
      <w:szCs w:val="40"/>
      <w:lang w:eastAsia="ar-SA"/>
    </w:rPr>
  </w:style>
  <w:style w:type="paragraph" w:styleId="670">
    <w:name w:val="Heading 2"/>
    <w:basedOn w:val="668"/>
    <w:next w:val="668"/>
    <w:link w:val="7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1">
    <w:name w:val="Heading 3"/>
    <w:basedOn w:val="668"/>
    <w:next w:val="668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next w:val="668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next w:val="668"/>
    <w:link w:val="7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668"/>
    <w:next w:val="668"/>
    <w:link w:val="7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5">
    <w:name w:val="Heading 7"/>
    <w:basedOn w:val="668"/>
    <w:next w:val="668"/>
    <w:link w:val="76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6">
    <w:name w:val="Heading 8"/>
    <w:basedOn w:val="668"/>
    <w:next w:val="668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7">
    <w:name w:val="Heading 9"/>
    <w:basedOn w:val="668"/>
    <w:next w:val="668"/>
    <w:link w:val="76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table" w:styleId="681" w:customStyle="1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 w:customStyle="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 w:customStyle="1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4" w:customStyle="1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 w:customStyle="1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 w:customStyle="1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0" w:customStyle="1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91" w:customStyle="1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92" w:customStyle="1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93" w:customStyle="1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695" w:customStyle="1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98" w:customStyle="1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699" w:customStyle="1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00" w:customStyle="1">
    <w:name w:val="Таблица простая 11"/>
    <w:basedOn w:val="67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 w:customStyle="1">
    <w:name w:val="Таблица простая 2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 w:customStyle="1">
    <w:name w:val="Таблица простая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 w:customStyle="1">
    <w:name w:val="Таблица простая 4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Таблица простая 5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 w:customStyle="1">
    <w:name w:val="Таблица-сетка 1 светл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Таблица-сетка 2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Таблица-сетка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Таблица-сетка 4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 w:customStyle="1">
    <w:name w:val="Таблица-сетка 5 тем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10" w:customStyle="1">
    <w:name w:val="Таблица-сетка 6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1" w:customStyle="1">
    <w:name w:val="Таблица-сетка 7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12" w:customStyle="1">
    <w:name w:val="Список-таблица 1 светл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Список-таблица 2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14" w:customStyle="1">
    <w:name w:val="Список-таблица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Список-таблица 4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Список-таблица 5 тем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17" w:customStyle="1">
    <w:name w:val="Список-таблица 6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18" w:customStyle="1">
    <w:name w:val="Список-таблица 7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19" w:customStyle="1">
    <w:name w:val="Таблица простая 11"/>
    <w:basedOn w:val="67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 w:customStyle="1">
    <w:name w:val="Таблица простая 2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 w:customStyle="1">
    <w:name w:val="Таблица простая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 w:customStyle="1">
    <w:name w:val="Таблица простая 4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Таблица простая 5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 w:customStyle="1">
    <w:name w:val="Таблица-сетка 1 светл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Таблица-сетка 2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Таблица-сетка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Таблица-сетка 4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 w:customStyle="1">
    <w:name w:val="Таблица-сетка 5 тем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Таблица-сетка 6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Таблица-сетка 7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1" w:customStyle="1">
    <w:name w:val="Список-таблица 1 светл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Список-таблица 2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3" w:customStyle="1">
    <w:name w:val="Список-таблица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Список-таблица 4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Список-таблица 5 тем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36" w:customStyle="1">
    <w:name w:val="Список-таблица 6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37" w:customStyle="1">
    <w:name w:val="Список-таблица 7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38" w:customStyle="1">
    <w:name w:val="Heading 2 Char"/>
    <w:basedOn w:val="678"/>
    <w:uiPriority w:val="9"/>
    <w:rPr>
      <w:rFonts w:ascii="Arial" w:hAnsi="Arial" w:eastAsia="Arial" w:cs="Arial"/>
      <w:sz w:val="34"/>
    </w:rPr>
  </w:style>
  <w:style w:type="character" w:styleId="739" w:customStyle="1">
    <w:name w:val="Heading 3 Char"/>
    <w:basedOn w:val="678"/>
    <w:uiPriority w:val="9"/>
    <w:rPr>
      <w:rFonts w:ascii="Arial" w:hAnsi="Arial" w:eastAsia="Arial" w:cs="Arial"/>
      <w:sz w:val="30"/>
      <w:szCs w:val="30"/>
    </w:rPr>
  </w:style>
  <w:style w:type="character" w:styleId="740" w:customStyle="1">
    <w:name w:val="Heading 4 Char"/>
    <w:basedOn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Heading 5 Char"/>
    <w:basedOn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Heading 6 Char"/>
    <w:basedOn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Heading 7 Char"/>
    <w:basedOn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Heading 8 Char"/>
    <w:basedOn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Heading 9 Char"/>
    <w:basedOn w:val="678"/>
    <w:uiPriority w:val="9"/>
    <w:rPr>
      <w:rFonts w:ascii="Arial" w:hAnsi="Arial" w:eastAsia="Arial" w:cs="Arial"/>
      <w:i/>
      <w:iCs/>
      <w:sz w:val="21"/>
      <w:szCs w:val="21"/>
    </w:rPr>
  </w:style>
  <w:style w:type="character" w:styleId="746" w:customStyle="1">
    <w:name w:val="Title Char"/>
    <w:basedOn w:val="678"/>
    <w:uiPriority w:val="10"/>
    <w:rPr>
      <w:sz w:val="48"/>
      <w:szCs w:val="48"/>
    </w:rPr>
  </w:style>
  <w:style w:type="character" w:styleId="747" w:customStyle="1">
    <w:name w:val="Subtitle Char"/>
    <w:basedOn w:val="678"/>
    <w:uiPriority w:val="11"/>
    <w:rPr>
      <w:sz w:val="24"/>
      <w:szCs w:val="24"/>
    </w:rPr>
  </w:style>
  <w:style w:type="character" w:styleId="748" w:customStyle="1">
    <w:name w:val="Quote Char"/>
    <w:uiPriority w:val="29"/>
    <w:rPr>
      <w:i/>
    </w:rPr>
  </w:style>
  <w:style w:type="character" w:styleId="749" w:customStyle="1">
    <w:name w:val="Intense Quote Char"/>
    <w:uiPriority w:val="30"/>
    <w:rPr>
      <w:i/>
    </w:rPr>
  </w:style>
  <w:style w:type="character" w:styleId="750" w:customStyle="1">
    <w:name w:val="Header Char"/>
    <w:basedOn w:val="678"/>
    <w:uiPriority w:val="99"/>
  </w:style>
  <w:style w:type="character" w:styleId="751" w:customStyle="1">
    <w:name w:val="Caption Char"/>
    <w:uiPriority w:val="99"/>
  </w:style>
  <w:style w:type="character" w:styleId="752" w:customStyle="1">
    <w:name w:val="Footnote Text Char"/>
    <w:uiPriority w:val="99"/>
    <w:rPr>
      <w:sz w:val="18"/>
    </w:rPr>
  </w:style>
  <w:style w:type="character" w:styleId="753" w:customStyle="1">
    <w:name w:val="Endnote Text Char"/>
    <w:uiPriority w:val="99"/>
    <w:rPr>
      <w:sz w:val="20"/>
    </w:rPr>
  </w:style>
  <w:style w:type="character" w:styleId="754" w:customStyle="1">
    <w:name w:val="Heading 1 Char"/>
    <w:basedOn w:val="678"/>
    <w:uiPriority w:val="9"/>
    <w:rPr>
      <w:rFonts w:ascii="Arial" w:hAnsi="Arial" w:eastAsia="Arial" w:cs="Arial"/>
      <w:sz w:val="40"/>
      <w:szCs w:val="40"/>
    </w:rPr>
  </w:style>
  <w:style w:type="character" w:styleId="755" w:customStyle="1">
    <w:name w:val="Заголовок 2 Знак"/>
    <w:basedOn w:val="678"/>
    <w:link w:val="670"/>
    <w:uiPriority w:val="9"/>
    <w:rPr>
      <w:rFonts w:ascii="Arial" w:hAnsi="Arial" w:eastAsia="Arial" w:cs="Arial"/>
      <w:sz w:val="34"/>
    </w:rPr>
  </w:style>
  <w:style w:type="character" w:styleId="756" w:customStyle="1">
    <w:name w:val="Заголовок 3 Знак"/>
    <w:basedOn w:val="678"/>
    <w:link w:val="671"/>
    <w:uiPriority w:val="9"/>
    <w:rPr>
      <w:rFonts w:ascii="Arial" w:hAnsi="Arial" w:eastAsia="Arial" w:cs="Arial"/>
      <w:sz w:val="30"/>
      <w:szCs w:val="30"/>
    </w:rPr>
  </w:style>
  <w:style w:type="character" w:styleId="757" w:customStyle="1">
    <w:name w:val="Заголовок 4 Знак"/>
    <w:basedOn w:val="678"/>
    <w:link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758" w:customStyle="1">
    <w:name w:val="Заголовок 5 Знак"/>
    <w:basedOn w:val="678"/>
    <w:link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759" w:customStyle="1">
    <w:name w:val="Заголовок 6 Знак"/>
    <w:basedOn w:val="67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760" w:customStyle="1">
    <w:name w:val="Заголовок 7 Знак"/>
    <w:basedOn w:val="678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1" w:customStyle="1">
    <w:name w:val="Заголовок 8 Знак"/>
    <w:basedOn w:val="67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762" w:customStyle="1">
    <w:name w:val="Заголовок 9 Знак"/>
    <w:basedOn w:val="678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763">
    <w:name w:val="List Paragraph"/>
    <w:basedOn w:val="668"/>
    <w:uiPriority w:val="34"/>
    <w:qFormat/>
    <w:pPr>
      <w:contextualSpacing/>
      <w:ind w:left="720"/>
    </w:pPr>
  </w:style>
  <w:style w:type="paragraph" w:styleId="764">
    <w:name w:val="Title"/>
    <w:basedOn w:val="668"/>
    <w:next w:val="668"/>
    <w:link w:val="7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5" w:customStyle="1">
    <w:name w:val="Название Знак"/>
    <w:basedOn w:val="678"/>
    <w:link w:val="764"/>
    <w:uiPriority w:val="10"/>
    <w:rPr>
      <w:sz w:val="48"/>
      <w:szCs w:val="48"/>
    </w:rPr>
  </w:style>
  <w:style w:type="paragraph" w:styleId="766">
    <w:name w:val="Subtitle"/>
    <w:basedOn w:val="668"/>
    <w:next w:val="668"/>
    <w:link w:val="767"/>
    <w:uiPriority w:val="11"/>
    <w:qFormat/>
    <w:pPr>
      <w:spacing w:before="200" w:after="200"/>
    </w:pPr>
    <w:rPr>
      <w:sz w:val="24"/>
      <w:szCs w:val="24"/>
    </w:rPr>
  </w:style>
  <w:style w:type="character" w:styleId="767" w:customStyle="1">
    <w:name w:val="Подзаголовок Знак"/>
    <w:basedOn w:val="678"/>
    <w:link w:val="766"/>
    <w:uiPriority w:val="11"/>
    <w:rPr>
      <w:sz w:val="24"/>
      <w:szCs w:val="24"/>
    </w:rPr>
  </w:style>
  <w:style w:type="paragraph" w:styleId="768">
    <w:name w:val="Quote"/>
    <w:basedOn w:val="668"/>
    <w:next w:val="668"/>
    <w:link w:val="769"/>
    <w:uiPriority w:val="29"/>
    <w:qFormat/>
    <w:pPr>
      <w:ind w:left="720" w:right="720"/>
    </w:pPr>
    <w:rPr>
      <w:i/>
    </w:rPr>
  </w:style>
  <w:style w:type="character" w:styleId="769" w:customStyle="1">
    <w:name w:val="Цитата 2 Знак"/>
    <w:link w:val="768"/>
    <w:uiPriority w:val="29"/>
    <w:rPr>
      <w:i/>
    </w:rPr>
  </w:style>
  <w:style w:type="paragraph" w:styleId="770">
    <w:name w:val="Intense Quote"/>
    <w:basedOn w:val="668"/>
    <w:next w:val="668"/>
    <w:link w:val="77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1" w:customStyle="1">
    <w:name w:val="Выделенная цитата Знак"/>
    <w:link w:val="770"/>
    <w:uiPriority w:val="30"/>
    <w:rPr>
      <w:i/>
    </w:rPr>
  </w:style>
  <w:style w:type="paragraph" w:styleId="772">
    <w:name w:val="Header"/>
    <w:basedOn w:val="668"/>
    <w:link w:val="7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3" w:customStyle="1">
    <w:name w:val="Верхний колонтитул Знак"/>
    <w:basedOn w:val="678"/>
    <w:link w:val="772"/>
    <w:uiPriority w:val="99"/>
  </w:style>
  <w:style w:type="paragraph" w:styleId="774">
    <w:name w:val="Footer"/>
    <w:basedOn w:val="668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5" w:customStyle="1">
    <w:name w:val="Footer Char"/>
    <w:basedOn w:val="678"/>
    <w:uiPriority w:val="99"/>
  </w:style>
  <w:style w:type="paragraph" w:styleId="776">
    <w:name w:val="Caption"/>
    <w:basedOn w:val="668"/>
    <w:next w:val="66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77" w:customStyle="1">
    <w:name w:val="Нижний колонтитул Знак"/>
    <w:link w:val="774"/>
    <w:uiPriority w:val="99"/>
  </w:style>
  <w:style w:type="table" w:styleId="778" w:customStyle="1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 w:customStyle="1">
    <w:name w:val="Таблица простая 11"/>
    <w:basedOn w:val="67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 w:customStyle="1">
    <w:name w:val="Таблица простая 2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 w:customStyle="1">
    <w:name w:val="Таблица простая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 w:customStyle="1">
    <w:name w:val="Таблица простая 4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Таблица простая 5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 w:customStyle="1">
    <w:name w:val="Таблица-сетка 1 светл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Таблица-сетка 2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Таблица-сетка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Таблица-сетка 4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 w:customStyle="1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07" w:customStyle="1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9" w:customStyle="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11" w:customStyle="1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2" w:customStyle="1">
    <w:name w:val="Таблица-сетка 5 тем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9" w:customStyle="1">
    <w:name w:val="Таблица-сетка 6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0" w:customStyle="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21" w:customStyle="1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2" w:customStyle="1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3" w:customStyle="1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4" w:customStyle="1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25" w:customStyle="1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26" w:customStyle="1">
    <w:name w:val="Таблица-сетка 7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Список-таблица 1 светл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Список-таблица 2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7" w:customStyle="1">
    <w:name w:val="Список-таблица 3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Список-таблица 4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Список-таблица 5 тем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Список-таблица 6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9" w:customStyle="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4" w:space="0"/>
        <w:bottom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70" w:customStyle="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1" w:customStyle="1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2" w:customStyle="1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3" w:customStyle="1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74" w:customStyle="1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5" w:customStyle="1">
    <w:name w:val="Список-таблица 7 цветная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6" w:customStyle="1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3" w:customStyle="1">
    <w:name w:val="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84" w:customStyle="1">
    <w:name w:val="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5" w:customStyle="1">
    <w:name w:val="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6" w:customStyle="1">
    <w:name w:val="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7" w:customStyle="1">
    <w:name w:val="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88" w:customStyle="1">
    <w:name w:val="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9" w:customStyle="1">
    <w:name w:val="Bordered &amp; 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Bordered &amp; 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91" w:customStyle="1">
    <w:name w:val="Bordered &amp; 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2" w:customStyle="1">
    <w:name w:val="Bordered &amp; 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3" w:customStyle="1">
    <w:name w:val="Bordered &amp; 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4" w:customStyle="1">
    <w:name w:val="Bordered &amp; 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95" w:customStyle="1">
    <w:name w:val="Bordered &amp; 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6" w:customStyle="1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7" w:customStyle="1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98" w:customStyle="1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9" w:customStyle="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0" w:customStyle="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1" w:customStyle="1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02" w:customStyle="1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03">
    <w:name w:val="Hyperlink"/>
    <w:uiPriority w:val="99"/>
    <w:unhideWhenUsed/>
    <w:rPr>
      <w:color w:val="0563c1" w:themeColor="hyperlink"/>
      <w:u w:val="single"/>
    </w:rPr>
  </w:style>
  <w:style w:type="paragraph" w:styleId="904">
    <w:name w:val="footnote text"/>
    <w:basedOn w:val="668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 w:customStyle="1">
    <w:name w:val="Текст сноски Знак"/>
    <w:link w:val="904"/>
    <w:uiPriority w:val="99"/>
    <w:rPr>
      <w:sz w:val="18"/>
    </w:rPr>
  </w:style>
  <w:style w:type="character" w:styleId="906">
    <w:name w:val="footnote reference"/>
    <w:basedOn w:val="678"/>
    <w:uiPriority w:val="99"/>
    <w:unhideWhenUsed/>
    <w:rPr>
      <w:vertAlign w:val="superscript"/>
    </w:rPr>
  </w:style>
  <w:style w:type="paragraph" w:styleId="907">
    <w:name w:val="endnote text"/>
    <w:basedOn w:val="668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 w:customStyle="1">
    <w:name w:val="Текст концевой сноски Знак"/>
    <w:link w:val="907"/>
    <w:uiPriority w:val="99"/>
    <w:rPr>
      <w:sz w:val="20"/>
    </w:rPr>
  </w:style>
  <w:style w:type="character" w:styleId="909">
    <w:name w:val="endnote reference"/>
    <w:basedOn w:val="678"/>
    <w:uiPriority w:val="99"/>
    <w:semiHidden/>
    <w:unhideWhenUsed/>
    <w:rPr>
      <w:vertAlign w:val="superscript"/>
    </w:rPr>
  </w:style>
  <w:style w:type="paragraph" w:styleId="910">
    <w:name w:val="toc 1"/>
    <w:basedOn w:val="668"/>
    <w:next w:val="668"/>
    <w:uiPriority w:val="39"/>
    <w:unhideWhenUsed/>
    <w:pPr>
      <w:spacing w:after="57"/>
    </w:pPr>
  </w:style>
  <w:style w:type="paragraph" w:styleId="911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912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913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914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915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916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917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918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668"/>
    <w:next w:val="668"/>
    <w:uiPriority w:val="99"/>
    <w:unhideWhenUsed/>
    <w:pPr>
      <w:spacing w:after="0"/>
    </w:pPr>
  </w:style>
  <w:style w:type="character" w:styleId="921" w:customStyle="1">
    <w:name w:val="Заголовок 1 Знак"/>
    <w:basedOn w:val="678"/>
    <w:link w:val="669"/>
    <w:uiPriority w:val="9"/>
    <w:rPr>
      <w:rFonts w:ascii="Times New Roman" w:hAnsi="Times New Roman" w:eastAsia="Times New Roman" w:cs="Calibri"/>
      <w:b/>
      <w:bCs/>
      <w:i/>
      <w:iCs/>
      <w:sz w:val="40"/>
      <w:szCs w:val="40"/>
      <w:lang w:eastAsia="ar-SA"/>
    </w:rPr>
  </w:style>
  <w:style w:type="character" w:styleId="922" w:customStyle="1">
    <w:name w:val="Без интервала Знак"/>
    <w:link w:val="923"/>
  </w:style>
  <w:style w:type="paragraph" w:styleId="923">
    <w:name w:val="No Spacing"/>
    <w:link w:val="922"/>
    <w:qFormat/>
    <w:pPr>
      <w:spacing w:after="0" w:line="240" w:lineRule="auto"/>
    </w:pPr>
  </w:style>
  <w:style w:type="paragraph" w:styleId="924" w:customStyle="1">
    <w:name w:val="Таблицы (моноширинный)"/>
    <w:basedOn w:val="668"/>
    <w:pPr>
      <w:ind w:firstLine="720"/>
      <w:jc w:val="both"/>
      <w:spacing w:after="0" w:line="100" w:lineRule="atLeast"/>
      <w:widowControl w:val="off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925" w:customStyle="1">
    <w:name w:val="Table Paragraph"/>
    <w:basedOn w:val="668"/>
    <w:uiPriority w:val="1"/>
    <w:qFormat/>
    <w:pPr>
      <w:ind w:left="107"/>
      <w:spacing w:after="0" w:line="268" w:lineRule="exact"/>
      <w:widowControl w:val="off"/>
    </w:pPr>
    <w:rPr>
      <w:rFonts w:ascii="Times New Roman" w:hAnsi="Times New Roman" w:eastAsia="Times New Roman" w:cs="Times New Roman"/>
    </w:rPr>
  </w:style>
  <w:style w:type="table" w:styleId="926">
    <w:name w:val="Table Grid"/>
    <w:basedOn w:val="679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27" w:customStyle="1">
    <w:name w:val="form-value"/>
    <w:basedOn w:val="6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BEDDEDB8E80613988CD2DCD90BCF289085C3F5E9EA60F86EF622A6CBEF34AB6E27B56862AA2EB4C811F13B3175D857E9CDCA3CDB56AA1274q5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F0E59-A6A1-4DEA-8D7A-D6EC7D9B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Анна Юрьевна</dc:creator>
  <cp:lastModifiedBy>alferova</cp:lastModifiedBy>
  <cp:revision>16</cp:revision>
  <dcterms:created xsi:type="dcterms:W3CDTF">2026-04-29T02:32:00Z</dcterms:created>
  <dcterms:modified xsi:type="dcterms:W3CDTF">2026-08-13T07:00:10Z</dcterms:modified>
</cp:coreProperties>
</file>