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76" w:firstLine="708"/>
        <w:jc w:val="center"/>
        <w:spacing w:after="0" w:line="240" w:lineRule="auto"/>
        <w:rPr>
          <w:rFonts w:ascii="PT Astra Serif" w:hAnsi="PT Astra Serif" w:cs="PT Astra Serif"/>
          <w:b w:val="0"/>
          <w:bCs w:val="0"/>
          <w:sz w:val="24"/>
          <w:szCs w:val="24"/>
        </w:rPr>
      </w:pPr>
      <w:r>
        <w:rPr>
          <w:rFonts w:ascii="PT Astra Serif" w:hAnsi="PT Astra Serif" w:eastAsia="PT Astra Serif" w:cs="PT Astra Serif"/>
          <w:b/>
        </w:rPr>
        <w:t xml:space="preserve">Обоснование начальной (максимальной) цены контракта</w:t>
      </w:r>
      <w:r>
        <w:rPr>
          <w:rFonts w:ascii="PT Astra Serif" w:hAnsi="PT Astra Serif" w:eastAsia="PT Astra Serif" w:cs="PT Astra Serif"/>
          <w:b/>
          <w:bCs/>
        </w:rPr>
        <w:br/>
      </w:r>
      <w:r>
        <w:rPr>
          <w:rFonts w:ascii="PT Astra Serif" w:hAnsi="PT Astra Serif" w:eastAsia="PT Astra Serif" w:cs="PT Astra Serif"/>
          <w:b w:val="0"/>
          <w:bCs w:val="0"/>
        </w:rPr>
        <w:t xml:space="preserve">На о</w:t>
      </w:r>
      <w:r>
        <w:rPr>
          <w:rFonts w:ascii="PT Astra Serif" w:hAnsi="PT Astra Serif" w:eastAsia="PT Astra Serif" w:cs="PT Astra Serif"/>
          <w:b w:val="0"/>
          <w:bCs w:val="0"/>
          <w:i w:val="0"/>
          <w:strike w:val="0"/>
          <w:color w:val="000000"/>
          <w:sz w:val="24"/>
          <w:szCs w:val="24"/>
          <w:u w:val="none"/>
          <w:shd w:val="clear" w:color="auto" w:fill="auto"/>
        </w:rPr>
        <w:t xml:space="preserve">казание услуг по разработке проектно-сметной документации на т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4"/>
          <w:szCs w:val="24"/>
          <w:lang w:eastAsia="ru-RU"/>
        </w:rPr>
        <w:t xml:space="preserve">екущий ремонт помещений общей площадью 750,6 кв.м., расположенных на 2, 3 и мансардном этажах административного здания расположенного по адресу: </w:t>
      </w:r>
      <w:r>
        <w:rPr>
          <w:rFonts w:ascii="PT Astra Serif" w:hAnsi="PT Astra Serif" w:eastAsia="PT Astra Serif" w:cs="PT Astra Serif"/>
          <w:b w:val="0"/>
          <w:bCs w:val="0"/>
          <w:sz w:val="24"/>
          <w:szCs w:val="24"/>
        </w:rPr>
      </w:r>
      <w:r>
        <w:rPr>
          <w:rFonts w:ascii="PT Astra Serif" w:hAnsi="PT Astra Serif" w:cs="PT Astra Serif"/>
          <w:b w:val="0"/>
          <w:bCs w:val="0"/>
          <w:sz w:val="24"/>
          <w:szCs w:val="24"/>
        </w:rPr>
      </w:r>
    </w:p>
    <w:p>
      <w:pPr>
        <w:ind w:right="76"/>
        <w:jc w:val="center"/>
        <w:spacing w:after="0" w:line="240" w:lineRule="auto"/>
        <w:rPr>
          <w:rFonts w:ascii="PT Astra Serif" w:hAnsi="PT Astra Serif" w:cs="PT Astra Serif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4"/>
          <w:szCs w:val="24"/>
          <w:lang w:eastAsia="ru-RU"/>
        </w:rPr>
        <w:t xml:space="preserve">Республика Адыгея, г. Майкоп, ул. Пролетарская, д. 456.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PT Astra Serif" w:hAnsi="PT Astra Serif" w:cs="PT Astra Serif"/>
          <w:b w:val="0"/>
          <w:bCs w:val="0"/>
          <w:color w:val="000000"/>
          <w:sz w:val="24"/>
          <w:szCs w:val="24"/>
          <w:highlight w:val="none"/>
        </w:rPr>
      </w:r>
    </w:p>
    <w:p>
      <w:pPr>
        <w:pStyle w:val="833"/>
        <w:jc w:val="center"/>
        <w:spacing w:before="0" w:after="0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</w:p>
    <w:tbl>
      <w:tblPr>
        <w:tblW w:w="15139" w:type="dxa"/>
        <w:tblInd w:w="235" w:type="dxa"/>
        <w:tblLayout w:type="fixed"/>
        <w:tblCellMar>
          <w:left w:w="113" w:type="dxa"/>
          <w:top w:w="113" w:type="dxa"/>
          <w:right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976"/>
        <w:gridCol w:w="12162"/>
      </w:tblGrid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76" w:type="dxa"/>
            <w:textDirection w:val="lrTb"/>
            <w:noWrap w:val="false"/>
          </w:tcPr>
          <w:p>
            <w:pPr>
              <w:pStyle w:val="833"/>
              <w:jc w:val="left"/>
              <w:spacing w:before="0" w:after="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Основные характеристики объекта закупки  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62" w:type="dxa"/>
            <w:textDirection w:val="lrTb"/>
            <w:noWrap w:val="false"/>
          </w:tcPr>
          <w:p>
            <w:pPr>
              <w:ind w:right="76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На 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</w:rPr>
              <w:t xml:space="preserve">казание услуг по разработке проектно-сметной документации на 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екущий ремонт помещений общей площадью 750,6 кв.м., расположенных на 2, 3 и мансардном этажах административного здания расположенного по адресу: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Республика Адыгея, г. Майкоп, ул. Пролетарская, д. 456, в соответствии с техническим заданием</w:t>
            </w:r>
            <w:r>
              <w:rPr>
                <w:rFonts w:ascii="PT Astra Serif" w:hAnsi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4"/>
                <w:szCs w:val="24"/>
              </w:rPr>
            </w:r>
          </w:p>
          <w:p>
            <w:pPr>
              <w:jc w:val="left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  <w:lang w:val="ru-RU" w:eastAsia="zh-CN" w:bidi="ar-SA"/>
              </w:rPr>
            </w:r>
            <w:r/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76" w:type="dxa"/>
            <w:textDirection w:val="lrTb"/>
            <w:noWrap w:val="false"/>
          </w:tcPr>
          <w:p>
            <w:pPr>
              <w:pStyle w:val="833"/>
              <w:jc w:val="left"/>
              <w:spacing w:before="0" w:after="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Используемый метод определения НМЦК с обоснованием:     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62" w:type="dxa"/>
            <w:textDirection w:val="lrTb"/>
            <w:noWrap w:val="false"/>
          </w:tcPr>
          <w:p>
            <w:pPr>
              <w:pStyle w:val="833"/>
              <w:jc w:val="left"/>
              <w:spacing w:before="0" w:after="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Метод сопоставимых рыночных цен (анализа рынка)</w:t>
              <w:br/>
              <w:br/>
              <w:t xml:space="preserve">В соответствии с ч.6 статьи 22 Федерального закона от 05.04.2013 N 44-ФЗ «О контрактной системе в сфере закупок товаров, работ, услуг для обеспечения госу</w:t>
            </w:r>
            <w:r>
              <w:rPr>
                <w:rFonts w:ascii="PT Astra Serif" w:hAnsi="PT Astra Serif" w:eastAsia="PT Astra Serif" w:cs="PT Astra Serif"/>
              </w:rPr>
              <w:t xml:space="preserve">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контракта                                                                                  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  <w:tr>
        <w:tblPrEx/>
        <w:trPr/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2976" w:type="dxa"/>
            <w:textDirection w:val="lrTb"/>
            <w:noWrap w:val="false"/>
          </w:tcPr>
          <w:p>
            <w:pPr>
              <w:pStyle w:val="833"/>
              <w:jc w:val="left"/>
              <w:spacing w:before="0" w:after="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Расчет НМЦК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2162" w:type="dxa"/>
            <w:textDirection w:val="lrTb"/>
            <w:noWrap w:val="false"/>
          </w:tcPr>
          <w:p>
            <w:pPr>
              <w:pStyle w:val="843"/>
              <w:jc w:val="left"/>
              <w:spacing w:before="0" w:after="60"/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PT Astra Serif" w:hAnsi="PT Astra Serif" w:eastAsia="PT Astra Serif" w:cs="PT Astra Serif"/>
                <w:b/>
                <w:bCs/>
                <w:highlight w:val="white"/>
              </w:rPr>
              <w:t xml:space="preserve">210 000,00</w:t>
            </w:r>
            <w:r>
              <w:rPr>
                <w:rFonts w:ascii="PT Astra Serif" w:hAnsi="PT Astra Serif" w:eastAsia="PT Astra Serif" w:cs="PT Astra Serif"/>
                <w:b/>
                <w:bCs/>
                <w:highlight w:val="whit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white"/>
                <w:lang w:eastAsia="ru-RU"/>
              </w:rPr>
              <w:t xml:space="preserve">(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highlight w:val="white"/>
                <w:lang w:eastAsia="ru-RU"/>
              </w:rPr>
              <w:t xml:space="preserve">расчет Таблица №1)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230"/>
        </w:trPr>
        <w:tc>
          <w:tcPr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5138" w:type="dxa"/>
            <w:textDirection w:val="lrTb"/>
            <w:noWrap w:val="false"/>
          </w:tcPr>
          <w:p>
            <w:pPr>
              <w:pStyle w:val="833"/>
              <w:jc w:val="left"/>
              <w:spacing w:before="0" w:after="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Дата подготовки обоснования НМЦК: ___.08.202</w:t>
            </w:r>
            <w:r>
              <w:rPr>
                <w:rFonts w:ascii="PT Astra Serif" w:hAnsi="PT Astra Serif" w:eastAsia="PT Astra Serif" w:cs="PT Astra Serif"/>
              </w:rPr>
              <w:t xml:space="preserve">6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</w:rPr>
            </w:r>
          </w:p>
        </w:tc>
      </w:tr>
    </w:tbl>
    <w:p>
      <w:pPr>
        <w:jc w:val="left"/>
        <w:spacing w:before="0" w:after="0"/>
        <w:widowControl w:val="off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</w:rPr>
      </w:r>
      <w:r>
        <w:rPr>
          <w:rFonts w:ascii="PT Astra Serif" w:hAnsi="PT Astra Serif" w:cs="PT Astra Serif"/>
          <w:sz w:val="20"/>
          <w:szCs w:val="20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p>
      <w:pPr>
        <w:pStyle w:val="833"/>
        <w:jc w:val="right"/>
        <w:spacing w:before="0" w:after="200" w:line="276" w:lineRule="auto"/>
        <w:rPr>
          <w:rFonts w:ascii="PT Astra Serif" w:hAnsi="PT Astra Serif" w:cs="PT Astra Serif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sz w:val="20"/>
          <w:szCs w:val="20"/>
        </w:rPr>
      </w:r>
      <w:r>
        <w:rPr>
          <w:rFonts w:ascii="PT Astra Serif" w:hAnsi="PT Astra Serif" w:eastAsia="PT Astra Serif" w:cs="PT Astra Serif"/>
          <w:sz w:val="20"/>
          <w:szCs w:val="20"/>
        </w:rPr>
        <w:t xml:space="preserve">Таблица №1</w:t>
      </w:r>
      <w:r>
        <w:rPr>
          <w:rFonts w:ascii="PT Astra Serif" w:hAnsi="PT Astra Serif" w:cs="PT Astra Serif"/>
          <w:sz w:val="20"/>
          <w:szCs w:val="20"/>
          <w:highlight w:val="none"/>
        </w:rPr>
      </w:r>
      <w:r>
        <w:rPr>
          <w:rFonts w:ascii="PT Astra Serif" w:hAnsi="PT Astra Serif" w:cs="PT Astra Serif"/>
          <w:sz w:val="20"/>
          <w:szCs w:val="20"/>
          <w:highlight w:val="none"/>
        </w:rPr>
      </w:r>
    </w:p>
    <w:tbl>
      <w:tblPr>
        <w:tblW w:w="15450" w:type="dxa"/>
        <w:tblInd w:w="-2" w:type="dxa"/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3975"/>
        <w:gridCol w:w="1020"/>
        <w:gridCol w:w="1425"/>
        <w:gridCol w:w="1410"/>
        <w:gridCol w:w="1245"/>
        <w:gridCol w:w="1140"/>
        <w:gridCol w:w="1545"/>
        <w:gridCol w:w="1140"/>
        <w:gridCol w:w="2550"/>
      </w:tblGrid>
      <w:tr>
        <w:tblPrEx/>
        <w:trPr>
          <w:trHeight w:val="522"/>
        </w:trPr>
        <w:tc>
          <w:tcPr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450" w:type="dxa"/>
            <w:vAlign w:val="bottom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0"/>
                <w:szCs w:val="20"/>
              </w:rPr>
              <w:t xml:space="preserve">Расчет начальной (максимальной) цены контракта методом сопоставимых рыночных цен (анализа рынка)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22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397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Наименование товаров,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  <w:p>
            <w:pPr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работ, услуг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Кол-во (объем) шт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Источник №1, (руб.)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41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Источник №2, (руб.)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24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Источник №3, (руб.)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Средняя арифметическая величина цены единицы продукции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545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Среднее квадратичное отклонение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100" w:after="0"/>
              <w:widowControl w:val="off"/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Коэффициент вариации(%)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33"/>
              <w:jc w:val="center"/>
              <w:spacing w:before="0" w:after="60"/>
              <w:tabs>
                <w:tab w:val="clear" w:pos="708" w:leader="none"/>
              </w:tabs>
              <w:rPr>
                <w:rFonts w:ascii="PT Astra Serif" w:hAnsi="PT Astra Serif" w:cs="PT Astra Serif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590675" cy="619125"/>
                      <wp:effectExtent l="0" t="0" r="0" b="0"/>
                      <wp:docPr id="1" name="Рисунок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2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90675" cy="6191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25.25pt;height:48.75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="PT Astra Serif" w:hAnsi="PT Astra Serif" w:eastAsia="PT Astra Serif" w:cs="PT Astra Serif"/>
                <w:sz w:val="20"/>
                <w:szCs w:val="20"/>
              </w:rPr>
              <w:t xml:space="preserve">НМЦК (руб.)   </w:t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  <w:r>
              <w:rPr>
                <w:rFonts w:ascii="PT Astra Serif" w:hAnsi="PT Astra Serif" w:cs="PT Astra Serif"/>
                <w:sz w:val="20"/>
                <w:szCs w:val="20"/>
              </w:rPr>
            </w:r>
          </w:p>
        </w:tc>
      </w:tr>
      <w:tr>
        <w:tblPrEx/>
        <w:trPr>
          <w:trHeight w:val="522"/>
        </w:trPr>
        <w:tc>
          <w:tcPr>
            <w:tcBorders>
              <w:left w:val="single" w:color="000000" w:sz="2" w:space="0"/>
              <w:bottom w:val="single" w:color="000000" w:sz="2" w:space="0"/>
            </w:tcBorders>
            <w:tcW w:w="3975" w:type="dxa"/>
            <w:vAlign w:val="center"/>
            <w:textDirection w:val="lrTb"/>
            <w:noWrap w:val="false"/>
          </w:tcPr>
          <w:p>
            <w:pPr>
              <w:ind w:right="76" w:firstLine="0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На 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shd w:val="clear" w:color="auto" w:fill="auto"/>
              </w:rPr>
              <w:t xml:space="preserve">казание услуг по разработке проектно-сметной документации на т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екущий ремонт помещений общей площадью 750,6 кв.м., расположенных на 2, 3 и мансардном этажах административного здания расположенного по адресу: </w:t>
            </w:r>
            <w:r>
              <w:rPr>
                <w:rFonts w:ascii="PT Astra Serif" w:hAnsi="PT Astra Serif" w:cs="PT Astra Serif"/>
                <w:b w:val="0"/>
                <w:bCs w:val="0"/>
                <w:sz w:val="24"/>
                <w:szCs w:val="24"/>
              </w:rPr>
            </w:r>
            <w:r>
              <w:rPr>
                <w:rFonts w:ascii="PT Astra Serif" w:hAnsi="PT Astra Serif" w:cs="PT Astra Serif"/>
                <w:b w:val="0"/>
                <w:bCs w:val="0"/>
                <w:sz w:val="24"/>
                <w:szCs w:val="24"/>
              </w:rPr>
            </w:r>
          </w:p>
          <w:p>
            <w:pPr>
              <w:ind w:right="76"/>
              <w:jc w:val="left"/>
              <w:spacing w:after="0" w:line="240" w:lineRule="auto"/>
              <w:rPr>
                <w:rFonts w:ascii="PT Astra Serif" w:hAnsi="PT Astra Serif" w:cs="PT Astra Serif"/>
                <w:b w:val="0"/>
                <w:bCs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/>
                <w:sz w:val="24"/>
                <w:szCs w:val="24"/>
                <w:lang w:eastAsia="ru-RU"/>
              </w:rPr>
              <w:t xml:space="preserve">Республика Адыгея, г. Майкоп, ул. Пролетарская, д. 456. </w:t>
            </w:r>
            <w:r>
              <w:rPr>
                <w:rFonts w:ascii="PT Astra Serif" w:hAnsi="PT Astra Serif" w:cs="PT Astra Serif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02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220 000,00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41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200 000,00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2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210 000,00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210 000,00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54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10 000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</w:tcBorders>
            <w:tcW w:w="114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4.76%</w:t>
            </w:r>
            <w:r/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210 000,00</w:t>
            </w:r>
            <w:r/>
          </w:p>
        </w:tc>
      </w:tr>
      <w:tr>
        <w:tblPrEx/>
        <w:trPr>
          <w:trHeight w:val="276"/>
        </w:trPr>
        <w:tc>
          <w:tcPr>
            <w:gridSpan w:val="8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2900" w:type="dxa"/>
            <w:vAlign w:val="bottom"/>
            <w:textDirection w:val="lrTb"/>
            <w:noWrap w:val="false"/>
          </w:tcPr>
          <w:p>
            <w:pPr>
              <w:pStyle w:val="833"/>
              <w:jc w:val="left"/>
              <w:spacing w:before="0" w:after="60"/>
              <w:tabs>
                <w:tab w:val="clear" w:pos="708" w:leader="none"/>
              </w:tabs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Итого: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550" w:type="dxa"/>
            <w:vAlign w:val="center"/>
            <w:textDirection w:val="lrTb"/>
            <w:noWrap w:val="false"/>
          </w:tcPr>
          <w:p>
            <w:pPr>
              <w:pStyle w:val="843"/>
              <w:jc w:val="center"/>
              <w:spacing w:before="0" w:after="6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  <w:lang w:eastAsia="ru-RU"/>
              </w:rPr>
              <w:t xml:space="preserve">210 000,00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</w:tr>
    </w:tbl>
    <w:tbl>
      <w:tblPr>
        <w:tblStyle w:val="689"/>
        <w:tblW w:w="0" w:type="auto"/>
        <w:tblLook w:val="04A0" w:firstRow="1" w:lastRow="0" w:firstColumn="1" w:lastColumn="0" w:noHBand="0" w:noVBand="1"/>
      </w:tblPr>
      <w:tblGrid>
        <w:gridCol w:w="15168"/>
      </w:tblGrid>
      <w:tr>
        <w:tblPrEx/>
        <w:trPr>
          <w:trHeight w:val="22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5168" w:type="dxa"/>
            <w:vAlign w:val="center"/>
            <w:textDirection w:val="lrTb"/>
            <w:noWrap w:val="false"/>
          </w:tcPr>
          <w:p>
            <w:pPr>
              <w:jc w:val="left"/>
              <w:rPr>
                <w:rFonts w:ascii="PT Astra Serif" w:hAnsi="PT Astra Serif" w:eastAsia="PT Astra Serif" w:cs="PT Astra Serif"/>
                <w:color w:val="000000"/>
              </w:rPr>
            </w:pP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     В целях получения цено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вой информации для определения начальной (максимальной) цены контракта:</w:t>
              <w:br/>
              <w:t xml:space="preserve">     - осуществлен анализ общедоступной ценовой информации (реклама, каталоги, описание услуг и другие предложения, обращенные к неопределенному кругу лиц); </w:t>
              <w:br/>
              <w:t xml:space="preserve">   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– получены коммерческие предложения от юридических лиц (поставщиков услуги).</w:t>
            </w:r>
            <w:r>
              <w:rPr>
                <w:rFonts w:ascii="PT Astra Serif" w:hAnsi="PT Astra Serif" w:eastAsia="PT Astra Serif" w:cs="PT Astra Serif"/>
                <w:color w:val="000000"/>
              </w:rPr>
              <w:t xml:space="preserve">   </w:t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PT Astra Serif" w:hAnsi="PT Astra Serif" w:eastAsia="PT Astra Serif" w:cs="PT Astra Serif"/>
                <w:color w:val="000000"/>
              </w:rPr>
            </w:r>
          </w:p>
          <w:p>
            <w:pPr>
              <w:jc w:val="left"/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    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Информация о валюте, используемой для формирования цены  контракта: 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рубль Российской Федерации.</w:t>
            </w:r>
            <w:r>
              <w:rPr>
                <w:rFonts w:ascii="PT Astra Serif" w:hAnsi="PT Astra Serif" w:eastAsia="PT Astra Serif" w:cs="PT Astra Serif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</w:rPr>
              <w:t xml:space="preserve">  </w:t>
            </w:r>
            <w:r>
              <w:rPr>
                <w:rFonts w:ascii="PT Astra Serif" w:hAnsi="PT Astra Serif" w:eastAsia="PT Astra Serif" w:cs="PT Astra Serif"/>
                <w:color w:val="000000"/>
              </w:rPr>
              <w:t xml:space="preserve">       </w:t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  <w:r>
              <w:rPr>
                <w:rFonts w:ascii="PT Astra Serif" w:hAnsi="PT Astra Serif" w:cs="PT Astra Serif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  <w:vertAlign w:val="baseline"/>
              </w:rPr>
            </w:r>
          </w:p>
        </w:tc>
      </w:tr>
    </w:tbl>
    <w:p>
      <w:pPr>
        <w:pStyle w:val="833"/>
        <w:jc w:val="both"/>
        <w:shd w:val="clear" w:color="auto" w:fill="ffffff"/>
        <w:tabs>
          <w:tab w:val="left" w:pos="0" w:leader="none"/>
          <w:tab w:val="left" w:pos="439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4"/>
          <w:szCs w:val="24"/>
        </w:rPr>
        <w:tab/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sectPr>
      <w:footnotePr/>
      <w:endnotePr/>
      <w:type w:val="nextPage"/>
      <w:pgSz w:w="16838" w:h="11906" w:orient="landscape"/>
      <w:pgMar w:top="568" w:right="536" w:bottom="709" w:left="1134" w:header="0" w:footer="0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Noto Sans Devanagari">
    <w:panose1 w:val="020B0502040504020204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3"/>
    <w:next w:val="833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4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3"/>
    <w:next w:val="833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4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3"/>
    <w:next w:val="833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4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3"/>
    <w:next w:val="833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4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4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4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4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4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4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3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3"/>
    <w:next w:val="833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4"/>
    <w:link w:val="676"/>
    <w:uiPriority w:val="10"/>
    <w:rPr>
      <w:sz w:val="48"/>
      <w:szCs w:val="48"/>
    </w:rPr>
  </w:style>
  <w:style w:type="paragraph" w:styleId="678">
    <w:name w:val="Subtitle"/>
    <w:basedOn w:val="833"/>
    <w:next w:val="833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4"/>
    <w:link w:val="678"/>
    <w:uiPriority w:val="11"/>
    <w:rPr>
      <w:sz w:val="24"/>
      <w:szCs w:val="24"/>
    </w:rPr>
  </w:style>
  <w:style w:type="paragraph" w:styleId="680">
    <w:name w:val="Quote"/>
    <w:basedOn w:val="833"/>
    <w:next w:val="833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3"/>
    <w:next w:val="833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3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4"/>
    <w:link w:val="684"/>
    <w:uiPriority w:val="99"/>
  </w:style>
  <w:style w:type="paragraph" w:styleId="686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4"/>
    <w:link w:val="686"/>
    <w:uiPriority w:val="99"/>
  </w:style>
  <w:style w:type="character" w:styleId="688">
    <w:name w:val="Caption Char"/>
    <w:basedOn w:val="840"/>
    <w:link w:val="686"/>
    <w:uiPriority w:val="35"/>
  </w:style>
  <w:style w:type="table" w:styleId="689">
    <w:name w:val="Table Grid"/>
    <w:basedOn w:val="8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9">
    <w:name w:val="List Table 7 Colorful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4">
    <w:name w:val="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  <w:pPr>
      <w:jc w:val="both"/>
      <w:spacing w:before="0" w:after="60" w:line="240" w:lineRule="auto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834" w:default="1">
    <w:name w:val="Default Paragraph Font"/>
    <w:uiPriority w:val="1"/>
    <w:unhideWhenUsed/>
  </w:style>
  <w:style w:type="character" w:styleId="835" w:customStyle="1">
    <w:name w:val="Основной текст Знак"/>
    <w:basedOn w:val="83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6" w:customStyle="1">
    <w:name w:val="Текст выноски Знак"/>
    <w:basedOn w:val="834"/>
    <w:link w:val="842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37">
    <w:name w:val="Заголовок"/>
    <w:basedOn w:val="833"/>
    <w:next w:val="838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38">
    <w:name w:val="Body Text"/>
    <w:basedOn w:val="833"/>
    <w:link w:val="835"/>
    <w:pPr>
      <w:spacing w:before="0" w:after="120"/>
    </w:pPr>
  </w:style>
  <w:style w:type="paragraph" w:styleId="839">
    <w:name w:val="List"/>
    <w:basedOn w:val="838"/>
    <w:rPr>
      <w:rFonts w:ascii="PT Astra Serif" w:hAnsi="PT Astra Serif" w:cs="Noto Sans Devanagari"/>
    </w:rPr>
  </w:style>
  <w:style w:type="paragraph" w:styleId="840">
    <w:name w:val="Caption"/>
    <w:basedOn w:val="833"/>
    <w:link w:val="688"/>
    <w:uiPriority w:val="35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41">
    <w:name w:val="Указатель"/>
    <w:basedOn w:val="833"/>
    <w:qFormat/>
    <w:pPr>
      <w:suppressLineNumbers/>
    </w:pPr>
    <w:rPr>
      <w:rFonts w:ascii="PT Astra Serif" w:hAnsi="PT Astra Serif" w:cs="Noto Sans Devanagari"/>
    </w:rPr>
  </w:style>
  <w:style w:type="paragraph" w:styleId="842">
    <w:name w:val="Balloon Text"/>
    <w:basedOn w:val="833"/>
    <w:link w:val="836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843">
    <w:name w:val="Содержимое таблицы"/>
    <w:basedOn w:val="833"/>
    <w:qFormat/>
    <w:pPr>
      <w:widowControl w:val="off"/>
      <w:suppressLineNumbers/>
    </w:pPr>
  </w:style>
  <w:style w:type="paragraph" w:styleId="844">
    <w:name w:val="Заголовок таблицы"/>
    <w:basedOn w:val="843"/>
    <w:qFormat/>
    <w:pPr>
      <w:jc w:val="center"/>
      <w:suppressLineNumbers/>
    </w:pPr>
    <w:rPr>
      <w:b/>
      <w:bCs/>
    </w:rPr>
  </w:style>
  <w:style w:type="numbering" w:styleId="845" w:default="1">
    <w:name w:val="No List"/>
    <w:uiPriority w:val="99"/>
    <w:semiHidden/>
    <w:unhideWhenUsed/>
  </w:style>
  <w:style w:type="table" w:styleId="846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F25C4-358E-46FA-8A15-DE5FF316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dc:language>ru-RU</dc:language>
  <cp:lastModifiedBy>sharkova_og</cp:lastModifiedBy>
  <cp:revision>14</cp:revision>
  <dcterms:created xsi:type="dcterms:W3CDTF">2024-03-21T11:16:00Z</dcterms:created>
  <dcterms:modified xsi:type="dcterms:W3CDTF">2026-08-05T12:18:21Z</dcterms:modified>
</cp:coreProperties>
</file>