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A6" w:rsidRPr="00FC0A1E" w:rsidRDefault="00DA50A6" w:rsidP="00DA50A6"/>
    <w:p w:rsidR="00C80FA3" w:rsidRPr="00FC0A1E" w:rsidRDefault="00C80FA3" w:rsidP="00B50EDE">
      <w:pPr>
        <w:ind w:firstLine="540"/>
        <w:jc w:val="both"/>
      </w:pPr>
      <w:r w:rsidRPr="00FC0A1E">
        <w:t xml:space="preserve">, </w:t>
      </w:r>
    </w:p>
    <w:p w:rsidR="00C47AF5" w:rsidRPr="00FC0A1E" w:rsidRDefault="00C47AF5" w:rsidP="00DA50A6">
      <w:pPr>
        <w:jc w:val="right"/>
        <w:rPr>
          <w:b/>
        </w:rPr>
      </w:pPr>
    </w:p>
    <w:p w:rsidR="00987388" w:rsidRPr="00FC0A1E" w:rsidRDefault="00987388" w:rsidP="00987388">
      <w:pPr>
        <w:jc w:val="right"/>
        <w:rPr>
          <w:b/>
        </w:rPr>
      </w:pPr>
    </w:p>
    <w:p w:rsidR="00987388" w:rsidRPr="00FC0A1E" w:rsidRDefault="00987388" w:rsidP="00987388">
      <w:pPr>
        <w:jc w:val="right"/>
        <w:rPr>
          <w:b/>
        </w:rPr>
      </w:pPr>
    </w:p>
    <w:p w:rsidR="00987388" w:rsidRPr="00FC0A1E" w:rsidRDefault="00987388" w:rsidP="00987388">
      <w:pPr>
        <w:jc w:val="right"/>
        <w:rPr>
          <w:b/>
        </w:rPr>
      </w:pPr>
    </w:p>
    <w:p w:rsidR="00DA0C2A" w:rsidRPr="00FC0A1E" w:rsidRDefault="00DA0C2A" w:rsidP="00FC0A1E">
      <w:pPr>
        <w:rPr>
          <w:b/>
        </w:rPr>
        <w:sectPr w:rsidR="00DA0C2A" w:rsidRPr="00FC0A1E" w:rsidSect="00987388"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987388" w:rsidRPr="00FC0A1E" w:rsidRDefault="00987388" w:rsidP="00987388">
      <w:pPr>
        <w:jc w:val="right"/>
        <w:rPr>
          <w:b/>
        </w:rPr>
      </w:pPr>
      <w:bookmarkStart w:id="0" w:name="_GoBack"/>
      <w:bookmarkEnd w:id="0"/>
    </w:p>
    <w:p w:rsidR="001E688D" w:rsidRDefault="001E688D" w:rsidP="001E688D">
      <w:pPr>
        <w:jc w:val="center"/>
        <w:rPr>
          <w:b/>
        </w:rPr>
      </w:pPr>
      <w:r w:rsidRPr="004B69D4">
        <w:rPr>
          <w:b/>
        </w:rPr>
        <w:t>Техническое</w:t>
      </w:r>
      <w:r>
        <w:rPr>
          <w:b/>
        </w:rPr>
        <w:t xml:space="preserve"> </w:t>
      </w:r>
      <w:r w:rsidRPr="004B69D4">
        <w:rPr>
          <w:b/>
        </w:rPr>
        <w:t>задание</w:t>
      </w:r>
    </w:p>
    <w:p w:rsidR="001E688D" w:rsidRDefault="001E688D" w:rsidP="001E688D">
      <w:pPr>
        <w:jc w:val="center"/>
        <w:rPr>
          <w:b/>
        </w:rPr>
      </w:pPr>
    </w:p>
    <w:p w:rsidR="001E688D" w:rsidRPr="0085455C" w:rsidRDefault="001E688D" w:rsidP="001E688D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85455C">
        <w:rPr>
          <w:b/>
          <w:bCs/>
        </w:rPr>
        <w:t xml:space="preserve">Цели и задачи оказания услуг. Существующее положение. 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85455C">
        <w:rPr>
          <w:bCs/>
          <w:color w:val="000000"/>
        </w:rPr>
        <w:t>Оказание услуг по обеспечению автоперевозками сотрудников, обучающихся</w:t>
      </w:r>
      <w:r>
        <w:rPr>
          <w:bCs/>
          <w:color w:val="000000"/>
        </w:rPr>
        <w:t xml:space="preserve">, а также иных пассажиров </w:t>
      </w:r>
      <w:r w:rsidRPr="0085455C">
        <w:rPr>
          <w:bCs/>
          <w:color w:val="000000"/>
        </w:rPr>
        <w:t xml:space="preserve"> и грузов для </w:t>
      </w:r>
      <w:r>
        <w:rPr>
          <w:bCs/>
          <w:color w:val="000000"/>
        </w:rPr>
        <w:t>нужд КГЭУ</w:t>
      </w:r>
      <w:r w:rsidRPr="0085455C">
        <w:rPr>
          <w:bCs/>
          <w:color w:val="000000"/>
        </w:rPr>
        <w:t>.</w:t>
      </w:r>
    </w:p>
    <w:p w:rsidR="001E688D" w:rsidRPr="0085455C" w:rsidRDefault="001E688D" w:rsidP="001E688D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85455C">
        <w:rPr>
          <w:b/>
          <w:bCs/>
          <w:color w:val="000000"/>
        </w:rPr>
        <w:t>Виды, содержание услуг, требования к качеству.</w:t>
      </w:r>
    </w:p>
    <w:p w:rsidR="001E688D" w:rsidRPr="00427E1D" w:rsidRDefault="001E688D" w:rsidP="001E688D">
      <w:pPr>
        <w:widowControl w:val="0"/>
        <w:tabs>
          <w:tab w:val="num" w:pos="1018"/>
        </w:tabs>
        <w:jc w:val="both"/>
        <w:rPr>
          <w:color w:val="000000"/>
        </w:rPr>
      </w:pPr>
      <w:r w:rsidRPr="0085455C">
        <w:rPr>
          <w:rFonts w:eastAsia="Calibri"/>
          <w:color w:val="000000"/>
        </w:rPr>
        <w:t>2</w:t>
      </w:r>
      <w:r w:rsidRPr="00427E1D">
        <w:rPr>
          <w:color w:val="000000"/>
        </w:rPr>
        <w:t xml:space="preserve">.1. </w:t>
      </w:r>
      <w:proofErr w:type="gramStart"/>
      <w:r w:rsidRPr="00427E1D">
        <w:rPr>
          <w:color w:val="000000"/>
        </w:rPr>
        <w:t>Оказывать услуги в соответствии с Гражданским кодексом РФ (гл.40-41), Федеральным законом «О транспортно-экспедиционной деятельности» от 30.06.2003г. №87-ФЗ, Федеральным законом от 08.11.2007 №259-ФЗ «Устав автомобильного транспорта и городского наземного электрического транспорта», Постановление Правительства РФ от 01.10.2020 N 1586  «Об утверждении Правил перевозок пассажиров и багажа автомобильным транспортом и городским наземным электрическим транспортом», с Постановление Правительства РФ от 21.12.2020 N</w:t>
      </w:r>
      <w:proofErr w:type="gramEnd"/>
      <w:r w:rsidRPr="00427E1D">
        <w:rPr>
          <w:color w:val="000000"/>
        </w:rPr>
        <w:t xml:space="preserve">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 Постановлением Правительства РФ от 23.10.1993 №1090 «О Правилах дорожного движения».</w:t>
      </w:r>
    </w:p>
    <w:p w:rsidR="001E688D" w:rsidRPr="00427E1D" w:rsidRDefault="001E688D" w:rsidP="001E688D">
      <w:pPr>
        <w:widowControl w:val="0"/>
        <w:tabs>
          <w:tab w:val="num" w:pos="1018"/>
        </w:tabs>
        <w:jc w:val="both"/>
        <w:rPr>
          <w:color w:val="000000"/>
        </w:rPr>
      </w:pPr>
      <w:r w:rsidRPr="00427E1D">
        <w:rPr>
          <w:color w:val="000000"/>
        </w:rPr>
        <w:t xml:space="preserve">2.2. Время работы водителей соответствует </w:t>
      </w:r>
      <w:r w:rsidRPr="00524D3B">
        <w:rPr>
          <w:color w:val="000000"/>
        </w:rPr>
        <w:t>Приказу</w:t>
      </w:r>
      <w:r>
        <w:rPr>
          <w:color w:val="000000"/>
        </w:rPr>
        <w:t xml:space="preserve"> </w:t>
      </w:r>
      <w:r w:rsidRPr="00427E1D">
        <w:rPr>
          <w:color w:val="000000"/>
        </w:rPr>
        <w:t>Минтранса России от 16.10.2020 N 424 "Об утверждении Особенностей режима рабочего времени и времени отдыха, условий труда водителей автомобилей"</w:t>
      </w:r>
    </w:p>
    <w:p w:rsidR="001E688D" w:rsidRDefault="001E688D" w:rsidP="001E688D">
      <w:pPr>
        <w:widowControl w:val="0"/>
        <w:tabs>
          <w:tab w:val="num" w:pos="1018"/>
        </w:tabs>
        <w:jc w:val="both"/>
        <w:rPr>
          <w:color w:val="000000"/>
        </w:rPr>
      </w:pPr>
      <w:r w:rsidRPr="00524D3B">
        <w:rPr>
          <w:color w:val="000000"/>
        </w:rPr>
        <w:t>2.3. В период оказания услуг, предусматривается возможность своевременной подачи автомобиля в согласованное с заказчиком время и место, по адресу, указанному заказчиком (при обязательном соблюдении правил дорожного движения). Государственные регистрационные номера транспортного средства сообщаются заказчику в день оказания услуги.</w:t>
      </w:r>
    </w:p>
    <w:p w:rsidR="001E688D" w:rsidRPr="0085455C" w:rsidRDefault="001E688D" w:rsidP="001E688D">
      <w:pPr>
        <w:widowControl w:val="0"/>
        <w:tabs>
          <w:tab w:val="num" w:pos="1018"/>
        </w:tabs>
        <w:jc w:val="both"/>
        <w:rPr>
          <w:rFonts w:eastAsia="Calibri"/>
        </w:rPr>
      </w:pPr>
      <w:r w:rsidRPr="0085455C">
        <w:rPr>
          <w:rFonts w:eastAsia="Calibri"/>
        </w:rPr>
        <w:t>2.4.  Исполнитель обеспечивает качественную и безопасную эксплуатацию автотранспорта на весь срок оказания услуг.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2.5. Услуги оказываются в срок, указанный в заявке (Приложение №2 к техническому заданию (Форма заявки)), в которой также указаны: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- дата и время предоставления транспортных средств;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 xml:space="preserve">- количество транспортных средств 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 xml:space="preserve">- количество посадочных мест </w:t>
      </w:r>
      <w:r w:rsidRPr="0085455C">
        <w:rPr>
          <w:rFonts w:eastAsia="Calibri"/>
          <w:i/>
        </w:rPr>
        <w:t>(за исключением грузового автомобиля)</w:t>
      </w:r>
      <w:r w:rsidRPr="0085455C">
        <w:rPr>
          <w:rFonts w:eastAsia="Calibri"/>
        </w:rPr>
        <w:t>;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- примерное время использования транспортных средств;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- маршрут следования транспортного средства;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- фактический адрес для подачи транспортного средства;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rFonts w:eastAsia="Calibri"/>
        </w:rPr>
      </w:pPr>
      <w:r w:rsidRPr="0085455C">
        <w:rPr>
          <w:rFonts w:eastAsia="Calibri"/>
        </w:rPr>
        <w:t>- другая необходимая информация.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  <w:rPr>
          <w:color w:val="000000"/>
        </w:rPr>
      </w:pPr>
      <w:r w:rsidRPr="0085455C">
        <w:t>2.6. Количество транспортных средств необходимое для мероприятия Заказчик рассчитывает с учетом количества</w:t>
      </w:r>
      <w:r w:rsidRPr="0085455C">
        <w:rPr>
          <w:color w:val="000000"/>
        </w:rPr>
        <w:t xml:space="preserve"> участников мероприятий, указанных в Приложении №1 к техническому заданию (План мероприятий). Исполнитель должен одномоментно предоставить то количество транспортных средств, которое указано в заявке (Приложение №2 к техническому заданию (Форма заявки)).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2.7. Автотранспорт представляется Заказчику своевременно в исправном состоянии и соответствующим всем установленным для него техническим требованиям, с соблюдением норм технического обслуживания, текущего и капитального ремонта, своевременного прохождения технического осмотра с оформлением всех установленных документов (в том числе диагностической карты). Заправка предоставляемых транспортных средств ГСМ до выезда по маршруту.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2.8. Предоставленный транспорт должен быть оборудован ремнями безопасности, медицинскими аптечками и огнетушителями.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2.9. Предоставляемый автотранспорт должен быть оснащен аппаратурой спутниковой навигации.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2.10. Автотранспорт, выбывший с рейса по различным причинам, в течение 2 (двух) часов заменяется автотранспортом аналогичного класса с незамедлительным уведомлением Заказчика (в устной или письменной форме).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2.11. Осуществление замены водителя в случае ненадлежащего исполнения им своих функциональных обязанностей при оказании услуг по требованию и в срок, оговоренный с Заказчиком, но не позднее 3 (трех) часов с момента получения требования Заказчика.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lastRenderedPageBreak/>
        <w:t>2.12. Своевременное предоставление Заказчику всех необходимых (в том числе запрашиваемых) отчетных документов, связанных с оказанием услуг.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2.13. Представление Исполнителем Заказчику путевых листов, в которых указывается фактически отработанное время (машино-часы при городской эксплуатации) и количество километров (при загородной эксплуатации).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2.14. При оказании услуг имеется возможность выезда собственного представителя Исполнителя на место дорожно-транспортных происшествий и участия в надлежащем оформлении материалов, являющихся основанием для последующего возмещения возможного ущерба (в том числе в связи с причинением вреда жизни, здоровью пассажиров, имуществу Исполнителя). В случае выхода транспортного средства из строя по техническим причинам, обеспечить его замену без дополнительной оплаты, в течение 2-х (двух) часов. В случае предоставления резервного транспорта, его технические характеристики должны быть не хуже технических характеристик, указанных в разделе 5 технического задания.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2.15. Исполнитель обеспечивает наличие водителей, допущенных к управлению автотранспортом, предоставляемых для оказания транспортных услуг, которые обладают правом управления транспортным средством соответствующей категории. На предоставляемые автотранспорты должны бы</w:t>
      </w:r>
      <w:r>
        <w:rPr>
          <w:rFonts w:eastAsia="Calibri"/>
        </w:rPr>
        <w:t xml:space="preserve">ть действующие страховые полисы </w:t>
      </w:r>
      <w:r w:rsidRPr="0085455C">
        <w:rPr>
          <w:rFonts w:eastAsia="Calibri"/>
        </w:rPr>
        <w:t>ОСАГО (требование установлено статьей 20 ФЗ от 10.12.1995 №196-ФЗ «О безопасности дорожного движения»).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2.16. При оказании услуг Исполнитель обеспечивает возможность выбора оптимального маршрута движения до пункта назначения, определяемого Заказчиком, с учетом особенностей организации дорожного движения (наличие «пробок», заторов, ремонтов дорог, организации реверсивного движения на отдельных участках магистралей и т.п.).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2.17. При оказании Услуг водители имеют возможность, обеспечиваемую за счет средств Исполнителя, оперативно (не более 5 (пяти) минут) и своевременно контактировать с сотрудниками Заказчика, диспетчерской службой, экстренными службами (средства связи).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contextualSpacing/>
        <w:jc w:val="both"/>
        <w:rPr>
          <w:rFonts w:eastAsia="Calibri"/>
        </w:rPr>
      </w:pPr>
      <w:r w:rsidRPr="0085455C">
        <w:rPr>
          <w:rFonts w:eastAsia="Calibri"/>
        </w:rPr>
        <w:t>2.18. Расчет фактически затраченного на оказание данных услуг времени (машино-часов при городской эксплуатации) и километров (при загородной эксплуатации) осуществляется Исполнителем с момента прибытия автотранспорта в указанное Заказчиком место и время и по момент убытия автотранспорта после подписания уполномоченным представителем Заказчика путевых листов, с учетом времени простоя.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2.19. Стоимость услуг Исполнителя по организации перевозок определяется на основании заявки Заказчика и согласно тарифам.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Расчет за почасовую аренду транспортного средства считается, исходя из времени, указанного в заявке Заказчика, за исключением расчета по тарифу на трансфер и расчета по междугородним перевозкам. Минимальная аренда т/с – 2 часа. При подаче транспортного средства, вместимостью более 19 посадочных мест, к заказанному времени прибавляется 1 час, включающий время, затраченное на подачу транспортного средства (выезд из парка, либо его возврата в автопарк). Услуги, оказанные сверх времени, указанного в заявке Заказчика, оплачиваются дополнительно.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Под трансфером подразумевается перевозка пассажиров из одного условленного места к другому заранее согласованному месту. Расчет тарифов на трансфер, рассчитываются, исходя из следующих параметров: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трансфер от 0 до 15 км - 2 часа (бесплатное ожидание 30 мин)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трансфер от 15 до 30 км – 3 часа (бесплатное ожидание 30 мин)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трансфер от 30 до 45 км – 4 часа (бесплатное ожидание 30 мин)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трансфер от 45 до 70 км – 5 часов (бесплатное ожидание 30 мин)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 xml:space="preserve">Расчет расстояния определяется при помощи картографического сервиса </w:t>
      </w:r>
      <w:proofErr w:type="spellStart"/>
      <w:r w:rsidRPr="0085455C">
        <w:rPr>
          <w:rFonts w:eastAsia="Calibri"/>
        </w:rPr>
        <w:t>GoogleMaps</w:t>
      </w:r>
      <w:proofErr w:type="spellEnd"/>
      <w:r w:rsidRPr="0085455C">
        <w:rPr>
          <w:rFonts w:eastAsia="Calibri"/>
        </w:rPr>
        <w:t>, начиная от г. Казань до точки высадки.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 xml:space="preserve">Под междугородней перевозкой подразумевается поездка, если расстояние из г. Казань до точки высадки превышает 70 км. Расчет за оказанные услуги по межгороду считается, исходя из километража из г. Казань, в точку высадки пассажиров и обратной дороги до Казани, определяемого картографическим сервисом </w:t>
      </w:r>
      <w:proofErr w:type="spellStart"/>
      <w:r w:rsidRPr="0085455C">
        <w:rPr>
          <w:rFonts w:eastAsia="Calibri"/>
        </w:rPr>
        <w:t>GoogleMaps</w:t>
      </w:r>
      <w:proofErr w:type="spellEnd"/>
      <w:r w:rsidRPr="0085455C">
        <w:rPr>
          <w:rFonts w:eastAsia="Calibri"/>
        </w:rPr>
        <w:t xml:space="preserve"> с учетом возможной корректировки маршрута на +/- 10 км. Простой или почасовая аренда в точке высадки пассажиров рассчитывается как почасовая аренда.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 xml:space="preserve">Стоимость услуг включает вознаграждение Исполнителя, а также возмещение издержек и </w:t>
      </w:r>
      <w:r w:rsidRPr="0085455C">
        <w:rPr>
          <w:rFonts w:eastAsia="Calibri"/>
        </w:rPr>
        <w:lastRenderedPageBreak/>
        <w:t xml:space="preserve">дополнительных расходов Исполнителя, связанных с исполнением настоящего Договора. 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 xml:space="preserve">2.24. Требования к водителям при оказании услуг: </w:t>
      </w:r>
    </w:p>
    <w:p w:rsidR="001E688D" w:rsidRPr="0085455C" w:rsidRDefault="001E688D" w:rsidP="001E688D">
      <w:pPr>
        <w:widowControl w:val="0"/>
        <w:jc w:val="both"/>
        <w:rPr>
          <w:rFonts w:eastAsia="Calibri"/>
        </w:rPr>
      </w:pPr>
      <w:r w:rsidRPr="0085455C">
        <w:rPr>
          <w:rFonts w:eastAsia="Calibri"/>
        </w:rPr>
        <w:t>- водитель обеспечивает выполнение служебных обязанностей на высоком качественном уровне;</w:t>
      </w:r>
    </w:p>
    <w:p w:rsidR="001E688D" w:rsidRPr="0085455C" w:rsidRDefault="001E688D" w:rsidP="001E688D">
      <w:pPr>
        <w:widowControl w:val="0"/>
        <w:jc w:val="both"/>
        <w:rPr>
          <w:rFonts w:eastAsia="Calibri"/>
        </w:rPr>
      </w:pPr>
      <w:r w:rsidRPr="0085455C">
        <w:rPr>
          <w:rFonts w:eastAsia="Calibri"/>
        </w:rPr>
        <w:t xml:space="preserve">- водитель должен пройти </w:t>
      </w:r>
      <w:proofErr w:type="spellStart"/>
      <w:r w:rsidRPr="0085455C">
        <w:rPr>
          <w:rFonts w:eastAsia="Calibri"/>
        </w:rPr>
        <w:t>предрейсовый</w:t>
      </w:r>
      <w:proofErr w:type="spellEnd"/>
      <w:r w:rsidRPr="0085455C">
        <w:rPr>
          <w:rFonts w:eastAsia="Calibri"/>
        </w:rPr>
        <w:t xml:space="preserve"> медицинский осмотр и быть допущенными к управлению транспортным средством;</w:t>
      </w:r>
    </w:p>
    <w:p w:rsidR="001E688D" w:rsidRPr="0085455C" w:rsidRDefault="001E688D" w:rsidP="001E688D">
      <w:pPr>
        <w:widowControl w:val="0"/>
        <w:autoSpaceDE w:val="0"/>
        <w:autoSpaceDN w:val="0"/>
        <w:adjustRightInd w:val="0"/>
        <w:snapToGrid w:val="0"/>
        <w:jc w:val="both"/>
        <w:rPr>
          <w:rFonts w:eastAsia="Calibri"/>
        </w:rPr>
      </w:pPr>
      <w:r w:rsidRPr="0085455C">
        <w:rPr>
          <w:rFonts w:eastAsia="Calibri"/>
        </w:rPr>
        <w:t>- водитель должен знать устройство транспорта и иметь навыки по устранению мелких неисправностей.</w:t>
      </w:r>
    </w:p>
    <w:p w:rsidR="001E688D" w:rsidRPr="0085455C" w:rsidRDefault="001E688D" w:rsidP="001E688D">
      <w:pPr>
        <w:numPr>
          <w:ilvl w:val="0"/>
          <w:numId w:val="15"/>
        </w:numPr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85455C">
        <w:rPr>
          <w:b/>
          <w:bCs/>
        </w:rPr>
        <w:t>Место, условия и сроки оказания услуг.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</w:pPr>
      <w:r w:rsidRPr="0085455C">
        <w:rPr>
          <w:b/>
        </w:rPr>
        <w:t>Место оказания услуг:</w:t>
      </w:r>
      <w:r w:rsidRPr="0085455C">
        <w:t xml:space="preserve"> РФ, по заявке Заказчика (форма заявки в Приложение №2 к техническому заданию).</w:t>
      </w:r>
    </w:p>
    <w:p w:rsidR="001E688D" w:rsidRPr="0085455C" w:rsidRDefault="001E688D" w:rsidP="001E688D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b/>
          <w:bCs/>
        </w:rPr>
      </w:pPr>
      <w:r w:rsidRPr="0085455C">
        <w:rPr>
          <w:b/>
          <w:bCs/>
        </w:rPr>
        <w:t xml:space="preserve">Объем оказываемых услуг: </w:t>
      </w:r>
    </w:p>
    <w:p w:rsidR="001E688D" w:rsidRPr="0085455C" w:rsidRDefault="001E688D" w:rsidP="001E688D">
      <w:pPr>
        <w:autoSpaceDE w:val="0"/>
        <w:autoSpaceDN w:val="0"/>
        <w:adjustRightInd w:val="0"/>
        <w:jc w:val="both"/>
      </w:pPr>
      <w:r w:rsidRPr="0085455C">
        <w:rPr>
          <w:b/>
        </w:rPr>
        <w:t>Сроки оказания услуг:</w:t>
      </w:r>
      <w:r>
        <w:t xml:space="preserve"> в течение 6</w:t>
      </w:r>
      <w:r w:rsidRPr="0085455C">
        <w:t xml:space="preserve"> месяцев со дня заключения Договора, по заявке Заказчика согласно плану мероприятий (Приложение №1 к техническому заданию).</w:t>
      </w:r>
      <w:r>
        <w:t xml:space="preserve"> </w:t>
      </w:r>
      <w:r w:rsidRPr="0085455C">
        <w:t xml:space="preserve">Исполнитель должен предоставить транспортное средство не </w:t>
      </w:r>
      <w:proofErr w:type="gramStart"/>
      <w:r w:rsidRPr="0085455C">
        <w:t>позднее</w:t>
      </w:r>
      <w:proofErr w:type="gramEnd"/>
      <w:r w:rsidRPr="0085455C">
        <w:t xml:space="preserve"> чем за 30 минут до отправления по запланированному маршруту к месту, указанному Заказчиком. </w:t>
      </w:r>
    </w:p>
    <w:tbl>
      <w:tblPr>
        <w:tblW w:w="10332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6"/>
        <w:gridCol w:w="1984"/>
        <w:gridCol w:w="2268"/>
        <w:gridCol w:w="2144"/>
      </w:tblGrid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85455C" w:rsidRDefault="001E688D" w:rsidP="001B5591">
            <w:pPr>
              <w:widowControl w:val="0"/>
              <w:snapToGrid w:val="0"/>
              <w:jc w:val="center"/>
              <w:rPr>
                <w:b/>
                <w:snapToGrid w:val="0"/>
              </w:rPr>
            </w:pPr>
            <w:r w:rsidRPr="0085455C">
              <w:rPr>
                <w:b/>
                <w:snapToGrid w:val="0"/>
              </w:rPr>
              <w:t>Тип транспортного средства</w:t>
            </w:r>
          </w:p>
        </w:tc>
        <w:tc>
          <w:tcPr>
            <w:tcW w:w="1984" w:type="dxa"/>
            <w:vAlign w:val="center"/>
          </w:tcPr>
          <w:p w:rsidR="001E688D" w:rsidRPr="0085455C" w:rsidRDefault="001E688D" w:rsidP="001B5591">
            <w:pPr>
              <w:widowControl w:val="0"/>
              <w:snapToGrid w:val="0"/>
              <w:jc w:val="center"/>
              <w:rPr>
                <w:b/>
                <w:snapToGrid w:val="0"/>
              </w:rPr>
            </w:pPr>
            <w:r w:rsidRPr="0085455C">
              <w:rPr>
                <w:b/>
                <w:snapToGrid w:val="0"/>
              </w:rPr>
              <w:t>Количество машино-часов при городской эксплуатации (час)</w:t>
            </w:r>
          </w:p>
        </w:tc>
        <w:tc>
          <w:tcPr>
            <w:tcW w:w="2268" w:type="dxa"/>
            <w:vAlign w:val="center"/>
          </w:tcPr>
          <w:p w:rsidR="001E688D" w:rsidRPr="0085455C" w:rsidRDefault="001E688D" w:rsidP="001B5591">
            <w:pPr>
              <w:widowControl w:val="0"/>
              <w:snapToGrid w:val="0"/>
              <w:jc w:val="center"/>
              <w:rPr>
                <w:b/>
                <w:snapToGrid w:val="0"/>
              </w:rPr>
            </w:pPr>
            <w:r w:rsidRPr="0085455C">
              <w:rPr>
                <w:b/>
                <w:snapToGrid w:val="0"/>
              </w:rPr>
              <w:t>Количество километров  при загородной эксплуатации (</w:t>
            </w:r>
            <w:proofErr w:type="gramStart"/>
            <w:r w:rsidRPr="0085455C">
              <w:rPr>
                <w:b/>
                <w:snapToGrid w:val="0"/>
              </w:rPr>
              <w:t>км</w:t>
            </w:r>
            <w:proofErr w:type="gramEnd"/>
            <w:r w:rsidRPr="0085455C">
              <w:rPr>
                <w:b/>
                <w:snapToGrid w:val="0"/>
              </w:rPr>
              <w:t>)</w:t>
            </w:r>
          </w:p>
        </w:tc>
        <w:tc>
          <w:tcPr>
            <w:tcW w:w="2144" w:type="dxa"/>
            <w:vAlign w:val="center"/>
          </w:tcPr>
          <w:p w:rsidR="001E688D" w:rsidRPr="0085455C" w:rsidRDefault="001E688D" w:rsidP="001B5591">
            <w:pPr>
              <w:jc w:val="center"/>
              <w:rPr>
                <w:rFonts w:eastAsia="Calibri"/>
              </w:rPr>
            </w:pPr>
            <w:r w:rsidRPr="0085455C">
              <w:rPr>
                <w:b/>
                <w:snapToGrid w:val="0"/>
              </w:rPr>
              <w:t>График предоставления автомобиля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r w:rsidRPr="00216BEF">
              <w:rPr>
                <w:snapToGrid w:val="0"/>
              </w:rPr>
              <w:t>Легковой автомобиль стандарт класса</w:t>
            </w:r>
          </w:p>
        </w:tc>
        <w:tc>
          <w:tcPr>
            <w:tcW w:w="1984" w:type="dxa"/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375</w:t>
            </w:r>
          </w:p>
        </w:tc>
        <w:tc>
          <w:tcPr>
            <w:tcW w:w="2144" w:type="dxa"/>
            <w:vMerge w:val="restart"/>
          </w:tcPr>
          <w:p w:rsidR="001E688D" w:rsidRPr="0085455C" w:rsidRDefault="001E688D" w:rsidP="001B5591">
            <w:pPr>
              <w:jc w:val="center"/>
              <w:rPr>
                <w:rFonts w:eastAsia="Calibri"/>
              </w:rPr>
            </w:pPr>
            <w:r w:rsidRPr="0085455C">
              <w:rPr>
                <w:snapToGrid w:val="0"/>
              </w:rPr>
              <w:t>В соответствии с планом мероприятий (Приложение №1 к техническому заданию)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r w:rsidRPr="00216BEF">
              <w:rPr>
                <w:snapToGrid w:val="0"/>
              </w:rPr>
              <w:t>Легковой автомобиль бизнес класса</w:t>
            </w:r>
          </w:p>
        </w:tc>
        <w:tc>
          <w:tcPr>
            <w:tcW w:w="1984" w:type="dxa"/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1 500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proofErr w:type="spellStart"/>
            <w:r w:rsidRPr="00216BEF">
              <w:rPr>
                <w:snapToGrid w:val="0"/>
              </w:rPr>
              <w:t>Минивен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600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r w:rsidRPr="00216BEF">
              <w:rPr>
                <w:snapToGrid w:val="0"/>
              </w:rPr>
              <w:t>Микроавтобус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3000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r w:rsidRPr="00216BEF">
              <w:rPr>
                <w:snapToGrid w:val="0"/>
              </w:rPr>
              <w:t>Автобус повышенной комфортности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260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4000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  <w:rPr>
                <w:snapToGrid w:val="0"/>
              </w:rPr>
            </w:pPr>
            <w:r w:rsidRPr="00216BEF">
              <w:t>Грузовой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500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  <w:vAlign w:val="center"/>
          </w:tcPr>
          <w:p w:rsidR="001E688D" w:rsidRPr="00216BEF" w:rsidRDefault="001E688D" w:rsidP="001B5591">
            <w:pPr>
              <w:widowControl w:val="0"/>
              <w:snapToGrid w:val="0"/>
              <w:jc w:val="center"/>
            </w:pPr>
            <w:r w:rsidRPr="00216BEF">
              <w:rPr>
                <w:rFonts w:eastAsia="Calibri"/>
              </w:rPr>
              <w:t>Грузовой автомобиль (самосвал)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350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Автовышка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125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Мини погрузчик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125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Экскаватор-погрузчик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125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936" w:type="dxa"/>
            <w:shd w:val="clear" w:color="auto" w:fill="auto"/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Грузовой автомобиль -  манипулятор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1E688D" w:rsidRPr="00216BEF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2268" w:type="dxa"/>
            <w:vAlign w:val="bottom"/>
          </w:tcPr>
          <w:p w:rsidR="001E688D" w:rsidRPr="0085455C" w:rsidRDefault="001E688D" w:rsidP="001B559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125</w:t>
            </w:r>
          </w:p>
        </w:tc>
        <w:tc>
          <w:tcPr>
            <w:tcW w:w="2144" w:type="dxa"/>
            <w:vMerge/>
          </w:tcPr>
          <w:p w:rsidR="001E688D" w:rsidRPr="0085455C" w:rsidRDefault="001E688D" w:rsidP="001B5591">
            <w:pPr>
              <w:rPr>
                <w:rFonts w:eastAsia="Calibri"/>
              </w:rPr>
            </w:pPr>
          </w:p>
        </w:tc>
      </w:tr>
    </w:tbl>
    <w:p w:rsidR="001E688D" w:rsidRPr="0085455C" w:rsidRDefault="001E688D" w:rsidP="001E688D">
      <w:pPr>
        <w:numPr>
          <w:ilvl w:val="0"/>
          <w:numId w:val="15"/>
        </w:numPr>
        <w:autoSpaceDE w:val="0"/>
        <w:autoSpaceDN w:val="0"/>
        <w:adjustRightInd w:val="0"/>
        <w:ind w:left="0" w:firstLine="0"/>
        <w:rPr>
          <w:b/>
          <w:bCs/>
        </w:rPr>
      </w:pPr>
      <w:r w:rsidRPr="0085455C">
        <w:rPr>
          <w:rFonts w:eastAsia="Calibri"/>
        </w:rPr>
        <w:t>Функциональные и технические характеристики, эксплуатационные характеристики</w:t>
      </w:r>
      <w:r w:rsidRPr="0085455C">
        <w:rPr>
          <w:b/>
          <w:bCs/>
        </w:rPr>
        <w:t>:</w:t>
      </w:r>
    </w:p>
    <w:tbl>
      <w:tblPr>
        <w:tblW w:w="510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1724"/>
        <w:gridCol w:w="8195"/>
      </w:tblGrid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 xml:space="preserve">№ </w:t>
            </w:r>
            <w:proofErr w:type="gramStart"/>
            <w:r w:rsidRPr="0085455C">
              <w:rPr>
                <w:rFonts w:eastAsia="Calibri"/>
              </w:rPr>
              <w:t>п</w:t>
            </w:r>
            <w:proofErr w:type="gramEnd"/>
            <w:r w:rsidRPr="0085455C">
              <w:rPr>
                <w:rFonts w:eastAsia="Calibri"/>
              </w:rPr>
              <w:t>/п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Наименование товара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Функциональные и технические характеристики, эксплуатационные характеристики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455C">
              <w:rPr>
                <w:rFonts w:eastAsia="Calibri"/>
              </w:rPr>
              <w:t xml:space="preserve">Легковой автомобиль 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 w:rsidRPr="0085455C">
              <w:t xml:space="preserve">Легковой автомобиль стандарт класса. Количество мест в легковом автомобиле </w:t>
            </w:r>
            <w:r>
              <w:t xml:space="preserve">не менее </w:t>
            </w:r>
            <w:r w:rsidRPr="0085455C">
              <w:t xml:space="preserve">5.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8</w:t>
            </w:r>
            <w:r w:rsidRPr="0085455C">
              <w:t xml:space="preserve"> года.  Тип кузова: Седан. Объем багажного отделения при поднятых задних сидениях, </w:t>
            </w:r>
            <w:r>
              <w:t xml:space="preserve">не менее </w:t>
            </w:r>
            <w:r w:rsidRPr="0085455C">
              <w:t>365</w:t>
            </w:r>
            <w:r>
              <w:t xml:space="preserve"> л</w:t>
            </w:r>
            <w:r w:rsidRPr="0085455C">
              <w:t xml:space="preserve">. Подушка безопасности переднего пассажира - </w:t>
            </w:r>
            <w:r>
              <w:t>имеется</w:t>
            </w:r>
            <w:r w:rsidRPr="0085455C">
              <w:t xml:space="preserve">; </w:t>
            </w:r>
            <w:proofErr w:type="spellStart"/>
            <w:r w:rsidRPr="0085455C">
              <w:t>электростеклоподъемники</w:t>
            </w:r>
            <w:proofErr w:type="spellEnd"/>
            <w:r w:rsidRPr="0085455C">
              <w:t xml:space="preserve"> задних дверей; Кондиционе</w:t>
            </w:r>
            <w:proofErr w:type="gramStart"/>
            <w:r w:rsidRPr="0085455C">
              <w:t>р-</w:t>
            </w:r>
            <w:proofErr w:type="gramEnd"/>
            <w:r w:rsidRPr="0085455C">
              <w:t xml:space="preserve"> наличие; </w:t>
            </w:r>
            <w:proofErr w:type="spellStart"/>
            <w:r w:rsidRPr="0085455C">
              <w:t>Электростеклоподъемники</w:t>
            </w:r>
            <w:proofErr w:type="spellEnd"/>
            <w:r w:rsidRPr="0085455C">
              <w:t xml:space="preserve"> дверей пе</w:t>
            </w:r>
            <w:r>
              <w:t>редних- наличие. Материал салона</w:t>
            </w:r>
            <w:r w:rsidRPr="0085455C">
              <w:t>: кожа.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85455C">
              <w:rPr>
                <w:rFonts w:eastAsia="Calibri"/>
                <w:lang w:val="en-US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455C">
              <w:rPr>
                <w:rFonts w:eastAsia="Calibri"/>
              </w:rPr>
              <w:t xml:space="preserve">Легковой автомобиль 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 w:rsidRPr="0085455C">
              <w:t>Легковой автомобиль бизнес класса. Количес</w:t>
            </w:r>
            <w:r>
              <w:t xml:space="preserve">тво мест в легковом автомобиле </w:t>
            </w:r>
            <w:r w:rsidRPr="0085455C">
              <w:t xml:space="preserve"> </w:t>
            </w:r>
            <w:r>
              <w:t xml:space="preserve">не менее </w:t>
            </w:r>
            <w:r w:rsidRPr="0085455C">
              <w:t xml:space="preserve">5.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8</w:t>
            </w:r>
            <w:r w:rsidRPr="0085455C">
              <w:t xml:space="preserve"> года. Объем багажного отделения при поднятых задних сидениях, </w:t>
            </w:r>
            <w:r>
              <w:t xml:space="preserve">не менее </w:t>
            </w:r>
            <w:r w:rsidRPr="0085455C">
              <w:t>410</w:t>
            </w:r>
            <w:r>
              <w:t xml:space="preserve"> л</w:t>
            </w:r>
            <w:r w:rsidRPr="0085455C">
              <w:t xml:space="preserve">. </w:t>
            </w:r>
            <w:proofErr w:type="spellStart"/>
            <w:r w:rsidRPr="0085455C">
              <w:t>Электростеклоподъемники</w:t>
            </w:r>
            <w:proofErr w:type="spellEnd"/>
            <w:r w:rsidRPr="0085455C">
              <w:t xml:space="preserve"> дверей задних</w:t>
            </w:r>
            <w:r>
              <w:t xml:space="preserve"> </w:t>
            </w:r>
            <w:r w:rsidRPr="0085455C">
              <w:t xml:space="preserve">- наличие; </w:t>
            </w:r>
            <w:proofErr w:type="spellStart"/>
            <w:r w:rsidRPr="0085455C">
              <w:t>Электростеклоподъемники</w:t>
            </w:r>
            <w:proofErr w:type="spellEnd"/>
            <w:r w:rsidRPr="0085455C">
              <w:t xml:space="preserve"> дверей передних – наличие; Подогрев сидений передних</w:t>
            </w:r>
            <w:r>
              <w:t xml:space="preserve"> </w:t>
            </w:r>
            <w:r w:rsidRPr="0085455C">
              <w:t>- наличие; климат контроль - наличие; возможно наличие подогрева сидений задних; Штатная аудиосистем</w:t>
            </w:r>
            <w:proofErr w:type="gramStart"/>
            <w:r w:rsidRPr="0085455C">
              <w:t>а-</w:t>
            </w:r>
            <w:proofErr w:type="gramEnd"/>
            <w:r w:rsidRPr="0085455C">
              <w:t xml:space="preserve"> наличие; Климат-контроль</w:t>
            </w:r>
            <w:r>
              <w:t xml:space="preserve"> </w:t>
            </w:r>
            <w:r w:rsidRPr="0085455C">
              <w:t xml:space="preserve">- наличие; </w:t>
            </w:r>
            <w:proofErr w:type="spellStart"/>
            <w:r w:rsidRPr="0085455C">
              <w:t>электрорегулировка</w:t>
            </w:r>
            <w:proofErr w:type="spellEnd"/>
            <w:r w:rsidRPr="0085455C">
              <w:t xml:space="preserve"> сидений передних; Антиблокировочная система</w:t>
            </w:r>
            <w:r>
              <w:t xml:space="preserve"> </w:t>
            </w:r>
            <w:r w:rsidRPr="0085455C">
              <w:t>- наличие; Подушка безопасности переднего пассажира</w:t>
            </w:r>
            <w:r>
              <w:t xml:space="preserve"> </w:t>
            </w:r>
            <w:r w:rsidRPr="0085455C">
              <w:t>- наличие; Подушки безопасности пассажира боковые- наличие; Подушки безопасности пассажира оконны</w:t>
            </w:r>
            <w:proofErr w:type="gramStart"/>
            <w:r w:rsidRPr="0085455C">
              <w:t>е-</w:t>
            </w:r>
            <w:proofErr w:type="gramEnd"/>
            <w:r w:rsidRPr="0085455C">
              <w:t xml:space="preserve"> наличие; Материал салона: кожа. Тип кузова: Седан. 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3.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spellStart"/>
            <w:r w:rsidRPr="0085455C">
              <w:rPr>
                <w:rFonts w:eastAsia="Calibri"/>
              </w:rPr>
              <w:t>Минивен</w:t>
            </w:r>
            <w:proofErr w:type="spellEnd"/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>
              <w:t>Количество мест не менее 7.</w:t>
            </w:r>
            <w:r w:rsidRPr="0085455C">
              <w:t xml:space="preserve">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7</w:t>
            </w:r>
            <w:r w:rsidRPr="0085455C">
              <w:t xml:space="preserve"> года. Объем багажного отделения при поднятых задних сидениях,  </w:t>
            </w:r>
            <w:r>
              <w:t xml:space="preserve">не менее </w:t>
            </w:r>
            <w:r w:rsidRPr="0085455C">
              <w:t xml:space="preserve"> 5800</w:t>
            </w:r>
            <w:r>
              <w:t xml:space="preserve"> л. </w:t>
            </w:r>
            <w:proofErr w:type="spellStart"/>
            <w:r w:rsidRPr="0085455C">
              <w:lastRenderedPageBreak/>
              <w:t>Электростеклоподъемники</w:t>
            </w:r>
            <w:proofErr w:type="spellEnd"/>
            <w:r w:rsidRPr="0085455C">
              <w:t xml:space="preserve"> дверей передних</w:t>
            </w:r>
            <w:r>
              <w:t xml:space="preserve"> </w:t>
            </w:r>
            <w:r w:rsidRPr="0085455C">
              <w:t>-</w:t>
            </w:r>
            <w:r>
              <w:t xml:space="preserve"> имеется</w:t>
            </w:r>
            <w:r w:rsidRPr="0085455C">
              <w:t>; Подогрев сидений передних</w:t>
            </w:r>
            <w:r>
              <w:t xml:space="preserve"> </w:t>
            </w:r>
            <w:r w:rsidRPr="0085455C">
              <w:t xml:space="preserve">- </w:t>
            </w:r>
            <w:r>
              <w:t>имеется</w:t>
            </w:r>
            <w:r w:rsidRPr="0085455C">
              <w:t>; климат контроль</w:t>
            </w:r>
            <w:r>
              <w:t xml:space="preserve"> </w:t>
            </w:r>
            <w:r w:rsidRPr="0085455C">
              <w:t xml:space="preserve">- </w:t>
            </w:r>
            <w:r>
              <w:t>имеется</w:t>
            </w:r>
            <w:r w:rsidRPr="0085455C">
              <w:t>; Подогрев сидений задни</w:t>
            </w:r>
            <w:proofErr w:type="gramStart"/>
            <w:r w:rsidRPr="0085455C">
              <w:t>х-</w:t>
            </w:r>
            <w:proofErr w:type="gramEnd"/>
            <w:r w:rsidRPr="0085455C">
              <w:t xml:space="preserve"> </w:t>
            </w:r>
            <w:r>
              <w:t>имеется</w:t>
            </w:r>
            <w:r w:rsidRPr="0085455C">
              <w:t xml:space="preserve">; Штатная аудиосистема- </w:t>
            </w:r>
            <w:r>
              <w:t>имеется</w:t>
            </w:r>
            <w:r w:rsidRPr="0085455C">
              <w:t xml:space="preserve">; </w:t>
            </w:r>
            <w:proofErr w:type="spellStart"/>
            <w:r w:rsidRPr="0085455C">
              <w:t>Электрорегулировка</w:t>
            </w:r>
            <w:proofErr w:type="spellEnd"/>
            <w:r w:rsidRPr="0085455C">
              <w:t xml:space="preserve"> сидений передних- </w:t>
            </w:r>
            <w:r>
              <w:t>имеется</w:t>
            </w:r>
            <w:r w:rsidRPr="0085455C">
              <w:t xml:space="preserve">; Подушка безопасности переднего пассажира- </w:t>
            </w:r>
            <w:r>
              <w:t>имеется</w:t>
            </w:r>
            <w:r w:rsidRPr="0085455C">
              <w:t xml:space="preserve">; Подушки безопасности пассажира боковые - </w:t>
            </w:r>
            <w:r>
              <w:t>имеется</w:t>
            </w:r>
            <w:r w:rsidRPr="0085455C">
              <w:t xml:space="preserve">; Подушки безопасности пассажира оконные - </w:t>
            </w:r>
            <w:r>
              <w:t>имеется</w:t>
            </w:r>
            <w:r w:rsidRPr="0085455C">
              <w:t xml:space="preserve">; Материал салона: кожа. 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lastRenderedPageBreak/>
              <w:t>4.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455C">
              <w:rPr>
                <w:rFonts w:eastAsia="Calibri"/>
              </w:rPr>
              <w:t xml:space="preserve">Микроавтобус 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 w:rsidRPr="0085455C">
              <w:t>Количество п</w:t>
            </w:r>
            <w:r>
              <w:t>осадочных мест не менее</w:t>
            </w:r>
            <w:r w:rsidRPr="0085455C">
              <w:t xml:space="preserve"> 20.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7</w:t>
            </w:r>
            <w:r w:rsidRPr="0085455C">
              <w:t xml:space="preserve"> года. </w:t>
            </w:r>
            <w:proofErr w:type="gramStart"/>
            <w:r w:rsidRPr="0085455C">
              <w:t>Посадочные места оборудованы двухточечным ремнем безопасности, сиденья мягкие, механизм изменения наклона спинки</w:t>
            </w:r>
            <w:r>
              <w:t xml:space="preserve"> </w:t>
            </w:r>
            <w:r w:rsidRPr="0085455C">
              <w:t>- наличие; стандартный обогреватель салона</w:t>
            </w:r>
            <w:r>
              <w:t xml:space="preserve"> </w:t>
            </w:r>
            <w:r w:rsidRPr="0085455C">
              <w:t xml:space="preserve">- наличие; </w:t>
            </w:r>
            <w:r>
              <w:t>имеется</w:t>
            </w:r>
            <w:r w:rsidRPr="0085455C">
              <w:t xml:space="preserve"> отъезжающ</w:t>
            </w:r>
            <w:r>
              <w:t>ая</w:t>
            </w:r>
            <w:r w:rsidRPr="0085455C">
              <w:t xml:space="preserve"> крышки багажных отсеков; боковые окна фиксированные, </w:t>
            </w:r>
            <w:r>
              <w:t>имеется</w:t>
            </w:r>
            <w:r w:rsidRPr="0085455C">
              <w:t xml:space="preserve"> тонировки; лампы для чтения, полки с подсветкой</w:t>
            </w:r>
            <w:r>
              <w:t xml:space="preserve"> </w:t>
            </w:r>
            <w:r w:rsidRPr="0085455C">
              <w:t>- наличие; микрофон, телевизор, DVD</w:t>
            </w:r>
            <w:r>
              <w:t xml:space="preserve"> </w:t>
            </w:r>
            <w:r w:rsidRPr="0085455C">
              <w:t xml:space="preserve">- проигрыватель - </w:t>
            </w:r>
            <w:r>
              <w:t>имеется</w:t>
            </w:r>
            <w:r w:rsidRPr="0085455C">
              <w:t xml:space="preserve">; боковые полки для багажа - </w:t>
            </w:r>
            <w:r>
              <w:t>имеется</w:t>
            </w:r>
            <w:r w:rsidRPr="0085455C">
              <w:t xml:space="preserve">; вентиляционный люк - </w:t>
            </w:r>
            <w:r>
              <w:t>имеется.</w:t>
            </w:r>
            <w:proofErr w:type="gramEnd"/>
            <w:r>
              <w:t xml:space="preserve"> Материал салона: текстиль. Оснащение: ГЛОНАСС</w:t>
            </w:r>
            <w:r w:rsidRPr="0085455C">
              <w:t xml:space="preserve">, </w:t>
            </w:r>
            <w:proofErr w:type="spellStart"/>
            <w:r w:rsidRPr="0085455C">
              <w:t>тахограф</w:t>
            </w:r>
            <w:proofErr w:type="spellEnd"/>
            <w:r w:rsidRPr="0085455C">
              <w:t xml:space="preserve"> - наличие, видеорегистратор</w:t>
            </w:r>
            <w:r>
              <w:t xml:space="preserve"> </w:t>
            </w:r>
            <w:r w:rsidRPr="0085455C">
              <w:t>-</w:t>
            </w:r>
            <w:r>
              <w:t xml:space="preserve"> имеется</w:t>
            </w:r>
            <w:r w:rsidRPr="0085455C">
              <w:t>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5.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455C">
              <w:rPr>
                <w:rFonts w:eastAsia="Calibri"/>
              </w:rPr>
              <w:t>Автобус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 w:rsidRPr="0085455C">
              <w:t xml:space="preserve">Автобус повышенной комфортности, экскурсионный, междугородний. Количество посадочных мест </w:t>
            </w:r>
            <w:r>
              <w:t>не менее</w:t>
            </w:r>
            <w:r w:rsidRPr="0085455C">
              <w:t xml:space="preserve"> 55.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8</w:t>
            </w:r>
            <w:r w:rsidRPr="0085455C">
              <w:t xml:space="preserve"> года. Объем багажного отделения, </w:t>
            </w:r>
            <w:r>
              <w:t xml:space="preserve">не менее </w:t>
            </w:r>
            <w:r w:rsidRPr="0085455C">
              <w:t>10 м</w:t>
            </w:r>
            <w:r w:rsidRPr="0085455C">
              <w:rPr>
                <w:vertAlign w:val="superscript"/>
              </w:rPr>
              <w:t>3</w:t>
            </w:r>
            <w:r w:rsidRPr="0085455C">
              <w:t xml:space="preserve">. Кондиционер - </w:t>
            </w:r>
            <w:r>
              <w:t>имеется</w:t>
            </w:r>
            <w:r w:rsidRPr="0085455C">
              <w:t>; Посадочные места оборудованы двухточечным ремнем безопасности; сиденья мягкие-</w:t>
            </w:r>
            <w:r>
              <w:t>имеется</w:t>
            </w:r>
            <w:r w:rsidRPr="0085455C">
              <w:t>; механизм изменения наклона спинки</w:t>
            </w:r>
            <w:r>
              <w:t xml:space="preserve"> </w:t>
            </w:r>
            <w:r w:rsidRPr="0085455C">
              <w:t xml:space="preserve">- </w:t>
            </w:r>
            <w:r>
              <w:t xml:space="preserve">имеется; имеется </w:t>
            </w:r>
            <w:r w:rsidRPr="0085455C">
              <w:t>обогреватель салона; отъезжающие крышки багажных отсеко</w:t>
            </w:r>
            <w:proofErr w:type="gramStart"/>
            <w:r w:rsidRPr="0085455C">
              <w:t>в-</w:t>
            </w:r>
            <w:proofErr w:type="gramEnd"/>
            <w:r w:rsidRPr="0085455C">
              <w:t xml:space="preserve"> </w:t>
            </w:r>
            <w:r>
              <w:t>имеется</w:t>
            </w:r>
            <w:r w:rsidRPr="0085455C">
              <w:t xml:space="preserve">; боковые окна фиксированные, </w:t>
            </w:r>
            <w:r>
              <w:t>имеется</w:t>
            </w:r>
            <w:r w:rsidRPr="0085455C">
              <w:t xml:space="preserve"> тонировки; </w:t>
            </w:r>
            <w:r>
              <w:t>имеются</w:t>
            </w:r>
            <w:r w:rsidRPr="0085455C">
              <w:t xml:space="preserve"> лампы для чтения, </w:t>
            </w:r>
            <w:r>
              <w:t>имеются</w:t>
            </w:r>
            <w:r w:rsidRPr="0085455C">
              <w:t xml:space="preserve"> полки с подсветкой; микрофон, телевизор, DVD- проигрыватель; боковые полки для багажа- </w:t>
            </w:r>
            <w:r>
              <w:t>имеется</w:t>
            </w:r>
            <w:r w:rsidRPr="0085455C">
              <w:t xml:space="preserve">; вентиляционный люк- </w:t>
            </w:r>
            <w:r>
              <w:t>имеется. Материал салона: текстиль</w:t>
            </w:r>
            <w:r w:rsidRPr="0085455C">
              <w:t xml:space="preserve">. Оснащение: ГЛОНАСС либо GPS, </w:t>
            </w:r>
            <w:proofErr w:type="spellStart"/>
            <w:r w:rsidRPr="0085455C">
              <w:t>тахограф</w:t>
            </w:r>
            <w:proofErr w:type="spellEnd"/>
            <w:r w:rsidRPr="0085455C">
              <w:t xml:space="preserve"> - </w:t>
            </w:r>
            <w:r>
              <w:t>имеется</w:t>
            </w:r>
            <w:r w:rsidRPr="0085455C">
              <w:t xml:space="preserve">, видеорегистратор - </w:t>
            </w:r>
            <w:r>
              <w:t>имеется</w:t>
            </w:r>
            <w:r w:rsidRPr="0085455C">
              <w:t>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5455C">
              <w:rPr>
                <w:rFonts w:eastAsia="Calibri"/>
              </w:rPr>
              <w:t>6.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5455C">
              <w:rPr>
                <w:rFonts w:eastAsia="Calibri"/>
              </w:rPr>
              <w:t>Грузовой автомобиль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85455C" w:rsidRDefault="001E688D" w:rsidP="001B5591">
            <w:pPr>
              <w:jc w:val="both"/>
            </w:pPr>
            <w:r w:rsidRPr="0085455C">
              <w:t xml:space="preserve">Грузоподъемностью </w:t>
            </w:r>
            <w:r>
              <w:t xml:space="preserve">не менее </w:t>
            </w:r>
            <w:r w:rsidRPr="0085455C">
              <w:t xml:space="preserve">5 т. Год выпуска </w:t>
            </w:r>
            <w:r>
              <w:t>–</w:t>
            </w:r>
            <w:r w:rsidRPr="0085455C">
              <w:t xml:space="preserve"> </w:t>
            </w:r>
            <w:r>
              <w:t xml:space="preserve">не ранее </w:t>
            </w:r>
            <w:r w:rsidRPr="0085455C">
              <w:t>201</w:t>
            </w:r>
            <w:r>
              <w:t>4</w:t>
            </w:r>
            <w:r w:rsidRPr="0085455C">
              <w:t xml:space="preserve"> года.</w:t>
            </w:r>
          </w:p>
          <w:p w:rsidR="001E688D" w:rsidRPr="0085455C" w:rsidRDefault="001E688D" w:rsidP="001B5591">
            <w:pPr>
              <w:jc w:val="both"/>
            </w:pPr>
            <w:r w:rsidRPr="0085455C">
              <w:t xml:space="preserve">Оснащение: GPS, </w:t>
            </w:r>
            <w:proofErr w:type="spellStart"/>
            <w:r w:rsidRPr="0085455C">
              <w:t>тахограф</w:t>
            </w:r>
            <w:proofErr w:type="spellEnd"/>
            <w:r w:rsidRPr="0085455C">
              <w:t xml:space="preserve"> - </w:t>
            </w:r>
            <w:r>
              <w:t>имеется</w:t>
            </w:r>
            <w:r w:rsidRPr="0085455C">
              <w:t xml:space="preserve">, видеорегистратор – </w:t>
            </w:r>
            <w:r>
              <w:t>имеется</w:t>
            </w:r>
            <w:r w:rsidRPr="0085455C">
              <w:t>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7.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6BEF">
              <w:rPr>
                <w:rFonts w:eastAsia="Calibri"/>
              </w:rPr>
              <w:t>Грузовой автомобиль (самосвал)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jc w:val="both"/>
            </w:pPr>
            <w:r w:rsidRPr="00216BEF">
              <w:t>Грузовой автомобиль (самосвал), грузоподъемностью не менее 13т. Год выпуска – не ранее 2014 года.</w:t>
            </w:r>
          </w:p>
          <w:p w:rsidR="001E688D" w:rsidRPr="00216BEF" w:rsidRDefault="001E688D" w:rsidP="001B5591">
            <w:pPr>
              <w:jc w:val="both"/>
            </w:pPr>
            <w:r w:rsidRPr="00216BEF">
              <w:t xml:space="preserve">Оснащение: GPS, </w:t>
            </w:r>
            <w:proofErr w:type="spellStart"/>
            <w:r w:rsidRPr="00216BEF">
              <w:t>тахограф</w:t>
            </w:r>
            <w:proofErr w:type="spellEnd"/>
            <w:r w:rsidRPr="00216BEF">
              <w:t xml:space="preserve"> - имеется, видеорегистратор – имеется.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8.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6BEF">
              <w:rPr>
                <w:rFonts w:eastAsia="Calibri"/>
              </w:rPr>
              <w:t>Автовышка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jc w:val="both"/>
            </w:pPr>
            <w:r w:rsidRPr="00216BEF">
              <w:t>Высота стрелы не менее 22 метров, грузоподъемность до 300 кг.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9.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6BEF">
              <w:rPr>
                <w:rFonts w:eastAsia="Calibri"/>
              </w:rPr>
              <w:t>Мини погрузчик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jc w:val="both"/>
            </w:pPr>
            <w:r w:rsidRPr="00216BEF">
              <w:t>Колесная формула 4х4, грузоподъемность ковша от 750 кг</w:t>
            </w:r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10.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6BEF">
              <w:rPr>
                <w:rFonts w:eastAsia="Calibri"/>
              </w:rPr>
              <w:t>Экскаватор-погрузчик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r w:rsidRPr="00216BEF">
              <w:t>Колесная формула 4х4,</w:t>
            </w:r>
            <w:r w:rsidRPr="00216BEF">
              <w:rPr>
                <w:rFonts w:ascii="Arial" w:hAnsi="Arial" w:cs="Arial"/>
                <w:sz w:val="19"/>
                <w:szCs w:val="19"/>
              </w:rPr>
              <w:br/>
            </w:r>
            <w:r w:rsidRPr="00216BEF">
              <w:rPr>
                <w:shd w:val="clear" w:color="auto" w:fill="FFFFFF"/>
              </w:rPr>
              <w:t>Объем погрузочного ковша от 1 мᶟ;</w:t>
            </w:r>
            <w:r w:rsidRPr="00216BEF">
              <w:br/>
            </w:r>
            <w:r w:rsidRPr="00216BEF">
              <w:rPr>
                <w:shd w:val="clear" w:color="auto" w:fill="FFFFFF"/>
              </w:rPr>
              <w:t>Глубина копания до 5970 мм</w:t>
            </w:r>
            <w:proofErr w:type="gramStart"/>
            <w:r w:rsidRPr="00216BEF">
              <w:rPr>
                <w:shd w:val="clear" w:color="auto" w:fill="FFFFFF"/>
              </w:rPr>
              <w:t>.;</w:t>
            </w:r>
            <w:proofErr w:type="gramEnd"/>
          </w:p>
        </w:tc>
      </w:tr>
      <w:tr w:rsidR="001E688D" w:rsidRPr="0085455C" w:rsidTr="001B5591">
        <w:trPr>
          <w:trHeight w:val="20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16BEF">
              <w:rPr>
                <w:rFonts w:eastAsia="Calibri"/>
              </w:rPr>
              <w:t>11.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16BEF">
              <w:rPr>
                <w:rFonts w:eastAsia="Calibri"/>
              </w:rPr>
              <w:t>Грузовой автомобиль -  манипулятор</w:t>
            </w:r>
          </w:p>
        </w:tc>
        <w:tc>
          <w:tcPr>
            <w:tcW w:w="3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8D" w:rsidRPr="00216BEF" w:rsidRDefault="001E688D" w:rsidP="001B5591">
            <w:pPr>
              <w:jc w:val="both"/>
            </w:pPr>
            <w:r w:rsidRPr="00216BEF">
              <w:t>Бортовой автомобиль манипулятор. Кузов: не менее 6,5*2,5метров, г/</w:t>
            </w:r>
            <w:proofErr w:type="gramStart"/>
            <w:r w:rsidRPr="00216BEF">
              <w:t>п</w:t>
            </w:r>
            <w:proofErr w:type="gramEnd"/>
            <w:r w:rsidRPr="00216BEF">
              <w:t xml:space="preserve"> 12т. Стрела: г/</w:t>
            </w:r>
            <w:proofErr w:type="gramStart"/>
            <w:r w:rsidRPr="00216BEF">
              <w:t>п</w:t>
            </w:r>
            <w:proofErr w:type="gramEnd"/>
            <w:r w:rsidRPr="00216BEF">
              <w:t xml:space="preserve"> 7000 кг., вылет стрелы 21 метр.</w:t>
            </w:r>
          </w:p>
        </w:tc>
      </w:tr>
    </w:tbl>
    <w:p w:rsidR="001E688D" w:rsidRPr="0085455C" w:rsidRDefault="001E688D" w:rsidP="001E688D">
      <w:pPr>
        <w:numPr>
          <w:ilvl w:val="0"/>
          <w:numId w:val="15"/>
        </w:numPr>
        <w:suppressAutoHyphens/>
        <w:ind w:left="0" w:firstLine="0"/>
        <w:rPr>
          <w:b/>
        </w:rPr>
      </w:pPr>
      <w:r w:rsidRPr="0085455C">
        <w:rPr>
          <w:b/>
        </w:rPr>
        <w:t>Неотъемлемой частью технического задания является:</w:t>
      </w:r>
    </w:p>
    <w:p w:rsidR="001E688D" w:rsidRPr="0085455C" w:rsidRDefault="001E688D" w:rsidP="001E688D">
      <w:r w:rsidRPr="0085455C">
        <w:t>- Приложением №1 к техническому заданию (План мероприятий);</w:t>
      </w:r>
    </w:p>
    <w:p w:rsidR="001E688D" w:rsidRDefault="001E688D" w:rsidP="001E688D">
      <w:r w:rsidRPr="0085455C">
        <w:t>- Приложение №2 к техническому заданию (Форма заявки).</w:t>
      </w:r>
    </w:p>
    <w:p w:rsidR="00987388" w:rsidRPr="00FC0A1E" w:rsidRDefault="00987388" w:rsidP="00987388">
      <w:pPr>
        <w:jc w:val="right"/>
        <w:rPr>
          <w:rFonts w:eastAsia="Calibri"/>
          <w:b/>
          <w:bCs/>
          <w:lang w:eastAsia="en-US"/>
        </w:rPr>
      </w:pPr>
    </w:p>
    <w:sectPr w:rsidR="00987388" w:rsidRPr="00FC0A1E" w:rsidSect="00D445F0">
      <w:pgSz w:w="11906" w:h="16838"/>
      <w:pgMar w:top="567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3B6"/>
    <w:multiLevelType w:val="hybridMultilevel"/>
    <w:tmpl w:val="51F8EDEC"/>
    <w:lvl w:ilvl="0" w:tplc="E1EA6C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2A15"/>
    <w:multiLevelType w:val="hybridMultilevel"/>
    <w:tmpl w:val="6456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37D92"/>
    <w:multiLevelType w:val="hybridMultilevel"/>
    <w:tmpl w:val="F992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57C74"/>
    <w:multiLevelType w:val="hybridMultilevel"/>
    <w:tmpl w:val="6638D4F2"/>
    <w:lvl w:ilvl="0" w:tplc="D0109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10994"/>
    <w:multiLevelType w:val="hybridMultilevel"/>
    <w:tmpl w:val="6096F4C8"/>
    <w:lvl w:ilvl="0" w:tplc="6AE43728">
      <w:start w:val="1"/>
      <w:numFmt w:val="decimal"/>
      <w:lvlText w:val="%1."/>
      <w:lvlJc w:val="left"/>
      <w:pPr>
        <w:ind w:left="892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5">
    <w:nsid w:val="3BAF6706"/>
    <w:multiLevelType w:val="hybridMultilevel"/>
    <w:tmpl w:val="312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F4ABC"/>
    <w:multiLevelType w:val="hybridMultilevel"/>
    <w:tmpl w:val="6456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11B85"/>
    <w:multiLevelType w:val="hybridMultilevel"/>
    <w:tmpl w:val="62B8B058"/>
    <w:lvl w:ilvl="0" w:tplc="54641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516FC"/>
    <w:multiLevelType w:val="multilevel"/>
    <w:tmpl w:val="BACA46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</w:pPr>
      <w:rPr>
        <w:rFonts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7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993"/>
        </w:tabs>
        <w:ind w:left="993" w:hanging="567"/>
      </w:pPr>
      <w:rPr>
        <w:rFonts w:cs="Times New Roman" w:hint="default"/>
        <w:b w:val="0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486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5"/>
        </w:tabs>
        <w:ind w:left="5445" w:hanging="1440"/>
      </w:pPr>
      <w:rPr>
        <w:rFonts w:cs="Times New Roman" w:hint="default"/>
      </w:rPr>
    </w:lvl>
  </w:abstractNum>
  <w:abstractNum w:abstractNumId="9">
    <w:nsid w:val="5C724BCE"/>
    <w:multiLevelType w:val="hybridMultilevel"/>
    <w:tmpl w:val="6456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4456"/>
    <w:multiLevelType w:val="hybridMultilevel"/>
    <w:tmpl w:val="3AA4EFA2"/>
    <w:lvl w:ilvl="0" w:tplc="A3D48E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56FD0"/>
    <w:multiLevelType w:val="hybridMultilevel"/>
    <w:tmpl w:val="B782972C"/>
    <w:lvl w:ilvl="0" w:tplc="0B6690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984"/>
    <w:multiLevelType w:val="hybridMultilevel"/>
    <w:tmpl w:val="6456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E79CE"/>
    <w:multiLevelType w:val="multilevel"/>
    <w:tmpl w:val="E7AEC2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9CC61AE"/>
    <w:multiLevelType w:val="hybridMultilevel"/>
    <w:tmpl w:val="312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4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96"/>
    <w:rsid w:val="00011985"/>
    <w:rsid w:val="000202B8"/>
    <w:rsid w:val="00021239"/>
    <w:rsid w:val="0004460F"/>
    <w:rsid w:val="00052B0D"/>
    <w:rsid w:val="000724B8"/>
    <w:rsid w:val="00072788"/>
    <w:rsid w:val="00154C7E"/>
    <w:rsid w:val="0016178D"/>
    <w:rsid w:val="0018769D"/>
    <w:rsid w:val="001E3ED1"/>
    <w:rsid w:val="001E6157"/>
    <w:rsid w:val="001E688D"/>
    <w:rsid w:val="00213C66"/>
    <w:rsid w:val="002229D3"/>
    <w:rsid w:val="00287CB7"/>
    <w:rsid w:val="00351842"/>
    <w:rsid w:val="00380D21"/>
    <w:rsid w:val="003837CE"/>
    <w:rsid w:val="0039138B"/>
    <w:rsid w:val="0039635B"/>
    <w:rsid w:val="003D6D84"/>
    <w:rsid w:val="004126D0"/>
    <w:rsid w:val="0043067B"/>
    <w:rsid w:val="00480B72"/>
    <w:rsid w:val="004E63FA"/>
    <w:rsid w:val="00507EBE"/>
    <w:rsid w:val="00535F63"/>
    <w:rsid w:val="005873CB"/>
    <w:rsid w:val="005B675B"/>
    <w:rsid w:val="006004BC"/>
    <w:rsid w:val="00612413"/>
    <w:rsid w:val="006257AB"/>
    <w:rsid w:val="006526C6"/>
    <w:rsid w:val="006C0827"/>
    <w:rsid w:val="006C1363"/>
    <w:rsid w:val="006F2FB9"/>
    <w:rsid w:val="007410CB"/>
    <w:rsid w:val="00770828"/>
    <w:rsid w:val="00794801"/>
    <w:rsid w:val="007A4DDB"/>
    <w:rsid w:val="007C1ADD"/>
    <w:rsid w:val="007D1F2B"/>
    <w:rsid w:val="007D6334"/>
    <w:rsid w:val="00832D98"/>
    <w:rsid w:val="00840820"/>
    <w:rsid w:val="00860F59"/>
    <w:rsid w:val="00880C7F"/>
    <w:rsid w:val="008835FC"/>
    <w:rsid w:val="008D73C0"/>
    <w:rsid w:val="008E7F38"/>
    <w:rsid w:val="00925A17"/>
    <w:rsid w:val="00951883"/>
    <w:rsid w:val="00951BFF"/>
    <w:rsid w:val="00957EE9"/>
    <w:rsid w:val="0096756C"/>
    <w:rsid w:val="00987388"/>
    <w:rsid w:val="009A4E78"/>
    <w:rsid w:val="009A6C9A"/>
    <w:rsid w:val="009C34F7"/>
    <w:rsid w:val="00A325B1"/>
    <w:rsid w:val="00A90780"/>
    <w:rsid w:val="00B05365"/>
    <w:rsid w:val="00B50EDE"/>
    <w:rsid w:val="00BB1496"/>
    <w:rsid w:val="00BB1997"/>
    <w:rsid w:val="00BD1D2D"/>
    <w:rsid w:val="00BF0440"/>
    <w:rsid w:val="00C47AF5"/>
    <w:rsid w:val="00C52351"/>
    <w:rsid w:val="00C80FA3"/>
    <w:rsid w:val="00CC4FDC"/>
    <w:rsid w:val="00CF3956"/>
    <w:rsid w:val="00D11211"/>
    <w:rsid w:val="00D17F58"/>
    <w:rsid w:val="00D4357F"/>
    <w:rsid w:val="00D445F0"/>
    <w:rsid w:val="00D6057D"/>
    <w:rsid w:val="00DA0C2A"/>
    <w:rsid w:val="00DA50A6"/>
    <w:rsid w:val="00E06C27"/>
    <w:rsid w:val="00E112AF"/>
    <w:rsid w:val="00E640F1"/>
    <w:rsid w:val="00E81FA1"/>
    <w:rsid w:val="00F667F4"/>
    <w:rsid w:val="00F73AA5"/>
    <w:rsid w:val="00F83200"/>
    <w:rsid w:val="00FC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8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character" w:customStyle="1" w:styleId="bold">
    <w:name w:val="bold"/>
    <w:rsid w:val="00D4357F"/>
  </w:style>
  <w:style w:type="character" w:styleId="a3">
    <w:name w:val="Hyperlink"/>
    <w:basedOn w:val="a0"/>
    <w:uiPriority w:val="99"/>
    <w:unhideWhenUsed/>
    <w:rsid w:val="004306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4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840820"/>
    <w:pPr>
      <w:ind w:left="720"/>
      <w:contextualSpacing/>
    </w:pPr>
  </w:style>
  <w:style w:type="paragraph" w:styleId="2">
    <w:name w:val="Body Text Indent 2"/>
    <w:basedOn w:val="a"/>
    <w:link w:val="20"/>
    <w:rsid w:val="008408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8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uiPriority w:val="99"/>
    <w:semiHidden/>
    <w:rsid w:val="00840820"/>
    <w:rPr>
      <w:rFonts w:cs="Times New Roman"/>
      <w:color w:val="808080"/>
    </w:rPr>
  </w:style>
  <w:style w:type="paragraph" w:customStyle="1" w:styleId="-6">
    <w:name w:val="Пункт-6"/>
    <w:basedOn w:val="a"/>
    <w:uiPriority w:val="99"/>
    <w:rsid w:val="00840820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840820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08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Абзац списка4"/>
    <w:basedOn w:val="a"/>
    <w:qFormat/>
    <w:rsid w:val="00DA50A6"/>
    <w:pPr>
      <w:ind w:left="720"/>
      <w:contextualSpacing/>
    </w:pPr>
    <w:rPr>
      <w:szCs w:val="28"/>
    </w:rPr>
  </w:style>
  <w:style w:type="character" w:customStyle="1" w:styleId="bold">
    <w:name w:val="bold"/>
    <w:rsid w:val="00D4357F"/>
  </w:style>
  <w:style w:type="character" w:styleId="a3">
    <w:name w:val="Hyperlink"/>
    <w:basedOn w:val="a0"/>
    <w:uiPriority w:val="99"/>
    <w:unhideWhenUsed/>
    <w:rsid w:val="004306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4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99"/>
    <w:qFormat/>
    <w:rsid w:val="00840820"/>
    <w:pPr>
      <w:ind w:left="720"/>
      <w:contextualSpacing/>
    </w:pPr>
  </w:style>
  <w:style w:type="paragraph" w:styleId="2">
    <w:name w:val="Body Text Indent 2"/>
    <w:basedOn w:val="a"/>
    <w:link w:val="20"/>
    <w:rsid w:val="008408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08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uiPriority w:val="99"/>
    <w:semiHidden/>
    <w:rsid w:val="00840820"/>
    <w:rPr>
      <w:rFonts w:cs="Times New Roman"/>
      <w:color w:val="808080"/>
    </w:rPr>
  </w:style>
  <w:style w:type="paragraph" w:customStyle="1" w:styleId="-6">
    <w:name w:val="Пункт-6"/>
    <w:basedOn w:val="a"/>
    <w:uiPriority w:val="99"/>
    <w:rsid w:val="00840820"/>
    <w:pPr>
      <w:tabs>
        <w:tab w:val="num" w:pos="360"/>
      </w:tabs>
      <w:spacing w:line="288" w:lineRule="auto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840820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Довольный пользователь Microsoft Office</cp:lastModifiedBy>
  <cp:revision>2</cp:revision>
  <cp:lastPrinted>2023-01-11T11:30:00Z</cp:lastPrinted>
  <dcterms:created xsi:type="dcterms:W3CDTF">2026-06-03T13:38:00Z</dcterms:created>
  <dcterms:modified xsi:type="dcterms:W3CDTF">2026-06-03T13:38:00Z</dcterms:modified>
</cp:coreProperties>
</file>