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5"/>
        <w:jc w:val="center"/>
        <w:rPr>
          <w:b/>
          <w:bCs/>
          <w:lang w:eastAsia="ru-RU"/>
        </w:rPr>
      </w:pPr>
      <w:r>
        <w:rPr>
          <w:b/>
          <w:bCs/>
          <w:lang w:eastAsia="ru-RU"/>
        </w:rPr>
      </w:r>
      <w:r>
        <w:rPr>
          <w:b/>
          <w:bCs/>
          <w:lang w:eastAsia="ru-RU"/>
        </w:rPr>
      </w:r>
      <w:r>
        <w:rPr>
          <w:b/>
          <w:bCs/>
          <w:lang w:eastAsia="ru-RU"/>
        </w:rPr>
      </w:r>
    </w:p>
    <w:p>
      <w:pPr>
        <w:pStyle w:val="835"/>
        <w:jc w:val="center"/>
        <w:rPr>
          <w:b/>
          <w:bCs/>
          <w:lang w:eastAsia="ru-RU"/>
        </w:rPr>
      </w:pPr>
      <w:r>
        <w:rPr>
          <w:b/>
          <w:bCs/>
          <w:lang w:eastAsia="ru-RU"/>
        </w:rPr>
        <w:t xml:space="preserve">ТЕХНИЧЕСКОЕ ЗАДАНИЕ</w:t>
      </w:r>
      <w:r>
        <w:rPr>
          <w:b/>
          <w:bCs/>
          <w:lang w:eastAsia="ru-RU"/>
        </w:rPr>
      </w:r>
      <w:r>
        <w:rPr>
          <w:b/>
          <w:bCs/>
          <w:lang w:eastAsia="ru-RU"/>
        </w:rPr>
      </w:r>
    </w:p>
    <w:p>
      <w:pPr>
        <w:pStyle w:val="835"/>
        <w:jc w:val="both"/>
        <w:spacing w:line="281" w:lineRule="exact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35"/>
      </w:pPr>
      <w:r>
        <w:rPr>
          <w:b/>
          <w:bCs/>
          <w:lang w:eastAsia="en-US"/>
        </w:rPr>
        <w:t xml:space="preserve">Полное наименование услуг: </w:t>
      </w:r>
      <w:r>
        <w:rPr>
          <w:lang w:eastAsia="en-US"/>
        </w:rPr>
        <w:t xml:space="preserve">Оказание услуг </w:t>
      </w:r>
      <w:r>
        <w:rPr>
          <w:lang w:eastAsia="en-US"/>
        </w:rPr>
        <w:t xml:space="preserve">мобильной телефонной</w:t>
      </w:r>
      <w:r>
        <w:t xml:space="preserve"> связи </w:t>
      </w:r>
      <w:r/>
    </w:p>
    <w:p>
      <w:pPr>
        <w:pStyle w:val="835"/>
        <w:tabs>
          <w:tab w:val="left" w:pos="598" w:leader="none"/>
        </w:tabs>
      </w:pPr>
      <w:r>
        <w:t xml:space="preserve"> </w:t>
      </w:r>
      <w:r/>
    </w:p>
    <w:p>
      <w:pPr>
        <w:pStyle w:val="835"/>
        <w:rPr>
          <w:b/>
        </w:rPr>
      </w:pPr>
      <w:r>
        <w:rPr>
          <w:b/>
        </w:rPr>
        <w:t xml:space="preserve">Объем услуг:</w:t>
      </w:r>
      <w:r>
        <w:rPr>
          <w:b/>
        </w:rPr>
      </w:r>
      <w:r>
        <w:rPr>
          <w:b/>
        </w:rPr>
      </w:r>
    </w:p>
    <w:p>
      <w:pPr>
        <w:pStyle w:val="835"/>
        <w:jc w:val="center"/>
        <w:rPr>
          <w:b/>
          <w:lang w:eastAsia="ru-RU"/>
        </w:rPr>
      </w:pPr>
      <w:r>
        <w:rPr>
          <w:b/>
          <w:lang w:eastAsia="ru-RU"/>
        </w:rPr>
      </w:r>
      <w:r>
        <w:rPr>
          <w:b/>
          <w:lang w:eastAsia="ru-RU"/>
        </w:rPr>
      </w:r>
      <w:r>
        <w:rPr>
          <w:b/>
          <w:lang w:eastAsia="ru-RU"/>
        </w:rPr>
      </w:r>
    </w:p>
    <w:tbl>
      <w:tblPr>
        <w:tblW w:w="21351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648"/>
        <w:gridCol w:w="6912"/>
        <w:gridCol w:w="3212"/>
        <w:gridCol w:w="28"/>
        <w:gridCol w:w="1055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gridAfter w:val="1"/>
        </w:trPr>
        <w:tc>
          <w:tcPr>
            <w:tcW w:w="648" w:type="dxa"/>
            <w:vAlign w:val="center"/>
            <w:textDirection w:val="lrTb"/>
            <w:noWrap w:val="false"/>
          </w:tcPr>
          <w:p>
            <w:pPr>
              <w:pStyle w:val="835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 xml:space="preserve">№</w:t>
            </w:r>
            <w:r>
              <w:rPr>
                <w:b/>
                <w:bCs/>
                <w:lang w:eastAsia="ru-RU"/>
              </w:rPr>
            </w:r>
            <w:r>
              <w:rPr>
                <w:b/>
                <w:bCs/>
                <w:lang w:eastAsia="ru-RU"/>
              </w:rPr>
            </w:r>
          </w:p>
        </w:tc>
        <w:tc>
          <w:tcPr>
            <w:tcW w:w="6912" w:type="dxa"/>
            <w:vAlign w:val="center"/>
            <w:textDirection w:val="lrTb"/>
            <w:noWrap w:val="false"/>
          </w:tcPr>
          <w:p>
            <w:pPr>
              <w:pStyle w:val="835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 xml:space="preserve">В ежемесячную плату должно быть включено:</w:t>
            </w:r>
            <w:r>
              <w:rPr>
                <w:b/>
                <w:bCs/>
                <w:lang w:eastAsia="ru-RU"/>
              </w:rPr>
            </w:r>
            <w:r>
              <w:rPr>
                <w:b/>
                <w:bCs/>
                <w:lang w:eastAsia="ru-RU"/>
              </w:rPr>
            </w:r>
          </w:p>
        </w:tc>
        <w:tc>
          <w:tcPr>
            <w:gridSpan w:val="2"/>
            <w:tcW w:w="3240" w:type="dxa"/>
            <w:vAlign w:val="center"/>
            <w:textDirection w:val="lrTb"/>
            <w:noWrap w:val="false"/>
          </w:tcPr>
          <w:p>
            <w:pPr>
              <w:pStyle w:val="835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 xml:space="preserve">Кол-во абонентских номеров</w:t>
            </w:r>
            <w:r>
              <w:rPr>
                <w:b/>
                <w:bCs/>
                <w:lang w:eastAsia="ru-RU"/>
              </w:rPr>
            </w:r>
            <w:r>
              <w:rPr>
                <w:b/>
                <w:bCs/>
                <w:lang w:eastAsia="ru-RU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gridAfter w:val="1"/>
        </w:trPr>
        <w:tc>
          <w:tcPr>
            <w:tcW w:w="648" w:type="dxa"/>
            <w:vAlign w:val="center"/>
            <w:textDirection w:val="lrTb"/>
            <w:noWrap w:val="false"/>
          </w:tcPr>
          <w:p>
            <w:pPr>
              <w:pStyle w:val="835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1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W w:w="6912" w:type="dxa"/>
            <w:vAlign w:val="top"/>
            <w:textDirection w:val="lrTb"/>
            <w:noWrap w:val="false"/>
          </w:tcPr>
          <w:p>
            <w:pPr>
              <w:pStyle w:val="835"/>
              <w:shd w:val="clear" w:color="auto" w:fill="ffffff"/>
              <w:rPr>
                <w:color w:val="333333"/>
                <w:lang w:eastAsia="ru-RU"/>
              </w:rPr>
            </w:pPr>
            <w:r>
              <w:rPr>
                <w:color w:val="333333"/>
                <w:lang w:eastAsia="ru-RU"/>
              </w:rPr>
            </w:r>
            <w:r>
              <w:rPr>
                <w:color w:val="333333"/>
                <w:lang w:eastAsia="ru-RU"/>
              </w:rPr>
            </w:r>
            <w:r>
              <w:rPr>
                <w:color w:val="333333"/>
                <w:lang w:eastAsia="ru-RU"/>
              </w:rPr>
            </w:r>
          </w:p>
        </w:tc>
        <w:tc>
          <w:tcPr>
            <w:gridSpan w:val="2"/>
            <w:tcW w:w="3240" w:type="dxa"/>
            <w:vAlign w:val="center"/>
            <w:textDirection w:val="lrTb"/>
            <w:noWrap w:val="false"/>
          </w:tcPr>
          <w:p>
            <w:pPr>
              <w:pStyle w:val="835"/>
              <w:jc w:val="center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gridAfter w:val="1"/>
        </w:trPr>
        <w:tc>
          <w:tcPr>
            <w:tcW w:w="648" w:type="dxa"/>
            <w:vAlign w:val="center"/>
            <w:textDirection w:val="lrTb"/>
            <w:noWrap w:val="false"/>
          </w:tcPr>
          <w:p>
            <w:pPr>
              <w:pStyle w:val="835"/>
              <w:jc w:val="center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  <w:p>
            <w:pPr>
              <w:pStyle w:val="835"/>
              <w:jc w:val="center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  <w:p>
            <w:pPr>
              <w:pStyle w:val="835"/>
              <w:jc w:val="center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W w:w="6912" w:type="dxa"/>
            <w:vAlign w:val="top"/>
            <w:textDirection w:val="lrTb"/>
            <w:noWrap w:val="false"/>
          </w:tcPr>
          <w:p>
            <w:pPr>
              <w:pStyle w:val="839"/>
              <w:numPr>
                <w:ilvl w:val="0"/>
                <w:numId w:val="1"/>
              </w:numPr>
              <w:ind w:left="456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Безлимитные звонки на мобильные «подключенного Оператора» по России</w:t>
            </w:r>
            <w:r>
              <w:rPr>
                <w:rFonts w:eastAsia="Times New Roman"/>
                <w:color w:val="000000"/>
              </w:rPr>
            </w:r>
            <w:r>
              <w:rPr>
                <w:rFonts w:eastAsia="Times New Roman"/>
                <w:color w:val="000000"/>
              </w:rPr>
            </w:r>
          </w:p>
          <w:p>
            <w:pPr>
              <w:pStyle w:val="839"/>
              <w:numPr>
                <w:ilvl w:val="0"/>
                <w:numId w:val="1"/>
              </w:numPr>
              <w:ind w:left="456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Безлимитный трафик на мессенджеры: WhatsApp, Telegram, Skype, Viber, Snapchat, Discord, ICQ</w:t>
            </w:r>
            <w:r>
              <w:rPr>
                <w:rFonts w:eastAsia="Times New Roman"/>
                <w:color w:val="000000"/>
              </w:rPr>
            </w:r>
            <w:r>
              <w:rPr>
                <w:rFonts w:eastAsia="Times New Roman"/>
                <w:color w:val="000000"/>
              </w:rPr>
            </w:r>
          </w:p>
          <w:p>
            <w:pPr>
              <w:pStyle w:val="839"/>
              <w:numPr>
                <w:ilvl w:val="0"/>
                <w:numId w:val="1"/>
              </w:numPr>
              <w:ind w:left="456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Безлимитный трафик на навигацию: Яндекс Карты, Яндекс Навигатор, Яндекс Транспорт</w:t>
            </w:r>
            <w:r>
              <w:rPr>
                <w:rFonts w:eastAsia="Times New Roman"/>
                <w:color w:val="000000"/>
              </w:rPr>
            </w:r>
            <w:r>
              <w:rPr>
                <w:rFonts w:eastAsia="Times New Roman"/>
                <w:color w:val="000000"/>
              </w:rPr>
            </w:r>
          </w:p>
          <w:p>
            <w:pPr>
              <w:pStyle w:val="839"/>
              <w:numPr>
                <w:ilvl w:val="0"/>
                <w:numId w:val="1"/>
              </w:numPr>
              <w:ind w:left="456"/>
              <w:rPr>
                <w:rFonts w:eastAsia="Times New Roman"/>
                <w:b w:val="0"/>
                <w:bCs w:val="0"/>
                <w:color w:val="000000" w:themeColor="text1"/>
              </w:rPr>
            </w:pPr>
            <w:r>
              <w:rPr>
                <w:rFonts w:eastAsia="Times New Roman"/>
                <w:b w:val="0"/>
                <w:bCs w:val="0"/>
                <w:color w:val="000000" w:themeColor="text1"/>
              </w:rPr>
              <w:t xml:space="preserve">Не менее 900</w:t>
            </w:r>
            <w:r>
              <w:rPr>
                <w:rFonts w:eastAsia="Times New Roman"/>
                <w:b w:val="0"/>
                <w:bCs w:val="0"/>
                <w:color w:val="000000" w:themeColor="text1"/>
              </w:rPr>
              <w:t xml:space="preserve"> </w:t>
            </w:r>
            <w:r>
              <w:rPr>
                <w:rFonts w:eastAsia="Times New Roman"/>
                <w:b w:val="0"/>
                <w:bCs w:val="0"/>
                <w:color w:val="000000" w:themeColor="text1"/>
              </w:rPr>
              <w:t xml:space="preserve">минут</w:t>
            </w:r>
            <w:r>
              <w:rPr>
                <w:rFonts w:eastAsia="Times New Roman"/>
                <w:b w:val="0"/>
                <w:bCs w:val="0"/>
                <w:color w:val="000000" w:themeColor="text1"/>
              </w:rPr>
              <w:t xml:space="preserve"> на все сети России</w:t>
            </w:r>
            <w:r>
              <w:rPr>
                <w:rFonts w:eastAsia="Times New Roman"/>
                <w:b w:val="0"/>
                <w:bCs w:val="0"/>
                <w:color w:val="000000" w:themeColor="text1"/>
              </w:rPr>
            </w:r>
            <w:r>
              <w:rPr>
                <w:rFonts w:eastAsia="Times New Roman"/>
                <w:b w:val="0"/>
                <w:bCs w:val="0"/>
                <w:color w:val="000000" w:themeColor="text1"/>
              </w:rPr>
            </w:r>
          </w:p>
          <w:p>
            <w:pPr>
              <w:pStyle w:val="839"/>
              <w:numPr>
                <w:ilvl w:val="0"/>
                <w:numId w:val="1"/>
              </w:numPr>
              <w:ind w:left="456"/>
              <w:rPr>
                <w:rFonts w:eastAsia="Times New Roman"/>
                <w:b w:val="0"/>
                <w:bCs w:val="0"/>
                <w:color w:val="000000" w:themeColor="text1"/>
              </w:rPr>
            </w:pPr>
            <w:r>
              <w:rPr>
                <w:rFonts w:eastAsia="Times New Roman"/>
                <w:b w:val="0"/>
                <w:bCs w:val="0"/>
                <w:color w:val="000000" w:themeColor="text1"/>
              </w:rPr>
              <w:t xml:space="preserve">Безлимитный интернет</w:t>
            </w:r>
            <w:r>
              <w:rPr>
                <w:rFonts w:eastAsia="Times New Roman"/>
                <w:b w:val="0"/>
                <w:bCs w:val="0"/>
                <w:color w:val="000000" w:themeColor="text1"/>
              </w:rPr>
            </w:r>
          </w:p>
          <w:p>
            <w:pPr>
              <w:pStyle w:val="839"/>
              <w:numPr>
                <w:ilvl w:val="0"/>
                <w:numId w:val="1"/>
              </w:numPr>
              <w:ind w:left="456"/>
              <w:rPr>
                <w:rFonts w:eastAsia="Times New Roman"/>
                <w:b w:val="0"/>
                <w:bCs w:val="0"/>
                <w:color w:val="000000" w:themeColor="text1"/>
              </w:rPr>
            </w:pPr>
            <w:r>
              <w:rPr>
                <w:rFonts w:eastAsia="Times New Roman"/>
                <w:b w:val="0"/>
                <w:bCs w:val="0"/>
                <w:color w:val="000000" w:themeColor="text1"/>
              </w:rPr>
              <w:t xml:space="preserve">Не менее 500 SMS</w:t>
            </w:r>
            <w:r>
              <w:rPr>
                <w:rFonts w:eastAsia="Times New Roman"/>
                <w:b w:val="0"/>
                <w:bCs w:val="0"/>
                <w:color w:val="000000" w:themeColor="text1"/>
              </w:rPr>
              <w:t xml:space="preserve"> на все номера России</w:t>
            </w:r>
            <w:r>
              <w:rPr>
                <w:rFonts w:eastAsia="Times New Roman"/>
                <w:b w:val="0"/>
                <w:bCs w:val="0"/>
                <w:color w:val="000000" w:themeColor="text1"/>
              </w:rPr>
            </w:r>
            <w:r>
              <w:rPr>
                <w:rFonts w:eastAsia="Times New Roman"/>
                <w:b w:val="0"/>
                <w:bCs w:val="0"/>
                <w:color w:val="000000" w:themeColor="text1"/>
              </w:rPr>
            </w:r>
          </w:p>
          <w:p>
            <w:pPr>
              <w:pStyle w:val="835"/>
              <w:shd w:val="clear" w:color="auto" w:fill="ffffff"/>
              <w:rPr>
                <w:color w:val="333333"/>
                <w:lang w:eastAsia="ru-RU"/>
              </w:rPr>
            </w:pPr>
            <w:r>
              <w:rPr>
                <w:color w:val="000000"/>
              </w:rPr>
              <w:t xml:space="preserve">Неиспользованные остатки интернета, минут, SMS переносятся на следующий месяц и могут быть израсходованы в следующем месяце</w:t>
            </w:r>
            <w:r>
              <w:rPr>
                <w:color w:val="333333"/>
                <w:lang w:eastAsia="ru-RU"/>
              </w:rPr>
            </w:r>
            <w:r>
              <w:rPr>
                <w:color w:val="333333"/>
                <w:lang w:eastAsia="ru-RU"/>
              </w:rPr>
            </w:r>
          </w:p>
        </w:tc>
        <w:tc>
          <w:tcPr>
            <w:gridSpan w:val="2"/>
            <w:tcW w:w="3240" w:type="dxa"/>
            <w:vAlign w:val="center"/>
            <w:textDirection w:val="lrTb"/>
            <w:noWrap w:val="false"/>
          </w:tcPr>
          <w:p>
            <w:pPr>
              <w:pStyle w:val="835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1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</w:tr>
      <w:tr>
        <w:tblPrEx/>
        <w:trPr>
          <w:gridAfter w:val="2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48" w:type="dxa"/>
            <w:vAlign w:val="center"/>
            <w:textDirection w:val="lrTb"/>
            <w:noWrap w:val="false"/>
          </w:tcPr>
          <w:p>
            <w:pPr>
              <w:pStyle w:val="835"/>
              <w:jc w:val="center"/>
              <w:rPr>
                <w:spacing w:val="-2"/>
                <w:lang w:eastAsia="ru-RU"/>
              </w:rPr>
            </w:pPr>
            <w:r>
              <w:rPr>
                <w:spacing w:val="-2"/>
                <w:lang w:eastAsia="ru-RU"/>
              </w:rPr>
            </w:r>
            <w:r>
              <w:rPr>
                <w:spacing w:val="-2"/>
                <w:lang w:eastAsia="ru-RU"/>
              </w:rPr>
            </w:r>
            <w:r>
              <w:rPr>
                <w:spacing w:val="-2"/>
                <w:lang w:eastAsia="ru-RU"/>
              </w:rPr>
            </w:r>
          </w:p>
          <w:p>
            <w:pPr>
              <w:pStyle w:val="835"/>
              <w:jc w:val="center"/>
              <w:rPr>
                <w:spacing w:val="-2"/>
                <w:lang w:eastAsia="ru-RU"/>
              </w:rPr>
            </w:pPr>
            <w:r>
              <w:rPr>
                <w:spacing w:val="-2"/>
                <w:lang w:eastAsia="ru-RU"/>
              </w:rPr>
              <w:t xml:space="preserve">–</w:t>
            </w:r>
            <w:r>
              <w:rPr>
                <w:spacing w:val="-2"/>
                <w:lang w:eastAsia="ru-RU"/>
              </w:rPr>
            </w:r>
            <w:r>
              <w:rPr>
                <w:spacing w:val="-2"/>
                <w:lang w:eastAsia="ru-RU"/>
              </w:rPr>
            </w:r>
          </w:p>
        </w:tc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0124" w:type="dxa"/>
            <w:vAlign w:val="top"/>
            <w:textDirection w:val="lrTb"/>
            <w:noWrap w:val="false"/>
          </w:tcPr>
          <w:p>
            <w:pPr>
              <w:pStyle w:val="835"/>
              <w:jc w:val="both"/>
              <w:rPr>
                <w:spacing w:val="-2"/>
                <w:lang w:eastAsia="ru-RU"/>
              </w:rPr>
            </w:pPr>
            <w:r>
              <w:rPr>
                <w:spacing w:val="-2"/>
                <w:lang w:eastAsia="ru-RU"/>
              </w:rPr>
              <w:t xml:space="preserve">Услуги по предоставлению подвижной радиотелефонной связи</w:t>
            </w:r>
            <w:r>
              <w:rPr>
                <w:color w:val="0000ff"/>
                <w:spacing w:val="-2"/>
                <w:lang w:eastAsia="ru-RU"/>
              </w:rPr>
              <w:t xml:space="preserve"> </w:t>
            </w:r>
            <w:r>
              <w:rPr>
                <w:spacing w:val="-2"/>
                <w:lang w:eastAsia="ru-RU"/>
              </w:rPr>
              <w:t xml:space="preserve">на базе совершенных цифровых технологий, высокого качества (в том числе и при самых высоких нагрузках на сеть) должны быть надежно защищены от несанкционированного доступа, иметь равномерное и плотное покрытие по </w:t>
            </w:r>
            <w:r>
              <w:rPr>
                <w:spacing w:val="-2"/>
                <w:lang w:eastAsia="ru-RU"/>
              </w:rPr>
              <w:t xml:space="preserve">Республики Адыгея</w:t>
            </w:r>
            <w:r>
              <w:rPr>
                <w:spacing w:val="-2"/>
                <w:lang w:eastAsia="ru-RU"/>
              </w:rPr>
              <w:t xml:space="preserve">, а также возможность эволюционного наращивания, расширения зоны обслуживания, экономичные тарифы и полный набор современных услуг</w:t>
            </w:r>
            <w:r>
              <w:rPr>
                <w:color w:val="0000ff"/>
                <w:spacing w:val="-2"/>
                <w:lang w:eastAsia="ru-RU"/>
              </w:rPr>
              <w:t xml:space="preserve"> </w:t>
            </w:r>
            <w:r>
              <w:rPr>
                <w:spacing w:val="-2"/>
                <w:lang w:eastAsia="ru-RU"/>
              </w:rPr>
              <w:t xml:space="preserve">для </w:t>
            </w:r>
            <w:r>
              <w:rPr>
                <w:spacing w:val="-2"/>
                <w:lang w:eastAsia="ru-RU"/>
              </w:rPr>
              <w:t xml:space="preserve">абонентского </w:t>
            </w:r>
            <w:r>
              <w:rPr>
                <w:spacing w:val="-2"/>
                <w:lang w:eastAsia="ru-RU"/>
              </w:rPr>
              <w:t xml:space="preserve">номер</w:t>
            </w:r>
            <w:r>
              <w:rPr>
                <w:spacing w:val="-2"/>
                <w:lang w:eastAsia="ru-RU"/>
              </w:rPr>
              <w:t xml:space="preserve">а: </w:t>
            </w:r>
            <w:r>
              <w:rPr>
                <w:spacing w:val="-2"/>
                <w:lang w:eastAsia="ru-RU"/>
              </w:rPr>
            </w:r>
            <w:r>
              <w:rPr>
                <w:spacing w:val="-2"/>
                <w:lang w:eastAsia="ru-RU"/>
              </w:rPr>
            </w:r>
          </w:p>
        </w:tc>
      </w:tr>
      <w:tr>
        <w:tblPrEx/>
        <w:trPr>
          <w:gridAfter w:val="2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48" w:type="dxa"/>
            <w:vAlign w:val="center"/>
            <w:textDirection w:val="lrTb"/>
            <w:noWrap w:val="false"/>
          </w:tcPr>
          <w:p>
            <w:pPr>
              <w:pStyle w:val="835"/>
              <w:jc w:val="center"/>
              <w:rPr>
                <w:spacing w:val="-2"/>
                <w:lang w:eastAsia="ru-RU"/>
              </w:rPr>
            </w:pPr>
            <w:r>
              <w:rPr>
                <w:spacing w:val="-2"/>
                <w:lang w:eastAsia="ru-RU"/>
              </w:rPr>
              <w:t xml:space="preserve">-</w:t>
            </w:r>
            <w:r>
              <w:rPr>
                <w:spacing w:val="-2"/>
                <w:lang w:eastAsia="ru-RU"/>
              </w:rPr>
            </w:r>
            <w:r>
              <w:rPr>
                <w:spacing w:val="-2"/>
                <w:lang w:eastAsia="ru-RU"/>
              </w:rPr>
            </w:r>
          </w:p>
        </w:tc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0124" w:type="dxa"/>
            <w:vAlign w:val="top"/>
            <w:textDirection w:val="lrTb"/>
            <w:noWrap w:val="false"/>
          </w:tcPr>
          <w:p>
            <w:pPr>
              <w:pStyle w:val="835"/>
              <w:jc w:val="both"/>
              <w:shd w:val="clear" w:color="auto" w:fill="ffffff"/>
              <w:tabs>
                <w:tab w:val="left" w:pos="672" w:leader="none"/>
              </w:tabs>
              <w:rPr>
                <w:spacing w:val="-2"/>
                <w:lang w:eastAsia="ru-RU"/>
              </w:rPr>
            </w:pPr>
            <w:r>
              <w:rPr>
                <w:spacing w:val="-2"/>
                <w:lang w:eastAsia="ru-RU"/>
              </w:rPr>
              <w:t xml:space="preserve">Возможность бесплатного вызова экстренных оперативных служб: пожарной охраны, милиции, скорой медицинской помощи, службы спасения и других аналогичных услуг, которые оговариваются на этапе заключения Контракта;</w:t>
            </w:r>
            <w:r>
              <w:rPr>
                <w:spacing w:val="-2"/>
                <w:lang w:eastAsia="ru-RU"/>
              </w:rPr>
            </w:r>
            <w:r>
              <w:rPr>
                <w:spacing w:val="-2"/>
                <w:lang w:eastAsia="ru-RU"/>
              </w:rPr>
            </w:r>
          </w:p>
        </w:tc>
      </w:tr>
      <w:tr>
        <w:tblPrEx/>
        <w:trPr>
          <w:gridAfter w:val="2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48" w:type="dxa"/>
            <w:vAlign w:val="center"/>
            <w:textDirection w:val="lrTb"/>
            <w:noWrap w:val="false"/>
          </w:tcPr>
          <w:p>
            <w:pPr>
              <w:pStyle w:val="835"/>
              <w:jc w:val="center"/>
              <w:rPr>
                <w:spacing w:val="-2"/>
                <w:lang w:eastAsia="ru-RU"/>
              </w:rPr>
            </w:pPr>
            <w:r>
              <w:rPr>
                <w:spacing w:val="-2"/>
                <w:lang w:eastAsia="ru-RU"/>
              </w:rPr>
              <w:t xml:space="preserve">–</w:t>
            </w:r>
            <w:r>
              <w:rPr>
                <w:spacing w:val="-2"/>
                <w:lang w:eastAsia="ru-RU"/>
              </w:rPr>
            </w:r>
            <w:r>
              <w:rPr>
                <w:spacing w:val="-2"/>
                <w:lang w:eastAsia="ru-RU"/>
              </w:rPr>
            </w:r>
          </w:p>
        </w:tc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0124" w:type="dxa"/>
            <w:vAlign w:val="top"/>
            <w:textDirection w:val="lrTb"/>
            <w:noWrap w:val="false"/>
          </w:tcPr>
          <w:p>
            <w:pPr>
              <w:pStyle w:val="835"/>
              <w:rPr>
                <w:spacing w:val="-2"/>
                <w:lang w:eastAsia="ru-RU"/>
              </w:rPr>
            </w:pPr>
            <w:r>
              <w:rPr>
                <w:spacing w:val="-2"/>
                <w:lang w:eastAsia="ru-RU"/>
              </w:rPr>
              <w:t xml:space="preserve">Обеспечение круглосуточного бесплатного справочно-информационного обслуживания;</w:t>
            </w:r>
            <w:r>
              <w:rPr>
                <w:spacing w:val="-2"/>
                <w:lang w:eastAsia="ru-RU"/>
              </w:rPr>
            </w:r>
            <w:r>
              <w:rPr>
                <w:spacing w:val="-2"/>
                <w:lang w:eastAsia="ru-RU"/>
              </w:rPr>
            </w:r>
          </w:p>
        </w:tc>
      </w:tr>
      <w:tr>
        <w:tblPrEx/>
        <w:trPr>
          <w:gridAfter w:val="2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48" w:type="dxa"/>
            <w:vAlign w:val="center"/>
            <w:textDirection w:val="lrTb"/>
            <w:noWrap w:val="false"/>
          </w:tcPr>
          <w:p>
            <w:pPr>
              <w:pStyle w:val="835"/>
              <w:jc w:val="center"/>
              <w:rPr>
                <w:spacing w:val="-2"/>
                <w:lang w:eastAsia="ru-RU"/>
              </w:rPr>
            </w:pPr>
            <w:r>
              <w:rPr>
                <w:spacing w:val="-2"/>
                <w:lang w:eastAsia="ru-RU"/>
              </w:rPr>
              <w:t xml:space="preserve">–</w:t>
            </w:r>
            <w:r>
              <w:rPr>
                <w:spacing w:val="-2"/>
                <w:lang w:eastAsia="ru-RU"/>
              </w:rPr>
            </w:r>
            <w:r>
              <w:rPr>
                <w:spacing w:val="-2"/>
                <w:lang w:eastAsia="ru-RU"/>
              </w:rPr>
            </w:r>
          </w:p>
        </w:tc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0124" w:type="dxa"/>
            <w:vAlign w:val="top"/>
            <w:textDirection w:val="lrTb"/>
            <w:noWrap w:val="false"/>
          </w:tcPr>
          <w:p>
            <w:pPr>
              <w:pStyle w:val="835"/>
              <w:jc w:val="both"/>
              <w:shd w:val="clear" w:color="auto" w:fill="ffffff"/>
              <w:tabs>
                <w:tab w:val="left" w:pos="672" w:leader="none"/>
              </w:tabs>
              <w:rPr>
                <w:color w:val="ff0000"/>
                <w:spacing w:val="-2"/>
                <w:lang w:eastAsia="ru-RU"/>
              </w:rPr>
            </w:pPr>
            <w:r>
              <w:rPr>
                <w:spacing w:val="-2"/>
                <w:lang w:eastAsia="ru-RU"/>
              </w:rPr>
              <w:t xml:space="preserve">Блокировка (разблокировка) </w:t>
            </w:r>
            <w:r>
              <w:rPr>
                <w:spacing w:val="-2"/>
                <w:lang w:val="en-US" w:eastAsia="ru-RU"/>
              </w:rPr>
              <w:t xml:space="preserve">SIM</w:t>
            </w:r>
            <w:r>
              <w:rPr>
                <w:spacing w:val="-2"/>
                <w:lang w:eastAsia="ru-RU"/>
              </w:rPr>
              <w:t xml:space="preserve">-карты по требованию владельца в течение 2-х часов с момента обращения;</w:t>
            </w:r>
            <w:r>
              <w:rPr>
                <w:color w:val="ff0000"/>
                <w:spacing w:val="-2"/>
                <w:lang w:eastAsia="ru-RU"/>
              </w:rPr>
            </w:r>
            <w:r>
              <w:rPr>
                <w:color w:val="ff0000"/>
                <w:spacing w:val="-2"/>
                <w:lang w:eastAsia="ru-RU"/>
              </w:rPr>
            </w:r>
          </w:p>
        </w:tc>
      </w:tr>
      <w:tr>
        <w:tblPrEx/>
        <w:trPr>
          <w:gridAfter w:val="2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48" w:type="dxa"/>
            <w:vAlign w:val="center"/>
            <w:textDirection w:val="lrTb"/>
            <w:noWrap w:val="false"/>
          </w:tcPr>
          <w:p>
            <w:pPr>
              <w:pStyle w:val="835"/>
              <w:jc w:val="center"/>
              <w:rPr>
                <w:spacing w:val="-2"/>
                <w:lang w:eastAsia="ru-RU"/>
              </w:rPr>
            </w:pPr>
            <w:r>
              <w:rPr>
                <w:spacing w:val="-2"/>
                <w:lang w:eastAsia="ru-RU"/>
              </w:rPr>
              <w:t xml:space="preserve">–</w:t>
            </w:r>
            <w:r>
              <w:rPr>
                <w:spacing w:val="-2"/>
                <w:lang w:eastAsia="ru-RU"/>
              </w:rPr>
            </w:r>
            <w:r>
              <w:rPr>
                <w:spacing w:val="-2"/>
                <w:lang w:eastAsia="ru-RU"/>
              </w:rPr>
            </w:r>
          </w:p>
        </w:tc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0124" w:type="dxa"/>
            <w:vAlign w:val="top"/>
            <w:textDirection w:val="lrTb"/>
            <w:noWrap w:val="false"/>
          </w:tcPr>
          <w:p>
            <w:pPr>
              <w:pStyle w:val="835"/>
              <w:jc w:val="both"/>
              <w:shd w:val="clear" w:color="auto" w:fill="ffffff"/>
              <w:tabs>
                <w:tab w:val="left" w:pos="672" w:leader="none"/>
              </w:tabs>
              <w:rPr>
                <w:spacing w:val="-2"/>
                <w:lang w:eastAsia="ru-RU"/>
              </w:rPr>
            </w:pPr>
            <w:r>
              <w:rPr>
                <w:spacing w:val="-2"/>
                <w:lang w:eastAsia="ru-RU"/>
              </w:rPr>
              <w:t xml:space="preserve">Возможность замены номера;</w:t>
            </w:r>
            <w:r>
              <w:rPr>
                <w:spacing w:val="-2"/>
                <w:lang w:eastAsia="ru-RU"/>
              </w:rPr>
            </w:r>
            <w:r>
              <w:rPr>
                <w:spacing w:val="-2"/>
                <w:lang w:eastAsia="ru-RU"/>
              </w:rPr>
            </w:r>
          </w:p>
        </w:tc>
      </w:tr>
      <w:tr>
        <w:tblPrEx/>
        <w:trPr>
          <w:gridAfter w:val="2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48" w:type="dxa"/>
            <w:vAlign w:val="center"/>
            <w:textDirection w:val="lrTb"/>
            <w:noWrap w:val="false"/>
          </w:tcPr>
          <w:p>
            <w:pPr>
              <w:pStyle w:val="835"/>
              <w:jc w:val="center"/>
              <w:rPr>
                <w:spacing w:val="-2"/>
                <w:lang w:eastAsia="ru-RU"/>
              </w:rPr>
            </w:pPr>
            <w:r>
              <w:rPr>
                <w:spacing w:val="-2"/>
                <w:lang w:eastAsia="ru-RU"/>
              </w:rPr>
              <w:t xml:space="preserve">–</w:t>
            </w:r>
            <w:r>
              <w:rPr>
                <w:spacing w:val="-2"/>
                <w:lang w:eastAsia="ru-RU"/>
              </w:rPr>
            </w:r>
            <w:r>
              <w:rPr>
                <w:spacing w:val="-2"/>
                <w:lang w:eastAsia="ru-RU"/>
              </w:rPr>
            </w:r>
          </w:p>
        </w:tc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0124" w:type="dxa"/>
            <w:vAlign w:val="top"/>
            <w:textDirection w:val="lrTb"/>
            <w:noWrap w:val="false"/>
          </w:tcPr>
          <w:p>
            <w:pPr>
              <w:pStyle w:val="835"/>
              <w:jc w:val="both"/>
              <w:shd w:val="clear" w:color="auto" w:fill="ffffff"/>
              <w:tabs>
                <w:tab w:val="left" w:pos="672" w:leader="none"/>
              </w:tabs>
              <w:rPr>
                <w:spacing w:val="-2"/>
                <w:lang w:eastAsia="ru-RU"/>
              </w:rPr>
            </w:pPr>
            <w:r>
              <w:rPr>
                <w:spacing w:val="-2"/>
                <w:lang w:eastAsia="ru-RU"/>
              </w:rPr>
              <w:t xml:space="preserve">Временное резервирование номера;</w:t>
            </w:r>
            <w:r>
              <w:rPr>
                <w:spacing w:val="-2"/>
                <w:lang w:eastAsia="ru-RU"/>
              </w:rPr>
            </w:r>
            <w:r>
              <w:rPr>
                <w:spacing w:val="-2"/>
                <w:lang w:eastAsia="ru-RU"/>
              </w:rPr>
            </w:r>
          </w:p>
        </w:tc>
      </w:tr>
      <w:tr>
        <w:tblPrEx/>
        <w:trPr>
          <w:gridAfter w:val="2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48" w:type="dxa"/>
            <w:vAlign w:val="center"/>
            <w:textDirection w:val="lrTb"/>
            <w:noWrap w:val="false"/>
          </w:tcPr>
          <w:p>
            <w:pPr>
              <w:pStyle w:val="835"/>
              <w:jc w:val="center"/>
              <w:rPr>
                <w:spacing w:val="-2"/>
                <w:lang w:eastAsia="ru-RU"/>
              </w:rPr>
            </w:pPr>
            <w:r>
              <w:rPr>
                <w:spacing w:val="-2"/>
                <w:lang w:eastAsia="ru-RU"/>
              </w:rPr>
              <w:t xml:space="preserve">–</w:t>
            </w:r>
            <w:r>
              <w:rPr>
                <w:spacing w:val="-2"/>
                <w:lang w:eastAsia="ru-RU"/>
              </w:rPr>
            </w:r>
            <w:r>
              <w:rPr>
                <w:spacing w:val="-2"/>
                <w:lang w:eastAsia="ru-RU"/>
              </w:rPr>
            </w:r>
          </w:p>
        </w:tc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0124" w:type="dxa"/>
            <w:vAlign w:val="top"/>
            <w:textDirection w:val="lrTb"/>
            <w:noWrap w:val="false"/>
          </w:tcPr>
          <w:p>
            <w:pPr>
              <w:pStyle w:val="835"/>
              <w:jc w:val="both"/>
              <w:shd w:val="clear" w:color="auto" w:fill="ffffff"/>
              <w:tabs>
                <w:tab w:val="left" w:pos="672" w:leader="none"/>
              </w:tabs>
              <w:rPr>
                <w:spacing w:val="-2"/>
                <w:lang w:eastAsia="ru-RU"/>
              </w:rPr>
            </w:pPr>
            <w:r>
              <w:rPr>
                <w:spacing w:val="-2"/>
                <w:lang w:eastAsia="ru-RU"/>
              </w:rPr>
              <w:t xml:space="preserve">Возможность передачи данных и факсимильных сообщений, мобильного доступа к сети «Интернет»;</w:t>
            </w:r>
            <w:r>
              <w:rPr>
                <w:spacing w:val="-2"/>
                <w:lang w:eastAsia="ru-RU"/>
              </w:rPr>
            </w:r>
            <w:r>
              <w:rPr>
                <w:spacing w:val="-2"/>
                <w:lang w:eastAsia="ru-RU"/>
              </w:rPr>
            </w:r>
          </w:p>
        </w:tc>
      </w:tr>
      <w:tr>
        <w:tblPrEx/>
        <w:trPr>
          <w:gridAfter w:val="2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48" w:type="dxa"/>
            <w:vAlign w:val="center"/>
            <w:textDirection w:val="lrTb"/>
            <w:noWrap w:val="false"/>
          </w:tcPr>
          <w:p>
            <w:pPr>
              <w:pStyle w:val="835"/>
              <w:jc w:val="center"/>
              <w:rPr>
                <w:spacing w:val="-2"/>
                <w:lang w:eastAsia="ru-RU"/>
              </w:rPr>
            </w:pPr>
            <w:r>
              <w:rPr>
                <w:spacing w:val="-2"/>
                <w:lang w:eastAsia="ru-RU"/>
              </w:rPr>
              <w:t xml:space="preserve">–</w:t>
            </w:r>
            <w:r>
              <w:rPr>
                <w:spacing w:val="-2"/>
                <w:lang w:eastAsia="ru-RU"/>
              </w:rPr>
            </w:r>
            <w:r>
              <w:rPr>
                <w:spacing w:val="-2"/>
                <w:lang w:eastAsia="ru-RU"/>
              </w:rPr>
            </w:r>
          </w:p>
        </w:tc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0124" w:type="dxa"/>
            <w:vAlign w:val="top"/>
            <w:textDirection w:val="lrTb"/>
            <w:noWrap w:val="false"/>
          </w:tcPr>
          <w:p>
            <w:pPr>
              <w:pStyle w:val="835"/>
              <w:jc w:val="both"/>
              <w:shd w:val="clear" w:color="auto" w:fill="ffffff"/>
              <w:tabs>
                <w:tab w:val="left" w:pos="672" w:leader="none"/>
              </w:tabs>
              <w:rPr>
                <w:spacing w:val="-2"/>
                <w:lang w:eastAsia="ru-RU"/>
              </w:rPr>
            </w:pPr>
            <w:r>
              <w:rPr>
                <w:spacing w:val="-2"/>
                <w:lang w:eastAsia="ru-RU"/>
              </w:rPr>
              <w:t xml:space="preserve">Прием/передача </w:t>
            </w:r>
            <w:r>
              <w:rPr>
                <w:spacing w:val="-2"/>
                <w:lang w:val="en-US" w:eastAsia="ru-RU"/>
              </w:rPr>
              <w:t xml:space="preserve">SMS</w:t>
            </w:r>
            <w:r>
              <w:rPr>
                <w:spacing w:val="-2"/>
                <w:lang w:eastAsia="ru-RU"/>
              </w:rPr>
              <w:t xml:space="preserve">-сообщений, </w:t>
            </w:r>
            <w:r>
              <w:rPr>
                <w:spacing w:val="-2"/>
                <w:lang w:val="en-US" w:eastAsia="ru-RU"/>
              </w:rPr>
              <w:t xml:space="preserve">MMS</w:t>
            </w:r>
            <w:r>
              <w:rPr>
                <w:spacing w:val="-2"/>
                <w:lang w:eastAsia="ru-RU"/>
              </w:rPr>
              <w:t xml:space="preserve">-сообщений;</w:t>
            </w:r>
            <w:r>
              <w:rPr>
                <w:spacing w:val="-2"/>
                <w:lang w:eastAsia="ru-RU"/>
              </w:rPr>
            </w:r>
            <w:r>
              <w:rPr>
                <w:spacing w:val="-2"/>
                <w:lang w:eastAsia="ru-RU"/>
              </w:rPr>
            </w:r>
          </w:p>
        </w:tc>
      </w:tr>
      <w:tr>
        <w:tblPrEx/>
        <w:trPr>
          <w:gridAfter w:val="2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48" w:type="dxa"/>
            <w:vAlign w:val="center"/>
            <w:textDirection w:val="lrTb"/>
            <w:noWrap w:val="false"/>
          </w:tcPr>
          <w:p>
            <w:pPr>
              <w:pStyle w:val="835"/>
              <w:jc w:val="center"/>
              <w:rPr>
                <w:spacing w:val="-2"/>
                <w:lang w:eastAsia="ru-RU"/>
              </w:rPr>
            </w:pPr>
            <w:r>
              <w:rPr>
                <w:spacing w:val="-2"/>
                <w:lang w:eastAsia="ru-RU"/>
              </w:rPr>
              <w:t xml:space="preserve">–</w:t>
            </w:r>
            <w:r>
              <w:rPr>
                <w:spacing w:val="-2"/>
                <w:lang w:eastAsia="ru-RU"/>
              </w:rPr>
            </w:r>
            <w:r>
              <w:rPr>
                <w:spacing w:val="-2"/>
                <w:lang w:eastAsia="ru-RU"/>
              </w:rPr>
            </w:r>
          </w:p>
        </w:tc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0124" w:type="dxa"/>
            <w:vAlign w:val="top"/>
            <w:textDirection w:val="lrTb"/>
            <w:noWrap w:val="false"/>
          </w:tcPr>
          <w:p>
            <w:pPr>
              <w:pStyle w:val="835"/>
              <w:jc w:val="both"/>
              <w:shd w:val="clear" w:color="auto" w:fill="ffffff"/>
              <w:tabs>
                <w:tab w:val="left" w:pos="672" w:leader="none"/>
              </w:tabs>
              <w:rPr>
                <w:spacing w:val="-2"/>
                <w:lang w:eastAsia="ru-RU"/>
              </w:rPr>
            </w:pPr>
            <w:r>
              <w:rPr>
                <w:spacing w:val="-2"/>
                <w:lang w:eastAsia="ru-RU"/>
              </w:rPr>
              <w:t xml:space="preserve">Прием/передача </w:t>
            </w:r>
            <w:r>
              <w:rPr>
                <w:spacing w:val="-2"/>
                <w:lang w:val="en-US" w:eastAsia="ru-RU"/>
              </w:rPr>
              <w:t xml:space="preserve">SMS</w:t>
            </w:r>
            <w:r>
              <w:rPr>
                <w:spacing w:val="-2"/>
                <w:lang w:eastAsia="ru-RU"/>
              </w:rPr>
              <w:t xml:space="preserve">-сообщений, </w:t>
            </w:r>
            <w:r>
              <w:rPr>
                <w:spacing w:val="-2"/>
                <w:lang w:val="en-US" w:eastAsia="ru-RU"/>
              </w:rPr>
              <w:t xml:space="preserve">MMS</w:t>
            </w:r>
            <w:r>
              <w:rPr>
                <w:spacing w:val="-2"/>
                <w:lang w:eastAsia="ru-RU"/>
              </w:rPr>
              <w:t xml:space="preserve">-сообщений;</w:t>
            </w:r>
            <w:r>
              <w:rPr>
                <w:spacing w:val="-2"/>
                <w:lang w:eastAsia="ru-RU"/>
              </w:rPr>
            </w:r>
            <w:r>
              <w:rPr>
                <w:spacing w:val="-2"/>
                <w:lang w:eastAsia="ru-RU"/>
              </w:rPr>
            </w:r>
          </w:p>
        </w:tc>
      </w:tr>
      <w:tr>
        <w:tblPrEx/>
        <w:trPr>
          <w:trHeight w:val="219"/>
        </w:trPr>
        <w:tc>
          <w:tcPr>
            <w:gridSpan w:val="3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0772" w:type="dxa"/>
            <w:vAlign w:val="top"/>
            <w:textDirection w:val="lrTb"/>
            <w:noWrap w:val="false"/>
          </w:tcPr>
          <w:p>
            <w:pPr>
              <w:pStyle w:val="835"/>
              <w:jc w:val="both"/>
              <w:rPr>
                <w:b/>
                <w:bCs/>
                <w:spacing w:val="-2"/>
                <w:lang w:eastAsia="ru-RU"/>
              </w:rPr>
            </w:pPr>
            <w:r>
              <w:rPr>
                <w:b/>
                <w:bCs/>
                <w:spacing w:val="-2"/>
                <w:lang w:eastAsia="ru-RU"/>
              </w:rPr>
            </w:r>
            <w:r>
              <w:rPr>
                <w:b/>
                <w:bCs/>
                <w:spacing w:val="-2"/>
                <w:lang w:eastAsia="ru-RU"/>
              </w:rPr>
            </w:r>
            <w:r>
              <w:rPr>
                <w:b/>
                <w:bCs/>
                <w:spacing w:val="-2"/>
                <w:lang w:eastAsia="ru-RU"/>
              </w:rPr>
            </w:r>
          </w:p>
        </w:tc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0579" w:type="dxa"/>
            <w:vAlign w:val="top"/>
            <w:textDirection w:val="lrTb"/>
            <w:noWrap w:val="false"/>
          </w:tcPr>
          <w:p>
            <w:pPr>
              <w:pStyle w:val="835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</w:tr>
      <w:tr>
        <w:tblPrEx/>
        <w:trPr/>
        <w:tc>
          <w:tcPr>
            <w:gridSpan w:val="3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0772" w:type="dxa"/>
            <w:vAlign w:val="top"/>
            <w:textDirection w:val="lrTb"/>
            <w:noWrap w:val="false"/>
          </w:tcPr>
          <w:p>
            <w:pPr>
              <w:pStyle w:val="835"/>
              <w:shd w:val="clear" w:color="auto" w:fill="ffffff"/>
              <w:tabs>
                <w:tab w:val="left" w:pos="672" w:leader="none"/>
              </w:tabs>
              <w:rPr>
                <w:b/>
                <w:bCs/>
                <w:spacing w:val="-2"/>
                <w:lang w:eastAsia="ru-RU"/>
              </w:rPr>
            </w:pPr>
            <w:r>
              <w:rPr>
                <w:b/>
                <w:bCs/>
                <w:spacing w:val="-2"/>
                <w:lang w:eastAsia="ru-RU"/>
              </w:rPr>
              <w:t xml:space="preserve">Наличие и предоставление Заказчику лицензий:</w:t>
            </w:r>
            <w:r>
              <w:rPr>
                <w:b/>
                <w:bCs/>
                <w:spacing w:val="-2"/>
                <w:lang w:eastAsia="ru-RU"/>
              </w:rPr>
            </w:r>
            <w:r>
              <w:rPr>
                <w:b/>
                <w:bCs/>
                <w:spacing w:val="-2"/>
                <w:lang w:eastAsia="ru-RU"/>
              </w:rPr>
            </w:r>
          </w:p>
          <w:p>
            <w:pPr>
              <w:pStyle w:val="835"/>
              <w:shd w:val="clear" w:color="auto" w:fill="ffffff"/>
              <w:tabs>
                <w:tab w:val="left" w:pos="672" w:leader="none"/>
              </w:tabs>
              <w:rPr>
                <w:b/>
                <w:bCs/>
                <w:spacing w:val="-2"/>
                <w:lang w:eastAsia="ru-RU"/>
              </w:rPr>
            </w:pPr>
            <w:r>
              <w:t xml:space="preserve">Услуги предоставляются Оператором на основании действующих лицензий Оператора, в т.ч. следующих лицензий: № 101245 от 25.07.2012, № 101246 от 25.07.2012, № 101247 от 2</w:t>
            </w:r>
            <w:r>
              <w:t xml:space="preserve">5.07.2012, № 101248 от 25.07.2012, № 134508 от 26.10.2015, № 137567 от 15.02.2016, № 147353 от 29.12.2016, № 150056 от 17.04.2017, № 150061 от 30.03.2017, № 167215 от 21.05.2017, № 182375 от 2</w:t>
            </w:r>
            <w:r>
              <w:t xml:space="preserve">8.04.2018, №183415 от 16.07.2020, №183416 от 16.07.2020, №183420 от 16.07.2020, выданных Федеральной службой по надзору в сфере связи, информационных технологий и массовых коммуникаций. Полный перечень лицензий Оператора размещен на сайте Оператора и довод</w:t>
            </w:r>
            <w:r>
              <w:t xml:space="preserve">ится до сведения Абонентов в ме</w:t>
            </w:r>
            <w:r>
              <w:t xml:space="preserve">стах обслуживания Абонентов, в т.ч. при заключении Контракта. </w:t>
            </w:r>
            <w:r>
              <w:rPr>
                <w:b/>
                <w:bCs/>
                <w:spacing w:val="-2"/>
                <w:lang w:eastAsia="ru-RU"/>
              </w:rPr>
            </w:r>
            <w:r>
              <w:rPr>
                <w:b/>
                <w:bCs/>
                <w:spacing w:val="-2"/>
                <w:lang w:eastAsia="ru-RU"/>
              </w:rPr>
            </w:r>
          </w:p>
        </w:tc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0579" w:type="dxa"/>
            <w:vAlign w:val="top"/>
            <w:textDirection w:val="lrTb"/>
            <w:noWrap w:val="false"/>
          </w:tcPr>
          <w:p>
            <w:pPr>
              <w:pStyle w:val="835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</w:tr>
    </w:tbl>
    <w:p>
      <w:pPr>
        <w:pStyle w:val="835"/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>
        <w:rPr>
          <w:lang w:eastAsia="ru-RU"/>
        </w:rPr>
      </w:r>
    </w:p>
    <w:tbl>
      <w:tblPr>
        <w:tblW w:w="10800" w:type="dxa"/>
        <w:tblInd w:w="108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851"/>
        <w:gridCol w:w="9949"/>
      </w:tblGrid>
      <w:tr>
        <w:tblPrEx/>
        <w:trPr/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0800" w:type="dxa"/>
            <w:vAlign w:val="top"/>
            <w:textDirection w:val="lrTb"/>
            <w:noWrap w:val="false"/>
          </w:tcPr>
          <w:p>
            <w:pPr>
              <w:pStyle w:val="835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 xml:space="preserve">Технические характеристики:</w:t>
            </w:r>
            <w:r>
              <w:rPr>
                <w:b/>
                <w:bCs/>
                <w:lang w:eastAsia="ru-RU"/>
              </w:rPr>
            </w:r>
            <w:r>
              <w:rPr>
                <w:b/>
                <w:bCs/>
                <w:lang w:eastAsia="ru-RU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835"/>
              <w:jc w:val="center"/>
              <w:rPr>
                <w:lang w:eastAsia="ru-RU"/>
              </w:rPr>
            </w:pPr>
            <w:r>
              <w:rPr>
                <w:spacing w:val="-2"/>
                <w:lang w:eastAsia="ru-RU"/>
              </w:rPr>
              <w:t xml:space="preserve">–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49" w:type="dxa"/>
            <w:vAlign w:val="top"/>
            <w:textDirection w:val="lrTb"/>
            <w:noWrap w:val="false"/>
          </w:tcPr>
          <w:p>
            <w:pPr>
              <w:pStyle w:val="835"/>
              <w:rPr>
                <w:lang w:eastAsia="ru-RU"/>
              </w:rPr>
            </w:pPr>
            <w:r>
              <w:rPr>
                <w:lang w:eastAsia="ru-RU"/>
              </w:rPr>
              <w:t xml:space="preserve">Возможность бесплатного подключения и качественной круглосуточной работы радиотелефонов стандартов: GSM 900/1800</w:t>
            </w:r>
            <w:r>
              <w:rPr>
                <w:lang w:eastAsia="ru-RU"/>
              </w:rPr>
              <w:t xml:space="preserve"> (2</w:t>
            </w:r>
            <w:r>
              <w:rPr>
                <w:lang w:val="en-US" w:eastAsia="ru-RU"/>
              </w:rPr>
              <w:t xml:space="preserve">G</w:t>
            </w:r>
            <w:r>
              <w:rPr>
                <w:lang w:eastAsia="ru-RU"/>
              </w:rPr>
              <w:t xml:space="preserve">)</w:t>
            </w:r>
            <w:r>
              <w:rPr>
                <w:lang w:eastAsia="ru-RU"/>
              </w:rPr>
              <w:t xml:space="preserve">, UMTS</w:t>
            </w:r>
            <w:r>
              <w:rPr>
                <w:lang w:eastAsia="ru-RU"/>
              </w:rPr>
              <w:t xml:space="preserve"> (3</w:t>
            </w:r>
            <w:r>
              <w:rPr>
                <w:lang w:val="en-US" w:eastAsia="ru-RU"/>
              </w:rPr>
              <w:t xml:space="preserve">G</w:t>
            </w:r>
            <w:r>
              <w:rPr>
                <w:lang w:eastAsia="ru-RU"/>
              </w:rPr>
              <w:t xml:space="preserve">)</w:t>
            </w:r>
            <w:r>
              <w:rPr>
                <w:lang w:eastAsia="ru-RU"/>
              </w:rPr>
              <w:t xml:space="preserve">, LTE</w:t>
            </w:r>
            <w:r>
              <w:rPr>
                <w:lang w:eastAsia="ru-RU"/>
              </w:rPr>
              <w:t xml:space="preserve"> (4</w:t>
            </w:r>
            <w:r>
              <w:rPr>
                <w:lang w:val="en-US" w:eastAsia="ru-RU"/>
              </w:rPr>
              <w:t xml:space="preserve">G</w:t>
            </w:r>
            <w:r>
              <w:rPr>
                <w:lang w:eastAsia="ru-RU"/>
              </w:rPr>
              <w:t xml:space="preserve">)</w:t>
            </w:r>
            <w:r>
              <w:rPr>
                <w:lang w:eastAsia="ru-RU"/>
              </w:rPr>
              <w:t xml:space="preserve">;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835"/>
              <w:jc w:val="center"/>
              <w:rPr>
                <w:lang w:eastAsia="ru-RU"/>
              </w:rPr>
            </w:pPr>
            <w:r>
              <w:rPr>
                <w:spacing w:val="-2"/>
                <w:lang w:eastAsia="ru-RU"/>
              </w:rPr>
              <w:t xml:space="preserve">–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49" w:type="dxa"/>
            <w:vAlign w:val="top"/>
            <w:textDirection w:val="lrTb"/>
            <w:noWrap w:val="false"/>
          </w:tcPr>
          <w:p>
            <w:pPr>
              <w:pStyle w:val="835"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Обеспечение использования SIM-карты в любом аппарате, разработанном для систем GSM 900/1800, UMTS, LTE ведущими фирмами на рынке систем сотовой связи и по мере внедрения новых разработок, возможность их замены аппаратами нового типа;    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  <w:p>
            <w:pPr>
              <w:pStyle w:val="835"/>
              <w:jc w:val="both"/>
              <w:rPr>
                <w:highlight w:val="yellow"/>
              </w:rPr>
            </w:pPr>
            <w:r>
              <w:rPr>
                <w:lang w:eastAsia="ru-RU"/>
              </w:rPr>
              <w:t xml:space="preserve">Максимальная зона устойчивого радиопокрытия в </w:t>
            </w:r>
            <w:r>
              <w:rPr>
                <w:spacing w:val="-2"/>
                <w:lang w:eastAsia="ru-RU"/>
              </w:rPr>
              <w:t xml:space="preserve">Республики Адыгея</w:t>
            </w:r>
            <w:r>
              <w:rPr>
                <w:highlight w:val="none"/>
                <w:lang w:eastAsia="ru-RU"/>
              </w:rPr>
              <w:t xml:space="preserve">;</w:t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835"/>
              <w:jc w:val="center"/>
              <w:rPr>
                <w:lang w:eastAsia="ru-RU"/>
              </w:rPr>
            </w:pPr>
            <w:r>
              <w:rPr>
                <w:spacing w:val="-2"/>
                <w:lang w:eastAsia="ru-RU"/>
              </w:rPr>
              <w:t xml:space="preserve">–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49" w:type="dxa"/>
            <w:vAlign w:val="top"/>
            <w:textDirection w:val="lrTb"/>
            <w:noWrap w:val="false"/>
          </w:tcPr>
          <w:p>
            <w:pPr>
              <w:pStyle w:val="835"/>
              <w:rPr>
                <w:lang w:eastAsia="ru-RU"/>
              </w:rPr>
            </w:pPr>
            <w:r>
              <w:rPr>
                <w:lang w:eastAsia="ru-RU"/>
              </w:rPr>
              <w:t xml:space="preserve">Возможность осуществления видеозвонков в сетях стандарта 3G;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835"/>
              <w:jc w:val="center"/>
              <w:rPr>
                <w:lang w:eastAsia="ru-RU"/>
              </w:rPr>
            </w:pPr>
            <w:r>
              <w:rPr>
                <w:spacing w:val="-2"/>
                <w:lang w:eastAsia="ru-RU"/>
              </w:rPr>
              <w:t xml:space="preserve">–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49" w:type="dxa"/>
            <w:vAlign w:val="top"/>
            <w:textDirection w:val="lrTb"/>
            <w:noWrap w:val="false"/>
          </w:tcPr>
          <w:p>
            <w:pPr>
              <w:pStyle w:val="835"/>
              <w:rPr>
                <w:lang w:eastAsia="ru-RU"/>
              </w:rPr>
            </w:pPr>
            <w:r>
              <w:rPr>
                <w:lang w:eastAsia="ru-RU"/>
              </w:rPr>
              <w:t xml:space="preserve">Наибольшая зона покрытия на территории РФ; 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835"/>
              <w:jc w:val="center"/>
              <w:rPr>
                <w:lang w:eastAsia="ru-RU"/>
              </w:rPr>
            </w:pPr>
            <w:r>
              <w:rPr>
                <w:spacing w:val="-2"/>
                <w:lang w:eastAsia="ru-RU"/>
              </w:rPr>
              <w:t xml:space="preserve">–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49" w:type="dxa"/>
            <w:vAlign w:val="top"/>
            <w:textDirection w:val="lrTb"/>
            <w:noWrap w:val="false"/>
          </w:tcPr>
          <w:p>
            <w:pPr>
              <w:pStyle w:val="835"/>
              <w:rPr>
                <w:lang w:eastAsia="ru-RU"/>
              </w:rPr>
            </w:pPr>
            <w:r>
              <w:rPr>
                <w:lang w:eastAsia="ru-RU"/>
              </w:rPr>
              <w:t xml:space="preserve">Развитое международное покрытие (не менее 227 стран/направлений);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835"/>
              <w:jc w:val="center"/>
              <w:rPr>
                <w:lang w:eastAsia="ru-RU"/>
              </w:rPr>
            </w:pPr>
            <w:r>
              <w:rPr>
                <w:spacing w:val="-2"/>
                <w:lang w:eastAsia="ru-RU"/>
              </w:rPr>
              <w:t xml:space="preserve">–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49" w:type="dxa"/>
            <w:vAlign w:val="top"/>
            <w:textDirection w:val="lrTb"/>
            <w:noWrap w:val="false"/>
          </w:tcPr>
          <w:p>
            <w:pPr>
              <w:pStyle w:val="835"/>
              <w:rPr>
                <w:lang w:eastAsia="ru-RU"/>
              </w:rPr>
            </w:pPr>
            <w:r>
              <w:rPr>
                <w:lang w:eastAsia="ru-RU"/>
              </w:rPr>
              <w:t xml:space="preserve">Возможность пользоваться услугами других сетей радиотелефонной связи в России и за рубежом (роуминг) (не менее 602 роуминг-партнеров Оператора);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835"/>
              <w:jc w:val="center"/>
              <w:rPr>
                <w:lang w:eastAsia="ru-RU"/>
              </w:rPr>
            </w:pPr>
            <w:r>
              <w:rPr>
                <w:spacing w:val="-2"/>
                <w:lang w:eastAsia="ru-RU"/>
              </w:rPr>
              <w:t xml:space="preserve">–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49" w:type="dxa"/>
            <w:vAlign w:val="top"/>
            <w:textDirection w:val="lrTb"/>
            <w:noWrap w:val="false"/>
          </w:tcPr>
          <w:p>
            <w:pPr>
              <w:pStyle w:val="835"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Исполнитель обеспечивает возможность использования имеющ</w:t>
            </w:r>
            <w:r>
              <w:rPr>
                <w:lang w:eastAsia="ru-RU"/>
              </w:rPr>
              <w:t xml:space="preserve">их</w:t>
            </w:r>
            <w:r>
              <w:rPr>
                <w:lang w:eastAsia="ru-RU"/>
              </w:rPr>
              <w:t xml:space="preserve">ся абонентск</w:t>
            </w:r>
            <w:r>
              <w:rPr>
                <w:lang w:eastAsia="ru-RU"/>
              </w:rPr>
              <w:t xml:space="preserve">их</w:t>
            </w:r>
            <w:r>
              <w:rPr>
                <w:lang w:eastAsia="ru-RU"/>
              </w:rPr>
              <w:t xml:space="preserve"> номер</w:t>
            </w:r>
            <w:r>
              <w:rPr>
                <w:lang w:eastAsia="ru-RU"/>
              </w:rPr>
              <w:t xml:space="preserve">ов</w:t>
            </w:r>
            <w:r>
              <w:rPr>
                <w:lang w:eastAsia="ru-RU"/>
              </w:rPr>
              <w:t xml:space="preserve"> Заказчика в коде DEF в количестве </w:t>
            </w:r>
            <w:r>
              <w:rPr>
                <w:lang w:eastAsia="ru-RU"/>
              </w:rPr>
              <w:t xml:space="preserve">____ </w:t>
            </w:r>
            <w:r>
              <w:rPr>
                <w:lang w:eastAsia="ru-RU"/>
              </w:rPr>
              <w:t xml:space="preserve"> штук</w:t>
            </w:r>
            <w:r>
              <w:rPr>
                <w:lang w:eastAsia="ru-RU"/>
              </w:rPr>
              <w:t xml:space="preserve">и</w:t>
            </w:r>
            <w:r>
              <w:rPr>
                <w:lang w:eastAsia="ru-RU"/>
              </w:rPr>
              <w:t xml:space="preserve">.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835"/>
              <w:jc w:val="center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49" w:type="dxa"/>
            <w:vAlign w:val="top"/>
            <w:textDirection w:val="lrTb"/>
            <w:noWrap w:val="false"/>
          </w:tcPr>
          <w:p>
            <w:pPr>
              <w:pStyle w:val="835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</w:tr>
      <w:tr>
        <w:tblPrEx/>
        <w:trPr/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0800" w:type="dxa"/>
            <w:vAlign w:val="top"/>
            <w:textDirection w:val="lrTb"/>
            <w:noWrap w:val="false"/>
          </w:tcPr>
          <w:p>
            <w:pPr>
              <w:pStyle w:val="835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 xml:space="preserve">Дополнительные услуги (по требованию Заказчика):</w:t>
            </w:r>
            <w:r>
              <w:rPr>
                <w:b/>
                <w:bCs/>
                <w:lang w:eastAsia="ru-RU"/>
              </w:rPr>
            </w:r>
            <w:r>
              <w:rPr>
                <w:b/>
                <w:bCs/>
                <w:lang w:eastAsia="ru-RU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835"/>
              <w:jc w:val="center"/>
              <w:rPr>
                <w:lang w:eastAsia="ru-RU"/>
              </w:rPr>
            </w:pPr>
            <w:r>
              <w:rPr>
                <w:spacing w:val="-2"/>
                <w:lang w:eastAsia="ru-RU"/>
              </w:rPr>
              <w:t xml:space="preserve">–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49" w:type="dxa"/>
            <w:vAlign w:val="top"/>
            <w:textDirection w:val="lrTb"/>
            <w:noWrap w:val="false"/>
          </w:tcPr>
          <w:p>
            <w:pPr>
              <w:pStyle w:val="835"/>
              <w:rPr>
                <w:lang w:eastAsia="ru-RU"/>
              </w:rPr>
            </w:pPr>
            <w:r>
              <w:rPr>
                <w:lang w:eastAsia="ru-RU"/>
              </w:rPr>
              <w:t xml:space="preserve">международный доступ;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835"/>
              <w:jc w:val="center"/>
              <w:rPr>
                <w:lang w:eastAsia="ru-RU"/>
              </w:rPr>
            </w:pPr>
            <w:r>
              <w:rPr>
                <w:spacing w:val="-2"/>
                <w:lang w:eastAsia="ru-RU"/>
              </w:rPr>
              <w:t xml:space="preserve">–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49" w:type="dxa"/>
            <w:vAlign w:val="top"/>
            <w:textDirection w:val="lrTb"/>
            <w:noWrap w:val="false"/>
          </w:tcPr>
          <w:p>
            <w:pPr>
              <w:pStyle w:val="835"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международный и национальный роуминг по тарифам Оператора</w:t>
            </w:r>
            <w:r>
              <w:rPr>
                <w:lang w:eastAsia="ru-RU"/>
              </w:rPr>
              <w:t xml:space="preserve">;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835"/>
              <w:jc w:val="center"/>
              <w:rPr>
                <w:lang w:eastAsia="ru-RU"/>
              </w:rPr>
            </w:pPr>
            <w:r>
              <w:rPr>
                <w:spacing w:val="-2"/>
                <w:lang w:eastAsia="ru-RU"/>
              </w:rPr>
              <w:t xml:space="preserve">–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49" w:type="dxa"/>
            <w:vAlign w:val="top"/>
            <w:textDirection w:val="lrTb"/>
            <w:noWrap w:val="false"/>
          </w:tcPr>
          <w:p>
            <w:pPr>
              <w:pStyle w:val="835"/>
              <w:rPr>
                <w:lang w:eastAsia="ru-RU"/>
              </w:rPr>
            </w:pPr>
            <w:r>
              <w:rPr>
                <w:lang w:eastAsia="ru-RU"/>
              </w:rPr>
              <w:t xml:space="preserve">переадресация вызова;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835"/>
              <w:jc w:val="center"/>
              <w:rPr>
                <w:lang w:eastAsia="ru-RU"/>
              </w:rPr>
            </w:pPr>
            <w:r>
              <w:rPr>
                <w:spacing w:val="-2"/>
                <w:lang w:eastAsia="ru-RU"/>
              </w:rPr>
              <w:t xml:space="preserve">–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49" w:type="dxa"/>
            <w:vAlign w:val="top"/>
            <w:textDirection w:val="lrTb"/>
            <w:noWrap w:val="false"/>
          </w:tcPr>
          <w:p>
            <w:pPr>
              <w:pStyle w:val="835"/>
              <w:rPr>
                <w:lang w:eastAsia="ru-RU"/>
              </w:rPr>
            </w:pPr>
            <w:r>
              <w:rPr>
                <w:lang w:eastAsia="ru-RU"/>
              </w:rPr>
              <w:t xml:space="preserve">режим ожидания/удержания вызова;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835"/>
              <w:jc w:val="center"/>
              <w:rPr>
                <w:lang w:eastAsia="ru-RU"/>
              </w:rPr>
            </w:pPr>
            <w:r>
              <w:rPr>
                <w:spacing w:val="-2"/>
                <w:lang w:eastAsia="ru-RU"/>
              </w:rPr>
              <w:t xml:space="preserve">–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49" w:type="dxa"/>
            <w:vAlign w:val="top"/>
            <w:textDirection w:val="lrTb"/>
            <w:noWrap w:val="false"/>
          </w:tcPr>
          <w:p>
            <w:pPr>
              <w:pStyle w:val="835"/>
              <w:rPr>
                <w:lang w:eastAsia="ru-RU"/>
              </w:rPr>
            </w:pPr>
            <w:r>
              <w:rPr>
                <w:lang w:eastAsia="ru-RU"/>
              </w:rPr>
              <w:t xml:space="preserve">запрет вызова;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835"/>
              <w:jc w:val="center"/>
              <w:rPr>
                <w:lang w:eastAsia="ru-RU"/>
              </w:rPr>
            </w:pPr>
            <w:r>
              <w:rPr>
                <w:spacing w:val="-2"/>
                <w:lang w:eastAsia="ru-RU"/>
              </w:rPr>
              <w:t xml:space="preserve">–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49" w:type="dxa"/>
            <w:vAlign w:val="top"/>
            <w:textDirection w:val="lrTb"/>
            <w:noWrap w:val="false"/>
          </w:tcPr>
          <w:p>
            <w:pPr>
              <w:pStyle w:val="835"/>
              <w:rPr>
                <w:lang w:eastAsia="ru-RU"/>
              </w:rPr>
            </w:pPr>
            <w:r>
              <w:rPr>
                <w:lang w:eastAsia="ru-RU"/>
              </w:rPr>
              <w:t xml:space="preserve">определитель (антиопределитель) вызова;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835"/>
              <w:jc w:val="center"/>
              <w:rPr>
                <w:lang w:eastAsia="ru-RU"/>
              </w:rPr>
            </w:pPr>
            <w:r>
              <w:rPr>
                <w:spacing w:val="-2"/>
                <w:lang w:eastAsia="ru-RU"/>
              </w:rPr>
              <w:t xml:space="preserve">–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49" w:type="dxa"/>
            <w:vAlign w:val="top"/>
            <w:textDirection w:val="lrTb"/>
            <w:noWrap w:val="false"/>
          </w:tcPr>
          <w:p>
            <w:pPr>
              <w:pStyle w:val="835"/>
              <w:rPr>
                <w:lang w:eastAsia="ru-RU"/>
              </w:rPr>
            </w:pPr>
            <w:r>
              <w:rPr>
                <w:lang w:eastAsia="ru-RU"/>
              </w:rPr>
              <w:t xml:space="preserve">голосовая почта;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835"/>
              <w:jc w:val="center"/>
              <w:rPr>
                <w:lang w:eastAsia="ru-RU"/>
              </w:rPr>
            </w:pPr>
            <w:r>
              <w:rPr>
                <w:spacing w:val="-2"/>
                <w:lang w:eastAsia="ru-RU"/>
              </w:rPr>
              <w:t xml:space="preserve">–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49" w:type="dxa"/>
            <w:vAlign w:val="top"/>
            <w:textDirection w:val="lrTb"/>
            <w:noWrap w:val="false"/>
          </w:tcPr>
          <w:p>
            <w:pPr>
              <w:pStyle w:val="835"/>
              <w:rPr>
                <w:lang w:eastAsia="ru-RU"/>
              </w:rPr>
            </w:pPr>
            <w:r>
              <w:rPr>
                <w:lang w:eastAsia="ru-RU"/>
              </w:rPr>
              <w:t xml:space="preserve">детализированный счет;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835"/>
              <w:jc w:val="center"/>
              <w:rPr>
                <w:lang w:eastAsia="ru-RU"/>
              </w:rPr>
            </w:pPr>
            <w:r>
              <w:rPr>
                <w:spacing w:val="-2"/>
                <w:lang w:eastAsia="ru-RU"/>
              </w:rPr>
              <w:t xml:space="preserve">–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49" w:type="dxa"/>
            <w:vAlign w:val="top"/>
            <w:textDirection w:val="lrTb"/>
            <w:noWrap w:val="false"/>
          </w:tcPr>
          <w:p>
            <w:pPr>
              <w:pStyle w:val="835"/>
              <w:rPr>
                <w:lang w:eastAsia="ru-RU"/>
              </w:rPr>
            </w:pPr>
            <w:r>
              <w:rPr>
                <w:lang w:eastAsia="ru-RU"/>
              </w:rPr>
              <w:t xml:space="preserve">возможность установления запрета GPRS – роуминга;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835"/>
              <w:jc w:val="center"/>
              <w:rPr>
                <w:lang w:eastAsia="ru-RU"/>
              </w:rPr>
            </w:pPr>
            <w:r>
              <w:rPr>
                <w:spacing w:val="-2"/>
                <w:lang w:eastAsia="ru-RU"/>
              </w:rPr>
              <w:t xml:space="preserve">–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49" w:type="dxa"/>
            <w:vAlign w:val="top"/>
            <w:textDirection w:val="lrTb"/>
            <w:noWrap w:val="false"/>
          </w:tcPr>
          <w:p>
            <w:pPr>
              <w:pStyle w:val="835"/>
              <w:rPr>
                <w:lang w:eastAsia="ru-RU"/>
              </w:rPr>
            </w:pPr>
            <w:r>
              <w:rPr>
                <w:lang w:eastAsia="ru-RU"/>
              </w:rPr>
              <w:t xml:space="preserve">возможность установления запрета приема наличных платежей;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</w:tr>
      <w:tr>
        <w:tblPrEx/>
        <w:trPr>
          <w:trHeight w:val="331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835"/>
              <w:jc w:val="center"/>
              <w:rPr>
                <w:lang w:eastAsia="ru-RU"/>
              </w:rPr>
            </w:pPr>
            <w:r>
              <w:rPr>
                <w:spacing w:val="-2"/>
                <w:lang w:eastAsia="ru-RU"/>
              </w:rPr>
              <w:t xml:space="preserve">–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49" w:type="dxa"/>
            <w:vAlign w:val="top"/>
            <w:textDirection w:val="lrTb"/>
            <w:noWrap w:val="false"/>
          </w:tcPr>
          <w:p>
            <w:pPr>
              <w:pStyle w:val="835"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возможность установления запрета доступа к информационно-развлекательному сервису (по тарифам Оператора).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</w:tr>
    </w:tbl>
    <w:sectPr>
      <w:footnotePr/>
      <w:endnotePr/>
      <w:type w:val="nextPage"/>
      <w:pgSz w:w="11906" w:h="16838" w:orient="portrait"/>
      <w:pgMar w:top="567" w:right="567" w:bottom="567" w:left="567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Cambria">
    <w:panose1 w:val="02040503050406030204"/>
  </w:font>
  <w:font w:name="Arial">
    <w:panose1 w:val="020B0604020202020204"/>
  </w:font>
  <w:font w:name="Calibri">
    <w:panose1 w:val="020F0502020204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7">
    <w:name w:val="Heading 1"/>
    <w:basedOn w:val="835"/>
    <w:next w:val="835"/>
    <w:link w:val="658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8">
    <w:name w:val="Heading 1 Char"/>
    <w:link w:val="657"/>
    <w:uiPriority w:val="9"/>
    <w:rPr>
      <w:rFonts w:ascii="Arial" w:hAnsi="Arial" w:eastAsia="Arial" w:cs="Arial"/>
      <w:sz w:val="40"/>
      <w:szCs w:val="40"/>
    </w:rPr>
  </w:style>
  <w:style w:type="paragraph" w:styleId="659">
    <w:name w:val="Heading 2"/>
    <w:basedOn w:val="835"/>
    <w:next w:val="835"/>
    <w:link w:val="660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0">
    <w:name w:val="Heading 2 Char"/>
    <w:link w:val="659"/>
    <w:uiPriority w:val="9"/>
    <w:rPr>
      <w:rFonts w:ascii="Arial" w:hAnsi="Arial" w:eastAsia="Arial" w:cs="Arial"/>
      <w:sz w:val="34"/>
    </w:rPr>
  </w:style>
  <w:style w:type="paragraph" w:styleId="661">
    <w:name w:val="Heading 3"/>
    <w:basedOn w:val="835"/>
    <w:next w:val="835"/>
    <w:link w:val="662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2">
    <w:name w:val="Heading 3 Char"/>
    <w:link w:val="661"/>
    <w:uiPriority w:val="9"/>
    <w:rPr>
      <w:rFonts w:ascii="Arial" w:hAnsi="Arial" w:eastAsia="Arial" w:cs="Arial"/>
      <w:sz w:val="30"/>
      <w:szCs w:val="30"/>
    </w:rPr>
  </w:style>
  <w:style w:type="paragraph" w:styleId="663">
    <w:name w:val="Heading 4"/>
    <w:basedOn w:val="835"/>
    <w:next w:val="835"/>
    <w:link w:val="664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4">
    <w:name w:val="Heading 4 Char"/>
    <w:link w:val="663"/>
    <w:uiPriority w:val="9"/>
    <w:rPr>
      <w:rFonts w:ascii="Arial" w:hAnsi="Arial" w:eastAsia="Arial" w:cs="Arial"/>
      <w:b/>
      <w:bCs/>
      <w:sz w:val="26"/>
      <w:szCs w:val="26"/>
    </w:rPr>
  </w:style>
  <w:style w:type="paragraph" w:styleId="665">
    <w:name w:val="Heading 5"/>
    <w:basedOn w:val="835"/>
    <w:next w:val="835"/>
    <w:link w:val="666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6">
    <w:name w:val="Heading 5 Char"/>
    <w:link w:val="665"/>
    <w:uiPriority w:val="9"/>
    <w:rPr>
      <w:rFonts w:ascii="Arial" w:hAnsi="Arial" w:eastAsia="Arial" w:cs="Arial"/>
      <w:b/>
      <w:bCs/>
      <w:sz w:val="24"/>
      <w:szCs w:val="24"/>
    </w:rPr>
  </w:style>
  <w:style w:type="paragraph" w:styleId="667">
    <w:name w:val="Heading 6"/>
    <w:basedOn w:val="835"/>
    <w:next w:val="835"/>
    <w:link w:val="668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8">
    <w:name w:val="Heading 6 Char"/>
    <w:link w:val="667"/>
    <w:uiPriority w:val="9"/>
    <w:rPr>
      <w:rFonts w:ascii="Arial" w:hAnsi="Arial" w:eastAsia="Arial" w:cs="Arial"/>
      <w:b/>
      <w:bCs/>
      <w:sz w:val="22"/>
      <w:szCs w:val="22"/>
    </w:rPr>
  </w:style>
  <w:style w:type="paragraph" w:styleId="669">
    <w:name w:val="Heading 7"/>
    <w:basedOn w:val="835"/>
    <w:next w:val="835"/>
    <w:link w:val="670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0">
    <w:name w:val="Heading 7 Char"/>
    <w:link w:val="66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1">
    <w:name w:val="Heading 8"/>
    <w:basedOn w:val="835"/>
    <w:next w:val="835"/>
    <w:link w:val="672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2">
    <w:name w:val="Heading 8 Char"/>
    <w:link w:val="671"/>
    <w:uiPriority w:val="9"/>
    <w:rPr>
      <w:rFonts w:ascii="Arial" w:hAnsi="Arial" w:eastAsia="Arial" w:cs="Arial"/>
      <w:i/>
      <w:iCs/>
      <w:sz w:val="22"/>
      <w:szCs w:val="22"/>
    </w:rPr>
  </w:style>
  <w:style w:type="paragraph" w:styleId="673">
    <w:name w:val="Heading 9"/>
    <w:basedOn w:val="835"/>
    <w:next w:val="835"/>
    <w:link w:val="674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4">
    <w:name w:val="Heading 9 Char"/>
    <w:link w:val="673"/>
    <w:uiPriority w:val="9"/>
    <w:rPr>
      <w:rFonts w:ascii="Arial" w:hAnsi="Arial" w:eastAsia="Arial" w:cs="Arial"/>
      <w:i/>
      <w:iCs/>
      <w:sz w:val="21"/>
      <w:szCs w:val="21"/>
    </w:rPr>
  </w:style>
  <w:style w:type="paragraph" w:styleId="675">
    <w:name w:val="List Paragraph"/>
    <w:basedOn w:val="835"/>
    <w:uiPriority w:val="34"/>
    <w:qFormat/>
    <w:pPr>
      <w:contextualSpacing/>
      <w:ind w:left="720"/>
    </w:pPr>
  </w:style>
  <w:style w:type="paragraph" w:styleId="676">
    <w:name w:val="No Spacing"/>
    <w:uiPriority w:val="1"/>
    <w:qFormat/>
    <w:pPr>
      <w:spacing w:before="0" w:after="0" w:line="240" w:lineRule="auto"/>
    </w:pPr>
  </w:style>
  <w:style w:type="paragraph" w:styleId="677">
    <w:name w:val="Title"/>
    <w:basedOn w:val="835"/>
    <w:next w:val="835"/>
    <w:link w:val="67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8">
    <w:name w:val="Title Char"/>
    <w:link w:val="677"/>
    <w:uiPriority w:val="10"/>
    <w:rPr>
      <w:sz w:val="48"/>
      <w:szCs w:val="48"/>
    </w:rPr>
  </w:style>
  <w:style w:type="paragraph" w:styleId="679">
    <w:name w:val="Subtitle"/>
    <w:basedOn w:val="835"/>
    <w:next w:val="835"/>
    <w:link w:val="680"/>
    <w:uiPriority w:val="11"/>
    <w:qFormat/>
    <w:pPr>
      <w:spacing w:before="200" w:after="200"/>
    </w:pPr>
    <w:rPr>
      <w:sz w:val="24"/>
      <w:szCs w:val="24"/>
    </w:rPr>
  </w:style>
  <w:style w:type="character" w:styleId="680">
    <w:name w:val="Subtitle Char"/>
    <w:link w:val="679"/>
    <w:uiPriority w:val="11"/>
    <w:rPr>
      <w:sz w:val="24"/>
      <w:szCs w:val="24"/>
    </w:rPr>
  </w:style>
  <w:style w:type="paragraph" w:styleId="681">
    <w:name w:val="Quote"/>
    <w:basedOn w:val="835"/>
    <w:next w:val="835"/>
    <w:link w:val="682"/>
    <w:uiPriority w:val="29"/>
    <w:qFormat/>
    <w:pPr>
      <w:ind w:left="720" w:right="720"/>
    </w:pPr>
    <w:rPr>
      <w:i/>
    </w:rPr>
  </w:style>
  <w:style w:type="character" w:styleId="682">
    <w:name w:val="Quote Char"/>
    <w:link w:val="681"/>
    <w:uiPriority w:val="29"/>
    <w:rPr>
      <w:i/>
    </w:rPr>
  </w:style>
  <w:style w:type="paragraph" w:styleId="683">
    <w:name w:val="Intense Quote"/>
    <w:basedOn w:val="835"/>
    <w:next w:val="835"/>
    <w:link w:val="684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4">
    <w:name w:val="Intense Quote Char"/>
    <w:link w:val="683"/>
    <w:uiPriority w:val="30"/>
    <w:rPr>
      <w:i/>
    </w:rPr>
  </w:style>
  <w:style w:type="paragraph" w:styleId="685">
    <w:name w:val="Header"/>
    <w:basedOn w:val="835"/>
    <w:link w:val="68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6">
    <w:name w:val="Header Char"/>
    <w:link w:val="685"/>
    <w:uiPriority w:val="99"/>
  </w:style>
  <w:style w:type="paragraph" w:styleId="687">
    <w:name w:val="Footer"/>
    <w:basedOn w:val="835"/>
    <w:link w:val="69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8">
    <w:name w:val="Footer Char"/>
    <w:link w:val="687"/>
    <w:uiPriority w:val="99"/>
  </w:style>
  <w:style w:type="paragraph" w:styleId="689">
    <w:name w:val="Caption"/>
    <w:basedOn w:val="835"/>
    <w:next w:val="835"/>
    <w:link w:val="69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0">
    <w:name w:val="Caption Char"/>
    <w:basedOn w:val="689"/>
    <w:link w:val="687"/>
    <w:uiPriority w:val="99"/>
  </w:style>
  <w:style w:type="table" w:styleId="691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2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3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4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5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6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8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0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1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2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3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4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5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6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30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31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2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3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4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5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6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7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8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9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0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5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6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7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8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9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0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1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3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4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5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6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7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8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9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0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91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92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3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4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5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6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7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8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9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0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1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2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3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4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5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6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7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8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9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0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1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2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3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4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5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6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7">
    <w:name w:val="Hyperlink"/>
    <w:uiPriority w:val="99"/>
    <w:unhideWhenUsed/>
    <w:rPr>
      <w:color w:val="0000ff" w:themeColor="hyperlink"/>
      <w:u w:val="single"/>
    </w:rPr>
  </w:style>
  <w:style w:type="paragraph" w:styleId="818">
    <w:name w:val="footnote text"/>
    <w:basedOn w:val="835"/>
    <w:link w:val="819"/>
    <w:uiPriority w:val="99"/>
    <w:semiHidden/>
    <w:unhideWhenUsed/>
    <w:pPr>
      <w:spacing w:after="40" w:line="240" w:lineRule="auto"/>
    </w:pPr>
    <w:rPr>
      <w:sz w:val="18"/>
    </w:rPr>
  </w:style>
  <w:style w:type="character" w:styleId="819">
    <w:name w:val="Footnote Text Char"/>
    <w:link w:val="818"/>
    <w:uiPriority w:val="99"/>
    <w:rPr>
      <w:sz w:val="18"/>
    </w:rPr>
  </w:style>
  <w:style w:type="character" w:styleId="820">
    <w:name w:val="footnote reference"/>
    <w:uiPriority w:val="99"/>
    <w:unhideWhenUsed/>
    <w:rPr>
      <w:vertAlign w:val="superscript"/>
    </w:rPr>
  </w:style>
  <w:style w:type="paragraph" w:styleId="821">
    <w:name w:val="endnote text"/>
    <w:basedOn w:val="835"/>
    <w:link w:val="822"/>
    <w:uiPriority w:val="99"/>
    <w:semiHidden/>
    <w:unhideWhenUsed/>
    <w:pPr>
      <w:spacing w:after="0" w:line="240" w:lineRule="auto"/>
    </w:pPr>
    <w:rPr>
      <w:sz w:val="20"/>
    </w:rPr>
  </w:style>
  <w:style w:type="character" w:styleId="822">
    <w:name w:val="Endnote Text Char"/>
    <w:link w:val="821"/>
    <w:uiPriority w:val="99"/>
    <w:rPr>
      <w:sz w:val="20"/>
    </w:rPr>
  </w:style>
  <w:style w:type="character" w:styleId="823">
    <w:name w:val="endnote reference"/>
    <w:uiPriority w:val="99"/>
    <w:semiHidden/>
    <w:unhideWhenUsed/>
    <w:rPr>
      <w:vertAlign w:val="superscript"/>
    </w:rPr>
  </w:style>
  <w:style w:type="paragraph" w:styleId="824">
    <w:name w:val="toc 1"/>
    <w:basedOn w:val="835"/>
    <w:next w:val="835"/>
    <w:uiPriority w:val="39"/>
    <w:unhideWhenUsed/>
    <w:pPr>
      <w:ind w:left="0" w:right="0" w:firstLine="0"/>
      <w:spacing w:after="57"/>
    </w:pPr>
  </w:style>
  <w:style w:type="paragraph" w:styleId="825">
    <w:name w:val="toc 2"/>
    <w:basedOn w:val="835"/>
    <w:next w:val="835"/>
    <w:uiPriority w:val="39"/>
    <w:unhideWhenUsed/>
    <w:pPr>
      <w:ind w:left="283" w:right="0" w:firstLine="0"/>
      <w:spacing w:after="57"/>
    </w:pPr>
  </w:style>
  <w:style w:type="paragraph" w:styleId="826">
    <w:name w:val="toc 3"/>
    <w:basedOn w:val="835"/>
    <w:next w:val="835"/>
    <w:uiPriority w:val="39"/>
    <w:unhideWhenUsed/>
    <w:pPr>
      <w:ind w:left="567" w:right="0" w:firstLine="0"/>
      <w:spacing w:after="57"/>
    </w:pPr>
  </w:style>
  <w:style w:type="paragraph" w:styleId="827">
    <w:name w:val="toc 4"/>
    <w:basedOn w:val="835"/>
    <w:next w:val="835"/>
    <w:uiPriority w:val="39"/>
    <w:unhideWhenUsed/>
    <w:pPr>
      <w:ind w:left="850" w:right="0" w:firstLine="0"/>
      <w:spacing w:after="57"/>
    </w:pPr>
  </w:style>
  <w:style w:type="paragraph" w:styleId="828">
    <w:name w:val="toc 5"/>
    <w:basedOn w:val="835"/>
    <w:next w:val="835"/>
    <w:uiPriority w:val="39"/>
    <w:unhideWhenUsed/>
    <w:pPr>
      <w:ind w:left="1134" w:right="0" w:firstLine="0"/>
      <w:spacing w:after="57"/>
    </w:pPr>
  </w:style>
  <w:style w:type="paragraph" w:styleId="829">
    <w:name w:val="toc 6"/>
    <w:basedOn w:val="835"/>
    <w:next w:val="835"/>
    <w:uiPriority w:val="39"/>
    <w:unhideWhenUsed/>
    <w:pPr>
      <w:ind w:left="1417" w:right="0" w:firstLine="0"/>
      <w:spacing w:after="57"/>
    </w:pPr>
  </w:style>
  <w:style w:type="paragraph" w:styleId="830">
    <w:name w:val="toc 7"/>
    <w:basedOn w:val="835"/>
    <w:next w:val="835"/>
    <w:uiPriority w:val="39"/>
    <w:unhideWhenUsed/>
    <w:pPr>
      <w:ind w:left="1701" w:right="0" w:firstLine="0"/>
      <w:spacing w:after="57"/>
    </w:pPr>
  </w:style>
  <w:style w:type="paragraph" w:styleId="831">
    <w:name w:val="toc 8"/>
    <w:basedOn w:val="835"/>
    <w:next w:val="835"/>
    <w:uiPriority w:val="39"/>
    <w:unhideWhenUsed/>
    <w:pPr>
      <w:ind w:left="1984" w:right="0" w:firstLine="0"/>
      <w:spacing w:after="57"/>
    </w:pPr>
  </w:style>
  <w:style w:type="paragraph" w:styleId="832">
    <w:name w:val="toc 9"/>
    <w:basedOn w:val="835"/>
    <w:next w:val="835"/>
    <w:uiPriority w:val="39"/>
    <w:unhideWhenUsed/>
    <w:pPr>
      <w:ind w:left="2268" w:right="0" w:firstLine="0"/>
      <w:spacing w:after="57"/>
    </w:pPr>
  </w:style>
  <w:style w:type="paragraph" w:styleId="833">
    <w:name w:val="TOC Heading"/>
    <w:uiPriority w:val="39"/>
    <w:unhideWhenUsed/>
  </w:style>
  <w:style w:type="paragraph" w:styleId="834">
    <w:name w:val="table of figures"/>
    <w:basedOn w:val="835"/>
    <w:next w:val="835"/>
    <w:uiPriority w:val="99"/>
    <w:unhideWhenUsed/>
    <w:pPr>
      <w:spacing w:after="0" w:afterAutospacing="0"/>
    </w:pPr>
  </w:style>
  <w:style w:type="paragraph" w:styleId="835" w:default="1">
    <w:name w:val="Normal"/>
    <w:next w:val="835"/>
    <w:link w:val="835"/>
    <w:qFormat/>
    <w:rPr>
      <w:sz w:val="24"/>
      <w:szCs w:val="24"/>
      <w:lang w:val="ru-RU" w:eastAsia="ar-SA" w:bidi="ar-SA"/>
    </w:rPr>
  </w:style>
  <w:style w:type="character" w:styleId="836">
    <w:name w:val="Основной шрифт абзаца"/>
    <w:next w:val="836"/>
    <w:link w:val="835"/>
    <w:semiHidden/>
  </w:style>
  <w:style w:type="table" w:styleId="837">
    <w:name w:val="Обычная таблица"/>
    <w:next w:val="837"/>
    <w:link w:val="835"/>
    <w:semiHidden/>
    <w:tblPr/>
  </w:style>
  <w:style w:type="numbering" w:styleId="838">
    <w:name w:val="Нет списка"/>
    <w:next w:val="838"/>
    <w:link w:val="835"/>
    <w:semiHidden/>
  </w:style>
  <w:style w:type="paragraph" w:styleId="839">
    <w:name w:val="Абзац списка"/>
    <w:basedOn w:val="835"/>
    <w:next w:val="839"/>
    <w:link w:val="835"/>
    <w:uiPriority w:val="34"/>
    <w:qFormat/>
    <w:pPr>
      <w:contextualSpacing/>
      <w:ind w:left="720"/>
    </w:pPr>
    <w:rPr>
      <w:rFonts w:eastAsia="Cambria"/>
      <w:lang w:eastAsia="ru-RU"/>
    </w:rPr>
  </w:style>
  <w:style w:type="character" w:styleId="840" w:default="1">
    <w:name w:val="Default Paragraph Font"/>
    <w:uiPriority w:val="1"/>
    <w:semiHidden/>
    <w:unhideWhenUsed/>
  </w:style>
  <w:style w:type="numbering" w:styleId="841" w:default="1">
    <w:name w:val="No List"/>
    <w:uiPriority w:val="99"/>
    <w:semiHidden/>
    <w:unhideWhenUsed/>
  </w:style>
  <w:style w:type="table" w:styleId="842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user</dc:creator>
  <cp:lastModifiedBy>bgan_vp</cp:lastModifiedBy>
  <cp:revision>10</cp:revision>
  <dcterms:created xsi:type="dcterms:W3CDTF">2023-02-14T11:20:00Z</dcterms:created>
  <dcterms:modified xsi:type="dcterms:W3CDTF">2026-07-20T13:17:35Z</dcterms:modified>
  <cp:version>1048576</cp:version>
</cp:coreProperties>
</file>