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0"/>
        <w:contextualSpacing/>
        <w:jc w:val="center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eastAsia="PT Astra Serif" w:cs="PT Astra Serif"/>
          <w:b/>
          <w:sz w:val="26"/>
          <w:szCs w:val="26"/>
        </w:rPr>
        <w:t xml:space="preserve">ОБОСНОВАНИЕ НАЧАЛЬНОЙ (МАКСИМАЛЬНОЙ) ЦЕНЫ КОНТРАКТА</w:t>
      </w:r>
      <w:r>
        <w:rPr>
          <w:rFonts w:ascii="PT Astra Serif" w:hAnsi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b/>
          <w:sz w:val="26"/>
          <w:szCs w:val="26"/>
        </w:rPr>
      </w:r>
    </w:p>
    <w:p>
      <w:pPr>
        <w:pStyle w:val="930"/>
        <w:contextualSpacing/>
        <w:ind w:firstLine="567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6"/>
          <w:szCs w:val="26"/>
        </w:rPr>
        <w:t xml:space="preserve">на поставку картриджей для электрографических печатающих устройств для проведения Выборочного федерального статистического наблюдения состояния здоровья населения в 2026 году.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30"/>
        <w:contextualSpacing/>
        <w:ind w:firstLine="567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tbl>
      <w:tblPr>
        <w:tblW w:w="14884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289"/>
        <w:gridCol w:w="115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8"/>
        </w:trPr>
        <w:tc>
          <w:tcPr>
            <w:tcW w:w="3289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ind w:left="57" w:right="57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Источник финансирования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1595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ind w:firstLine="652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Федеральный бюджет.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0"/>
        </w:trPr>
        <w:tc>
          <w:tcPr>
            <w:tcW w:w="3289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ind w:left="57" w:right="57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Информация о валюте, используемой для формирования цены контракта и расчетов с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 поставщиком (подрядчиком, исполнителем)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1595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ind w:firstLine="652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Валюта – российский рубль.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0"/>
        </w:trPr>
        <w:tc>
          <w:tcPr>
            <w:tcW w:w="3289" w:type="dxa"/>
            <w:vAlign w:val="center"/>
            <w:textDirection w:val="lrTb"/>
            <w:noWrap w:val="false"/>
          </w:tcPr>
          <w:p>
            <w:pPr>
              <w:pStyle w:val="996"/>
              <w:contextualSpacing/>
              <w:widowControl w:val="off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</w:rPr>
              <w:t xml:space="preserve">Порядок применения официального курса иностранной валюты к рублю Российской Федерации, установленного ЦБ РФ и используемого при оплате контракта</w:t>
            </w:r>
            <w:r>
              <w:rPr>
                <w:rFonts w:ascii="PT Astra Serif" w:hAnsi="PT Astra Serif" w:cs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1595" w:type="dxa"/>
            <w:vAlign w:val="center"/>
            <w:textDirection w:val="lrTb"/>
            <w:noWrap w:val="false"/>
          </w:tcPr>
          <w:p>
            <w:pPr>
              <w:pStyle w:val="996"/>
              <w:contextualSpacing/>
              <w:ind w:firstLine="652"/>
              <w:jc w:val="both"/>
              <w:widowControl w:val="off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Порядок применения официального курса иностранной валюты к рублю Российской Федерации не используется ввиду того, что ф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ормирование цены контракта и расчеты в рамках настоящей закупки и исполнения государственного контракта производятся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российских рублях.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54"/>
        </w:trPr>
        <w:tc>
          <w:tcPr>
            <w:tcW w:w="3289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ind w:right="57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Основные характеристики объекта закупки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1595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ind w:firstLine="65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en-US"/>
              </w:rPr>
              <w:t xml:space="preserve">В соответствии с описанием объекта закупки.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18"/>
        </w:trPr>
        <w:tc>
          <w:tcPr>
            <w:tcW w:w="3289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ind w:right="57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Национальный режим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1595" w:type="dxa"/>
            <w:vAlign w:val="center"/>
            <w:vMerge w:val="restart"/>
            <w:textDirection w:val="lrTb"/>
            <w:noWrap w:val="false"/>
          </w:tcPr>
          <w:tbl>
            <w:tblPr>
              <w:tblW w:w="11092" w:type="dxa"/>
              <w:tblInd w:w="108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4"/>
              <w:gridCol w:w="1701"/>
              <w:gridCol w:w="2126"/>
              <w:gridCol w:w="2976"/>
              <w:gridCol w:w="3775"/>
            </w:tblGrid>
            <w:tr>
              <w:tblPrEx/>
              <w:trPr>
                <w:trHeight w:val="328"/>
              </w:trPr>
              <w:tc>
                <w:tcPr>
                  <w:shd w:val="clear" w:color="ffffff" w:fill="ffffff"/>
                  <w:tcW w:w="514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№ </w:t>
                  </w: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п</w:t>
                  </w: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/п</w:t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1701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Наименование товара</w:t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2126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Код ОКПД-2</w:t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2976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Код КТРУ</w:t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3775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lang w:eastAsia="zh-CN"/>
                    </w:rPr>
                    <w:t xml:space="preserve">Номер позиции</w:t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4"/>
                      <w:szCs w:val="24"/>
                    </w:rPr>
                  </w:r>
                </w:p>
              </w:tc>
            </w:tr>
            <w:tr>
              <w:tblPrEx/>
              <w:trPr>
                <w:trHeight w:val="255"/>
              </w:trPr>
              <w:tc>
                <w:tcPr>
                  <w:shd w:val="clear" w:color="ffffff" w:fill="ffffff"/>
                  <w:tcW w:w="514" w:type="dxa"/>
                  <w:textDirection w:val="lrTb"/>
                  <w:noWrap w:val="false"/>
                </w:tcPr>
                <w:p>
                  <w:pPr>
                    <w:numPr>
                      <w:ilvl w:val="0"/>
                      <w:numId w:val="39"/>
                    </w:numPr>
                    <w:contextualSpacing/>
                    <w:jc w:val="center"/>
                    <w:spacing w:after="160" w:line="259" w:lineRule="auto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</w:p>
              </w:tc>
              <w:tc>
                <w:tcPr>
                  <w:shd w:val="clear" w:color="ffffff" w:fill="ffffff"/>
                  <w:tcW w:w="1701" w:type="dxa"/>
                  <w:textDirection w:val="lrTb"/>
                  <w:noWrap w:val="false"/>
                </w:tcPr>
                <w:p>
                  <w:pPr>
                    <w:numPr>
                      <w:ilvl w:val="0"/>
                      <w:numId w:val="39"/>
                    </w:numPr>
                    <w:contextualSpacing/>
                    <w:jc w:val="center"/>
                    <w:spacing w:after="160" w:line="259" w:lineRule="auto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</w:p>
              </w:tc>
              <w:tc>
                <w:tcPr>
                  <w:shd w:val="clear" w:color="ffffff" w:fill="ffffff"/>
                  <w:tcW w:w="2126" w:type="dxa"/>
                  <w:textDirection w:val="lrTb"/>
                  <w:noWrap w:val="false"/>
                </w:tcPr>
                <w:p>
                  <w:pPr>
                    <w:numPr>
                      <w:ilvl w:val="0"/>
                      <w:numId w:val="39"/>
                    </w:numPr>
                    <w:contextualSpacing/>
                    <w:jc w:val="center"/>
                    <w:spacing w:after="160" w:line="259" w:lineRule="auto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</w:p>
              </w:tc>
              <w:tc>
                <w:tcPr>
                  <w:shd w:val="clear" w:color="ffffff" w:fill="ffffff"/>
                  <w:tcW w:w="2976" w:type="dxa"/>
                  <w:textDirection w:val="lrTb"/>
                  <w:noWrap w:val="false"/>
                </w:tcPr>
                <w:p>
                  <w:pPr>
                    <w:numPr>
                      <w:ilvl w:val="0"/>
                      <w:numId w:val="39"/>
                    </w:numPr>
                    <w:contextualSpacing/>
                    <w:jc w:val="center"/>
                    <w:spacing w:after="160" w:line="259" w:lineRule="auto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</w:p>
              </w:tc>
              <w:tc>
                <w:tcPr>
                  <w:shd w:val="clear" w:color="ffffff" w:fill="ffffff"/>
                  <w:tcW w:w="3775" w:type="dxa"/>
                  <w:textDirection w:val="lrTb"/>
                  <w:noWrap w:val="false"/>
                </w:tcPr>
                <w:p>
                  <w:pPr>
                    <w:numPr>
                      <w:ilvl w:val="0"/>
                      <w:numId w:val="39"/>
                    </w:numPr>
                    <w:contextualSpacing/>
                    <w:jc w:val="center"/>
                    <w:spacing w:after="160" w:line="259" w:lineRule="auto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PT Astra Serif" w:hAnsi="PT Astra Serif" w:eastAsia="PT Astra Serif" w:cs="PT Astra Serif"/>
                      <w:b/>
                      <w:sz w:val="24"/>
                      <w:szCs w:val="24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  <w:r>
                    <w:rPr>
                      <w:rFonts w:ascii="PT Astra Serif" w:hAnsi="PT Astra Serif" w:cs="PT Astra Serif"/>
                      <w:b/>
                      <w:sz w:val="20"/>
                      <w:szCs w:val="20"/>
                      <w:vertAlign w:val="superscript"/>
                    </w:rPr>
                  </w:r>
                </w:p>
              </w:tc>
            </w:tr>
            <w:tr>
              <w:tblPrEx/>
              <w:trPr>
                <w:trHeight w:val="1001"/>
              </w:trPr>
              <w:tc>
                <w:tcPr>
                  <w:shd w:val="clear" w:color="ffffff" w:fill="ffffff"/>
                  <w:tcW w:w="514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4"/>
                      <w:szCs w:val="24"/>
                    </w:rPr>
                    <w:t xml:space="preserve">1</w:t>
                  </w:r>
                  <w:r>
                    <w:rPr>
                      <w:rFonts w:ascii="PT Astra Serif" w:hAnsi="PT Astra Serif" w:cs="PT Astra Serif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1701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  <w:lang w:eastAsia="zh-CN"/>
                    </w:rPr>
                    <w:t xml:space="preserve">Картриджи </w:t>
                  </w: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  <w:lang w:eastAsia="zh-CN"/>
                    </w:rPr>
                    <w:t xml:space="preserve">для электрографических печатающих устройств 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  <w:p>
                  <w:pPr>
                    <w:contextualSpacing/>
                    <w:jc w:val="center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2126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4"/>
                      <w:szCs w:val="24"/>
                      <w:shd w:val="clear" w:color="auto" w:fill="ffffff"/>
                    </w:rPr>
                  </w:r>
                  <w:r>
                    <w:rPr>
                      <w:rFonts w:ascii="PT Astra Serif" w:hAnsi="PT Astra Serif" w:eastAsia="PT Astra Serif" w:cs="PT Astra Serif"/>
                      <w:sz w:val="24"/>
                      <w:szCs w:val="24"/>
                      <w:shd w:val="clear" w:color="auto" w:fill="ffffff"/>
                    </w:rPr>
                    <w:t xml:space="preserve">26.20.40.120 - Элементы замены типовые устройств ввода и вывода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2976" w:type="dxa"/>
                  <w:vAlign w:val="center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  <w:t xml:space="preserve">20.59.12.120-00000002 - Картридж для электрографических печатающих устройств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</w:tc>
              <w:tc>
                <w:tcPr>
                  <w:shd w:val="clear" w:color="ffffff" w:fill="ffffff"/>
                  <w:tcW w:w="3775" w:type="dxa"/>
                  <w:textDirection w:val="lrTb"/>
                  <w:noWrap w:val="false"/>
                </w:tcPr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  <w:highlight w:val="none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  <w:t xml:space="preserve">№ 205 Приложения N 2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  <w:highlight w:val="none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  <w:highlight w:val="none"/>
                    </w:rPr>
                  </w:r>
                </w:p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  <w:t xml:space="preserve">к постановлению Правительства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  <w:t xml:space="preserve">Российской Федерации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  <w:p>
                  <w:pPr>
                    <w:contextualSpacing/>
                    <w:jc w:val="center"/>
                    <w:tabs>
                      <w:tab w:val="left" w:pos="1134" w:leader="none"/>
                    </w:tabs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  <w:t xml:space="preserve">от 23 декабря 2024 г. N 1875 (</w:t>
                  </w:r>
                  <w:r>
                    <w:rPr>
                      <w:rFonts w:ascii="PT Astra Serif" w:hAnsi="PT Astra Serif" w:eastAsia="PT Astra Serif" w:cs="PT Astra Serif"/>
                      <w:b/>
                      <w:bCs/>
                      <w:color w:val="000000"/>
                      <w:sz w:val="24"/>
                      <w:szCs w:val="24"/>
                    </w:rPr>
                    <w:t xml:space="preserve">Ограничение не применяется по причине осуществления закупки товара по п. 4. ч. 1 ст. 93</w:t>
                  </w:r>
                  <w:r>
                    <w:rPr>
                      <w:rFonts w:ascii="PT Astra Serif" w:hAnsi="PT Astra Serif" w:eastAsia="PT Astra Serif" w:cs="PT Astra Serif"/>
                      <w:color w:val="000000"/>
                      <w:sz w:val="24"/>
                      <w:szCs w:val="24"/>
                    </w:rPr>
                    <w:t xml:space="preserve">)</w:t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  <w:r>
                    <w:rPr>
                      <w:rFonts w:ascii="PT Astra Serif" w:hAnsi="PT Astra Serif" w:cs="PT Astra Serif"/>
                      <w:color w:val="000000"/>
                      <w:sz w:val="24"/>
                      <w:szCs w:val="24"/>
                    </w:rPr>
                  </w:r>
                </w:p>
              </w:tc>
            </w:tr>
          </w:tbl>
          <w:p>
            <w:pPr>
              <w:ind w:left="115" w:right="114" w:firstLine="567"/>
              <w:jc w:val="both"/>
              <w:spacing w:line="288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Особенности определения начальной (максимальной) цены контракта, цены контракта, заключаемого с единственным поставщиком (подрядчиком, 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полнителем), начальной цены единицы товара (в том числе товаров, поставляемых при выполнении закупаемых работ, оказании закупаемых услуг), начальной цены единицы работы, услуги для осуществления закупки, объект закупки которой включает товары, указанные в </w:t>
            </w:r>
            <w:hyperlink r:id="rId10" w:tooltip="https://login.consultant.ru/link/?req=doc&amp;base=LAW&amp;n=494318&amp;dst=100287&amp;field=134&amp;date=14.01.2025" w:history="1">
              <w:r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</w:rPr>
                <w:t xml:space="preserve">приложении N 1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(или) </w:t>
            </w:r>
            <w:hyperlink r:id="rId11" w:tooltip="https://login.consultant.ru/link/?req=doc&amp;base=LAW&amp;n=494318&amp;dst=100744&amp;field=134&amp;date=14.01.2025" w:history="1">
              <w:r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</w:rPr>
                <w:t xml:space="preserve">приложении N 2</w:t>
              </w:r>
            </w:hyperlink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 Постановлению от 23.12.2024 № 1875 не применяется так как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58"/>
        </w:trPr>
        <w:tc>
          <w:tcPr>
            <w:tcW w:w="3289" w:type="dxa"/>
            <w:vAlign w:val="top"/>
            <w:textDirection w:val="lrTb"/>
            <w:noWrap w:val="false"/>
          </w:tcPr>
          <w:p>
            <w:pPr>
              <w:pStyle w:val="930"/>
              <w:contextualSpacing/>
              <w:ind w:left="57" w:right="57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Используемый метод определения НМЦК с обоснованием: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11595" w:type="dxa"/>
            <w:vAlign w:val="top"/>
            <w:textDirection w:val="lrTb"/>
            <w:noWrap w:val="false"/>
          </w:tcPr>
          <w:p>
            <w:pPr>
              <w:pStyle w:val="930"/>
              <w:contextualSpacing/>
              <w:ind w:left="57" w:right="113" w:firstLine="59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положениями статьи 22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начальная (максимальная) цена контракта определяется и обосновывается посредством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применения метода сопоставимых рыночных цен (анализа рынка)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30"/>
              <w:contextualSpacing/>
              <w:ind w:right="113" w:firstLine="595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Ценовая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информация собрана из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коммерческих предложений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30"/>
              <w:numPr>
                <w:ilvl w:val="0"/>
                <w:numId w:val="37"/>
              </w:num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Входящий № Т54/3697-ДР от 03.09.2026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30"/>
              <w:numPr>
                <w:ilvl w:val="0"/>
                <w:numId w:val="37"/>
              </w:num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Входящ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№ Т54/3698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-ДР от 03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.09.2026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30"/>
              <w:numPr>
                <w:ilvl w:val="0"/>
                <w:numId w:val="37"/>
              </w:numPr>
              <w:contextualSpacing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Входящ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№ Т54/3699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-ДР от 03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.09.2026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30"/>
        <w:contextualSpacing/>
        <w:ind w:firstLine="425"/>
        <w:jc w:val="center"/>
        <w:widowControl w:val="off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НМЦК методом сопоставимых рыночных цен (анализа рынка) определяется по формуле: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contextualSpacing/>
        <w:ind w:firstLine="425"/>
        <w:jc w:val="center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left="5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position w:val="-24"/>
          <w:sz w:val="24"/>
          <w:szCs w:val="24"/>
        </w:rPr>
      </w:r>
      <w:r>
        <w:rPr>
          <w:rFonts w:ascii="PT Astra Serif" w:hAnsi="PT Astra Serif" w:eastAsia="PT Astra Serif" w:cs="PT Astra Serif"/>
        </w:rPr>
      </w:r>
      <m:oMath>
        <m:sSup>
          <m:sSupPr>
            <m:ctrlPr>
              <w:rPr>
                <w:rFonts w:ascii="Cambria Math" w:hAnsi="Cambria Math" w:eastAsia="Cambria Math" w:cs="Cambria Math"/>
                <w:i/>
                <w:sz w:val="24"/>
                <w:szCs w:val="24"/>
              </w:rPr>
            </m:ctrlPr>
          </m:sSupPr>
          <m:e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НМЦК</m:t>
            </m:r>
          </m:e>
          <m:sup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рын</m:t>
            </m:r>
          </m:sup>
        </m:sSup>
        <m:r>
          <w:rPr>
            <w:rFonts w:hint="default" w:ascii="Cambria Math" w:hAnsi="Cambria Math" w:eastAsia="Cambria Math" w:cs="Cambria Math"/>
            <w:i/>
            <w:sz w:val="24"/>
            <w:szCs w:val="24"/>
          </w:rPr>
          <m:rPr/>
          <m:t> =</m:t>
        </m:r>
        <m:f>
          <m:fPr>
            <m:ctrlPr>
              <w:rPr>
                <w:rFonts w:ascii="Cambria Math" w:hAnsi="Cambria Math" w:eastAsia="Cambria Math" w:cs="Cambria Math"/>
                <w:sz w:val="24"/>
                <w:szCs w:val="24"/>
              </w:rPr>
            </m:ctrlPr>
          </m:fPr>
          <m:num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v</m:t>
            </m:r>
          </m:num>
          <m:den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n</m:t>
            </m:r>
          </m:den>
        </m:f>
        <m:r>
          <w:rPr>
            <w:rFonts w:hint="default" w:ascii="Cambria Math" w:hAnsi="Cambria Math" w:eastAsia="Cambria Math" w:cs="Cambria Math"/>
            <w:i/>
            <w:sz w:val="24"/>
            <w:szCs w:val="24"/>
          </w:rPr>
          <m:rPr/>
          <m:t>*</m:t>
        </m:r>
        <m:nary>
          <m:naryPr>
            <m:chr m:val="∑"/>
            <m:grow m:val="off"/>
            <m:limLoc m:val="undOvr"/>
            <m:ctrlPr>
              <w:rPr>
                <w:rFonts w:ascii="Cambria Math" w:hAnsi="Cambria Math" w:eastAsia="Cambria Math" w:cs="Cambria Math"/>
                <w:i/>
                <w:sz w:val="24"/>
                <w:szCs w:val="24"/>
              </w:rPr>
            </m:ctrlPr>
          </m:naryPr>
          <m:sub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i=1</m:t>
            </m:r>
          </m:sub>
          <m:sup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n</m:t>
            </m:r>
          </m:sup>
          <m:e>
            <m:r>
              <w:rPr>
                <w:rFonts w:hint="default" w:ascii="Cambria Math" w:hAnsi="Cambria Math" w:eastAsia="Cambria Math" w:cs="Cambria Math"/>
                <w:sz w:val="24"/>
                <w:szCs w:val="24"/>
              </w:rPr>
              <m:rPr>
                <m:sty m:val="p"/>
              </m:rPr>
              <m:t>ц</m:t>
            </m:r>
            <m:r>
              <w:rPr>
                <w:rFonts w:hint="default" w:ascii="Cambria Math" w:hAnsi="Cambria Math" w:eastAsia="Cambria Math" w:cs="Cambria Math"/>
                <w:i/>
                <w:sz w:val="24"/>
                <w:szCs w:val="24"/>
              </w:rPr>
              <m:rPr/>
              <m:t>i</m:t>
            </m:r>
          </m:e>
        </m:nary>
      </m:oMath>
      <w:r>
        <w:rPr>
          <w:rFonts w:ascii="PT Astra Serif" w:hAnsi="PT Astra Serif" w:eastAsia="PT Astra Serif" w:cs="PT Astra Serif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firstLine="425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где: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firstLine="425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position w:val="-10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466" cy="228600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>
                          <a:extLst>
                            <a:ext uri="{96DAC541-7B7A-43D3-8B79-37D633B846F1}">
                              <asvg:svgBlip xmlns:asvg="http://schemas.microsoft.com/office/drawing/2016/SVG/main" r:embed="rId13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676466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7pt;height:18.0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4"/>
          <w:szCs w:val="24"/>
        </w:rPr>
        <w:t xml:space="preserve"> - НМЦК, определяемая методом сопоставимы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х рыночных цен (анализа рынка);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firstLine="425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v - количество (объем) закуп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аемого товара (работы, услуги);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firstLine="425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n - количество зн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ачений, используемых в расчете;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firstLine="425"/>
        <w:jc w:val="both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i - номер источника ценовой информации;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firstLine="426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position w:val="-12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2400" cy="228600"/>
                <wp:effectExtent l="0" t="0" r="0" b="0"/>
                <wp:docPr id="2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>
                          <a:extLst>
                            <a:ext uri="{96DAC541-7B7A-43D3-8B79-37D633B846F1}">
                              <asvg:svgBlip xmlns:asvg="http://schemas.microsoft.com/office/drawing/2016/SVG/main" r:embed="rId15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2.00pt;height:18.00pt;mso-wrap-distance-left:0.00pt;mso-wrap-distance-top:0.00pt;mso-wrap-distance-right:0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4"/>
          <w:szCs w:val="24"/>
        </w:rPr>
        <w:t xml:space="preserve"> - цена единицы товара, работы, услуги, представленная в источнике с номером i.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left="5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Подставляя имеющиеся значения, получаем следующее: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5183" w:type="dxa"/>
        <w:tblInd w:w="9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86"/>
        <w:gridCol w:w="2364"/>
        <w:gridCol w:w="567"/>
        <w:gridCol w:w="709"/>
        <w:gridCol w:w="1228"/>
        <w:gridCol w:w="1229"/>
        <w:gridCol w:w="1228"/>
        <w:gridCol w:w="1229"/>
        <w:gridCol w:w="1293"/>
        <w:gridCol w:w="850"/>
        <w:gridCol w:w="1276"/>
        <w:gridCol w:w="1495"/>
        <w:gridCol w:w="1229"/>
      </w:tblGrid>
      <w:tr>
        <w:tblPrEx/>
        <w:trPr>
          <w:trHeight w:val="5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2364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Наименование товара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Объем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Источник №1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Источник №2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Источник №3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Средн. арифм.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Округление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Кол-во знач.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Сред.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квадр.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откл. σ=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Коэфф вариации V=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Рыночная стоимость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blPrEx/>
        <w:trPr>
          <w:trHeight w:val="6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64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Ед.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изм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Кол-во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Цена за ед.изм.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Цена за ед.изм.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Цена за ед.изм.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contextualSpacing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dxa"/>
            <w:vAlign w:val="center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236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Картридж для электрографических печатающих устройств </w:t>
              <w:br/>
              <w:t xml:space="preserve">Тип 1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шт.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1394,00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1352,00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1381,00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1 375,67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1 375,67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21,5019379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1,563019474</w:t>
            </w:r>
            <w:r/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15 132,37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</w:tr>
      <w:tr>
        <w:tblPrEx/>
        <w:trPr>
          <w:trHeight w:val="274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236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Картридж для электрографических печатающих устройств </w:t>
              <w:br/>
              <w:t xml:space="preserve">Тип 2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шт.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692,00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686,00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688,00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688,67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688,67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3,055050463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0,44361817</w:t>
            </w:r>
            <w:r/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15 150,74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</w:tr>
      <w:tr>
        <w:tblPrEx/>
        <w:trPr>
          <w:trHeight w:val="274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236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Картридж для электрографических печатающих устройств </w:t>
              <w:br/>
              <w:t xml:space="preserve">Тип 3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шт.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1693,00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1620,00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1711,00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1 674,67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1 674,67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48,19059383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2,877623039</w:t>
            </w:r>
            <w:r/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8 373,35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</w:tr>
      <w:tr>
        <w:tblPrEx/>
        <w:trPr>
          <w:trHeight w:val="274"/>
        </w:trPr>
        <w:tc>
          <w:tcPr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contextualSpacing/>
              <w:jc w:val="center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236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Картридж для электрографических печатающих устройств </w:t>
              <w:br/>
              <w:t xml:space="preserve">Тип 4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шт.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584,00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562,00</w:t>
            </w:r>
            <w:r/>
          </w:p>
        </w:tc>
        <w:tc>
          <w:tcPr>
            <w:tcBorders>
              <w:top w:val="single" w:color="000000" w:sz="8" w:space="0"/>
              <w:left w:val="none" w:color="FFFFFF" w:sz="255" w:space="0"/>
              <w:bottom w:val="single" w:color="000000" w:sz="8" w:space="0"/>
              <w:right w:val="single" w:color="000000" w:sz="8" w:space="0"/>
            </w:tcBorders>
            <w:tcW w:w="12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578,00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574,67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574,67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  <w:tc>
          <w:tcPr>
            <w:shd w:val="clear" w:color="000000" w:fill="ffffff"/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11,37248141</w:t>
            </w:r>
            <w:r/>
          </w:p>
        </w:tc>
        <w:tc>
          <w:tcPr>
            <w:tcBorders>
              <w:top w:val="single" w:color="000000" w:sz="4" w:space="0"/>
              <w:left w:val="none" w:color="FFFFFF" w:sz="255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1,978970082</w:t>
            </w:r>
            <w:r/>
          </w:p>
        </w:tc>
        <w:tc>
          <w:tcPr>
            <w:shd w:val="clear" w:color="000000" w:fill="ffffff"/>
            <w:tcBorders>
              <w:top w:val="none" w:color="FFFFFF" w:sz="255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1 724,01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 </w:t>
            </w:r>
            <w:r/>
          </w:p>
        </w:tc>
      </w:tr>
    </w:tbl>
    <w:p>
      <w:pPr>
        <w:pStyle w:val="930"/>
        <w:contextualSpacing/>
        <w:ind w:right="-28" w:firstLine="851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Совокупность значений, используемых в расчете начальной (максимальной) цены контракта, принимается однородной (коэффициент вариации не превышает 33 %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ind w:right="-28" w:firstLine="851"/>
        <w:jc w:val="both"/>
        <w:tabs>
          <w:tab w:val="left" w:pos="1516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ачальная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максимальная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цена контракта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на 2026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год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составит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40 380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(Сорок тысяч триста восемьдесят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) рублей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47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копеек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НДС в соответствии с законода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тельством Российской Федерации.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0"/>
        <w:contextualSpacing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30"/>
        <w:contextualSpacing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3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Специалист 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онтрактн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службы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30"/>
        <w:contextualSpacing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Заместитель начальника административного отдела</w:t>
      </w:r>
      <w:r>
        <w:rPr>
          <w:rFonts w:ascii="PT Astra Serif" w:hAnsi="PT Astra Serif" w:eastAsia="PT Astra Serif" w:cs="PT Astra Serif"/>
          <w:sz w:val="24"/>
          <w:szCs w:val="24"/>
        </w:rPr>
        <w:tab/>
        <w:tab/>
        <w:tab/>
        <w:t xml:space="preserve">                </w:t>
      </w: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С.Г. Сироткин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notePr/>
      <w:endnotePr/>
      <w:type w:val="nextPage"/>
      <w:pgSz w:w="16840" w:h="11907" w:orient="landscape"/>
      <w:pgMar w:top="851" w:right="680" w:bottom="851" w:left="1021" w:header="397" w:footer="397" w:gutter="0"/>
      <w:cols w:num="1" w:sep="0" w:space="709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2</w:t>
    </w:r>
    <w:r>
      <w:fldChar w:fldCharType="end"/>
    </w:r>
    <w:r/>
  </w:p>
  <w:p>
    <w:pPr>
      <w:pStyle w:val="935"/>
      <w:jc w:val="right"/>
      <w:rPr>
        <w:sz w:val="14"/>
        <w:szCs w:val="14"/>
      </w:rPr>
    </w:pPr>
    <w:r>
      <w:rPr>
        <w:sz w:val="14"/>
        <w:szCs w:val="14"/>
      </w:rPr>
    </w:r>
    <w:r>
      <w:rPr>
        <w:sz w:val="14"/>
        <w:szCs w:val="14"/>
      </w:rPr>
    </w:r>
    <w:r>
      <w:rPr>
        <w:sz w:val="14"/>
        <w:szCs w:val="1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7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1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764" w:hanging="180"/>
      </w:p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3"/>
      <w:numFmt w:val="decimal"/>
      <w:isLgl w:val="false"/>
      <w:suff w:val="tab"/>
      <w:lvlText w:val="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3."/>
      <w:lvlJc w:val="left"/>
      <w:pPr>
        <w:ind w:left="70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641" w:hanging="648"/>
      </w:pPr>
      <w:rPr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5" w:hanging="855"/>
        <w:tabs>
          <w:tab w:val="num" w:pos="1215" w:leader="none"/>
        </w:tabs>
      </w:pPr>
    </w:lvl>
    <w:lvl w:ilvl="1">
      <w:start w:val="3"/>
      <w:numFmt w:val="decimal"/>
      <w:isLgl w:val="false"/>
      <w:suff w:val="tab"/>
      <w:lvlText w:val="%2"/>
      <w:lvlJc w:val="left"/>
      <w:pPr>
        <w:ind w:left="720" w:hanging="360"/>
        <w:tabs>
          <w:tab w:val="num" w:pos="720" w:leader="none"/>
        </w:tabs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  <w:tabs>
          <w:tab w:val="num" w:pos="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7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1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76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7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1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764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vertAlign w:val="baselin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vertAlign w:val="baselin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0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31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291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651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bullet"/>
      <w:isLgl w:val="false"/>
      <w:suff w:val="tab"/>
      <w:lvlText w:val=""/>
      <w:lvlJc w:val="left"/>
      <w:pPr>
        <w:ind w:left="1728" w:hanging="648"/>
      </w:pPr>
      <w:rPr>
        <w:rFonts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4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3"/>
      <w:numFmt w:val="decimal"/>
      <w:isLgl w:val="false"/>
      <w:suff w:val="tab"/>
      <w:lvlText w:val="%9."/>
      <w:lvlJc w:val="left"/>
      <w:pPr>
        <w:ind w:left="4320" w:hanging="144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320" w:hanging="360"/>
        <w:tabs>
          <w:tab w:val="num" w:pos="13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9."/>
      <w:lvlJc w:val="left"/>
      <w:pPr>
        <w:ind w:left="4320" w:hanging="144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5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20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2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4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6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8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0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2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45" w:hanging="360"/>
      </w:pPr>
      <w:rPr>
        <w:rFonts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1">
    <w:multiLevelType w:val="hybridMultilevel"/>
    <w:lvl w:ilvl="0">
      <w:start w:val="1"/>
      <w:numFmt w:val="decimal"/>
      <w:pStyle w:val="954"/>
      <w:isLgl w:val="false"/>
      <w:suff w:val="tab"/>
      <w:lvlText w:val="%1."/>
      <w:lvlJc w:val="left"/>
      <w:pPr>
        <w:ind w:left="360" w:hanging="360"/>
      </w:pPr>
      <w:rPr>
        <w:b/>
        <w:i w:val="0"/>
        <w:color w:val="000000"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672" w:hanging="432"/>
      </w:pPr>
      <w:rPr>
        <w:b/>
        <w:i w:val="0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320" w:hanging="360"/>
        <w:tabs>
          <w:tab w:val="num" w:pos="13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0"/>
  </w:num>
  <w:num w:numId="4">
    <w:abstractNumId w:val="30"/>
  </w:num>
  <w:num w:numId="5">
    <w:abstractNumId w:val="22"/>
  </w:num>
  <w:num w:numId="6">
    <w:abstractNumId w:val="4"/>
  </w:num>
  <w:num w:numId="7">
    <w:abstractNumId w:val="35"/>
  </w:num>
  <w:num w:numId="8">
    <w:abstractNumId w:val="13"/>
  </w:num>
  <w:num w:numId="9">
    <w:abstractNumId w:val="36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9"/>
  </w:num>
  <w:num w:numId="13">
    <w:abstractNumId w:val="17"/>
  </w:num>
  <w:num w:numId="14">
    <w:abstractNumId w:val="14"/>
  </w:num>
  <w:num w:numId="15">
    <w:abstractNumId w:val="7"/>
  </w:num>
  <w:num w:numId="16">
    <w:abstractNumId w:val="27"/>
  </w:num>
  <w:num w:numId="17">
    <w:abstractNumId w:val="1"/>
  </w:num>
  <w:num w:numId="18">
    <w:abstractNumId w:val="25"/>
  </w:num>
  <w:num w:numId="19">
    <w:abstractNumId w:val="33"/>
  </w:num>
  <w:num w:numId="20">
    <w:abstractNumId w:val="3"/>
  </w:num>
  <w:num w:numId="21">
    <w:abstractNumId w:val="18"/>
  </w:num>
  <w:num w:numId="22">
    <w:abstractNumId w:val="12"/>
  </w:num>
  <w:num w:numId="23">
    <w:abstractNumId w:val="11"/>
  </w:num>
  <w:num w:numId="24">
    <w:abstractNumId w:val="8"/>
  </w:num>
  <w:num w:numId="25">
    <w:abstractNumId w:val="31"/>
  </w:num>
  <w:num w:numId="26">
    <w:abstractNumId w:val="10"/>
  </w:num>
  <w:num w:numId="27">
    <w:abstractNumId w:val="23"/>
  </w:num>
  <w:num w:numId="28">
    <w:abstractNumId w:val="6"/>
  </w:num>
  <w:num w:numId="29">
    <w:abstractNumId w:val="19"/>
  </w:num>
  <w:num w:numId="30">
    <w:abstractNumId w:val="15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21"/>
  </w:num>
  <w:num w:numId="34">
    <w:abstractNumId w:val="2"/>
  </w:num>
  <w:num w:numId="35">
    <w:abstractNumId w:val="32"/>
  </w:num>
  <w:num w:numId="36">
    <w:abstractNumId w:val="29"/>
  </w:num>
  <w:num w:numId="37">
    <w:abstractNumId w:val="34"/>
  </w:num>
  <w:num w:numId="38">
    <w:abstractNumId w:val="5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>
    <w:name w:val="Heading 1"/>
    <w:basedOn w:val="930"/>
    <w:next w:val="930"/>
    <w:link w:val="75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3">
    <w:name w:val="Heading 1 Char"/>
    <w:link w:val="752"/>
    <w:uiPriority w:val="9"/>
    <w:rPr>
      <w:rFonts w:ascii="Arial" w:hAnsi="Arial" w:eastAsia="Arial" w:cs="Arial"/>
      <w:sz w:val="40"/>
      <w:szCs w:val="40"/>
    </w:rPr>
  </w:style>
  <w:style w:type="paragraph" w:styleId="754">
    <w:name w:val="Heading 2"/>
    <w:basedOn w:val="930"/>
    <w:next w:val="930"/>
    <w:link w:val="7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5">
    <w:name w:val="Heading 2 Char"/>
    <w:link w:val="754"/>
    <w:uiPriority w:val="9"/>
    <w:rPr>
      <w:rFonts w:ascii="Arial" w:hAnsi="Arial" w:eastAsia="Arial" w:cs="Arial"/>
      <w:sz w:val="34"/>
    </w:rPr>
  </w:style>
  <w:style w:type="paragraph" w:styleId="756">
    <w:name w:val="Heading 3"/>
    <w:basedOn w:val="930"/>
    <w:next w:val="930"/>
    <w:link w:val="7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7">
    <w:name w:val="Heading 3 Char"/>
    <w:link w:val="756"/>
    <w:uiPriority w:val="9"/>
    <w:rPr>
      <w:rFonts w:ascii="Arial" w:hAnsi="Arial" w:eastAsia="Arial" w:cs="Arial"/>
      <w:sz w:val="30"/>
      <w:szCs w:val="30"/>
    </w:rPr>
  </w:style>
  <w:style w:type="paragraph" w:styleId="758">
    <w:name w:val="Heading 4"/>
    <w:basedOn w:val="930"/>
    <w:next w:val="930"/>
    <w:link w:val="7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9">
    <w:name w:val="Heading 4 Char"/>
    <w:link w:val="758"/>
    <w:uiPriority w:val="9"/>
    <w:rPr>
      <w:rFonts w:ascii="Arial" w:hAnsi="Arial" w:eastAsia="Arial" w:cs="Arial"/>
      <w:b/>
      <w:bCs/>
      <w:sz w:val="26"/>
      <w:szCs w:val="26"/>
    </w:rPr>
  </w:style>
  <w:style w:type="paragraph" w:styleId="760">
    <w:name w:val="Heading 5"/>
    <w:basedOn w:val="930"/>
    <w:next w:val="930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1">
    <w:name w:val="Heading 5 Char"/>
    <w:link w:val="760"/>
    <w:uiPriority w:val="9"/>
    <w:rPr>
      <w:rFonts w:ascii="Arial" w:hAnsi="Arial" w:eastAsia="Arial" w:cs="Arial"/>
      <w:b/>
      <w:bCs/>
      <w:sz w:val="24"/>
      <w:szCs w:val="24"/>
    </w:rPr>
  </w:style>
  <w:style w:type="paragraph" w:styleId="762">
    <w:name w:val="Heading 6"/>
    <w:basedOn w:val="930"/>
    <w:next w:val="930"/>
    <w:link w:val="7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3">
    <w:name w:val="Heading 6 Char"/>
    <w:link w:val="762"/>
    <w:uiPriority w:val="9"/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930"/>
    <w:next w:val="930"/>
    <w:link w:val="7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5">
    <w:name w:val="Heading 7 Char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6">
    <w:name w:val="Heading 8"/>
    <w:basedOn w:val="930"/>
    <w:next w:val="930"/>
    <w:link w:val="7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7">
    <w:name w:val="Heading 8 Char"/>
    <w:link w:val="766"/>
    <w:uiPriority w:val="9"/>
    <w:rPr>
      <w:rFonts w:ascii="Arial" w:hAnsi="Arial" w:eastAsia="Arial" w:cs="Arial"/>
      <w:i/>
      <w:iCs/>
      <w:sz w:val="22"/>
      <w:szCs w:val="22"/>
    </w:rPr>
  </w:style>
  <w:style w:type="paragraph" w:styleId="768">
    <w:name w:val="Heading 9"/>
    <w:basedOn w:val="930"/>
    <w:next w:val="930"/>
    <w:link w:val="7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9">
    <w:name w:val="Heading 9 Char"/>
    <w:link w:val="768"/>
    <w:uiPriority w:val="9"/>
    <w:rPr>
      <w:rFonts w:ascii="Arial" w:hAnsi="Arial" w:eastAsia="Arial" w:cs="Arial"/>
      <w:i/>
      <w:iCs/>
      <w:sz w:val="21"/>
      <w:szCs w:val="21"/>
    </w:rPr>
  </w:style>
  <w:style w:type="paragraph" w:styleId="770">
    <w:name w:val="List Paragraph"/>
    <w:basedOn w:val="930"/>
    <w:uiPriority w:val="34"/>
    <w:qFormat/>
    <w:pPr>
      <w:contextualSpacing/>
      <w:ind w:left="720"/>
    </w:pPr>
  </w:style>
  <w:style w:type="paragraph" w:styleId="771">
    <w:name w:val="No Spacing"/>
    <w:uiPriority w:val="1"/>
    <w:qFormat/>
    <w:pPr>
      <w:spacing w:before="0" w:after="0" w:line="240" w:lineRule="auto"/>
    </w:pPr>
  </w:style>
  <w:style w:type="paragraph" w:styleId="772">
    <w:name w:val="Title"/>
    <w:basedOn w:val="930"/>
    <w:next w:val="930"/>
    <w:link w:val="7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3">
    <w:name w:val="Title Char"/>
    <w:link w:val="772"/>
    <w:uiPriority w:val="10"/>
    <w:rPr>
      <w:sz w:val="48"/>
      <w:szCs w:val="48"/>
    </w:rPr>
  </w:style>
  <w:style w:type="paragraph" w:styleId="774">
    <w:name w:val="Subtitle"/>
    <w:basedOn w:val="930"/>
    <w:next w:val="930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>
    <w:name w:val="Subtitle Char"/>
    <w:link w:val="774"/>
    <w:uiPriority w:val="11"/>
    <w:rPr>
      <w:sz w:val="24"/>
      <w:szCs w:val="24"/>
    </w:rPr>
  </w:style>
  <w:style w:type="paragraph" w:styleId="776">
    <w:name w:val="Quote"/>
    <w:basedOn w:val="930"/>
    <w:next w:val="930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30"/>
    <w:next w:val="930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paragraph" w:styleId="780">
    <w:name w:val="Header"/>
    <w:basedOn w:val="930"/>
    <w:link w:val="7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1">
    <w:name w:val="Header Char"/>
    <w:link w:val="780"/>
    <w:uiPriority w:val="99"/>
  </w:style>
  <w:style w:type="paragraph" w:styleId="782">
    <w:name w:val="Footer"/>
    <w:basedOn w:val="930"/>
    <w:link w:val="7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3">
    <w:name w:val="Footer Char"/>
    <w:link w:val="782"/>
    <w:uiPriority w:val="99"/>
  </w:style>
  <w:style w:type="paragraph" w:styleId="784">
    <w:name w:val="Caption"/>
    <w:basedOn w:val="930"/>
    <w:next w:val="930"/>
    <w:link w:val="7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5">
    <w:name w:val="Caption Char"/>
    <w:link w:val="784"/>
    <w:uiPriority w:val="35"/>
    <w:rPr>
      <w:b/>
      <w:bCs/>
      <w:color w:val="4f81bd" w:themeColor="accent1"/>
      <w:sz w:val="18"/>
      <w:szCs w:val="18"/>
    </w:rPr>
  </w:style>
  <w:style w:type="table" w:styleId="78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2">
    <w:name w:val="Hyperlink"/>
    <w:uiPriority w:val="99"/>
    <w:unhideWhenUsed/>
    <w:rPr>
      <w:color w:val="0000ff" w:themeColor="hyperlink"/>
      <w:u w:val="single"/>
    </w:rPr>
  </w:style>
  <w:style w:type="paragraph" w:styleId="913">
    <w:name w:val="footnote text"/>
    <w:basedOn w:val="930"/>
    <w:link w:val="914"/>
    <w:uiPriority w:val="99"/>
    <w:semiHidden/>
    <w:unhideWhenUsed/>
    <w:pPr>
      <w:spacing w:after="40" w:line="240" w:lineRule="auto"/>
    </w:pPr>
    <w:rPr>
      <w:sz w:val="18"/>
    </w:rPr>
  </w:style>
  <w:style w:type="character" w:styleId="914">
    <w:name w:val="Footnote Text Char"/>
    <w:link w:val="913"/>
    <w:uiPriority w:val="99"/>
    <w:rPr>
      <w:sz w:val="18"/>
    </w:rPr>
  </w:style>
  <w:style w:type="character" w:styleId="915">
    <w:name w:val="footnote reference"/>
    <w:uiPriority w:val="99"/>
    <w:unhideWhenUsed/>
    <w:rPr>
      <w:vertAlign w:val="superscript"/>
    </w:rPr>
  </w:style>
  <w:style w:type="paragraph" w:styleId="916">
    <w:name w:val="endnote text"/>
    <w:basedOn w:val="930"/>
    <w:link w:val="917"/>
    <w:uiPriority w:val="99"/>
    <w:semiHidden/>
    <w:unhideWhenUsed/>
    <w:pPr>
      <w:spacing w:after="0" w:line="240" w:lineRule="auto"/>
    </w:pPr>
    <w:rPr>
      <w:sz w:val="20"/>
    </w:rPr>
  </w:style>
  <w:style w:type="character" w:styleId="917">
    <w:name w:val="Endnote Text Char"/>
    <w:link w:val="916"/>
    <w:uiPriority w:val="99"/>
    <w:rPr>
      <w:sz w:val="20"/>
    </w:rPr>
  </w:style>
  <w:style w:type="character" w:styleId="918">
    <w:name w:val="endnote reference"/>
    <w:uiPriority w:val="99"/>
    <w:semiHidden/>
    <w:unhideWhenUsed/>
    <w:rPr>
      <w:vertAlign w:val="superscript"/>
    </w:rPr>
  </w:style>
  <w:style w:type="paragraph" w:styleId="919">
    <w:name w:val="toc 1"/>
    <w:basedOn w:val="930"/>
    <w:next w:val="930"/>
    <w:uiPriority w:val="39"/>
    <w:unhideWhenUsed/>
    <w:pPr>
      <w:ind w:left="0" w:right="0" w:firstLine="0"/>
      <w:spacing w:after="57"/>
    </w:pPr>
  </w:style>
  <w:style w:type="paragraph" w:styleId="920">
    <w:name w:val="toc 2"/>
    <w:basedOn w:val="930"/>
    <w:next w:val="930"/>
    <w:uiPriority w:val="39"/>
    <w:unhideWhenUsed/>
    <w:pPr>
      <w:ind w:left="283" w:right="0" w:firstLine="0"/>
      <w:spacing w:after="57"/>
    </w:pPr>
  </w:style>
  <w:style w:type="paragraph" w:styleId="921">
    <w:name w:val="toc 3"/>
    <w:basedOn w:val="930"/>
    <w:next w:val="930"/>
    <w:uiPriority w:val="39"/>
    <w:unhideWhenUsed/>
    <w:pPr>
      <w:ind w:left="567" w:right="0" w:firstLine="0"/>
      <w:spacing w:after="57"/>
    </w:pPr>
  </w:style>
  <w:style w:type="paragraph" w:styleId="922">
    <w:name w:val="toc 4"/>
    <w:basedOn w:val="930"/>
    <w:next w:val="930"/>
    <w:uiPriority w:val="39"/>
    <w:unhideWhenUsed/>
    <w:pPr>
      <w:ind w:left="850" w:right="0" w:firstLine="0"/>
      <w:spacing w:after="57"/>
    </w:pPr>
  </w:style>
  <w:style w:type="paragraph" w:styleId="923">
    <w:name w:val="toc 5"/>
    <w:basedOn w:val="930"/>
    <w:next w:val="930"/>
    <w:uiPriority w:val="39"/>
    <w:unhideWhenUsed/>
    <w:pPr>
      <w:ind w:left="1134" w:right="0" w:firstLine="0"/>
      <w:spacing w:after="57"/>
    </w:pPr>
  </w:style>
  <w:style w:type="paragraph" w:styleId="924">
    <w:name w:val="toc 6"/>
    <w:basedOn w:val="930"/>
    <w:next w:val="930"/>
    <w:uiPriority w:val="39"/>
    <w:unhideWhenUsed/>
    <w:pPr>
      <w:ind w:left="1417" w:right="0" w:firstLine="0"/>
      <w:spacing w:after="57"/>
    </w:pPr>
  </w:style>
  <w:style w:type="paragraph" w:styleId="925">
    <w:name w:val="toc 7"/>
    <w:basedOn w:val="930"/>
    <w:next w:val="930"/>
    <w:uiPriority w:val="39"/>
    <w:unhideWhenUsed/>
    <w:pPr>
      <w:ind w:left="1701" w:right="0" w:firstLine="0"/>
      <w:spacing w:after="57"/>
    </w:pPr>
  </w:style>
  <w:style w:type="paragraph" w:styleId="926">
    <w:name w:val="toc 8"/>
    <w:basedOn w:val="930"/>
    <w:next w:val="930"/>
    <w:uiPriority w:val="39"/>
    <w:unhideWhenUsed/>
    <w:pPr>
      <w:ind w:left="1984" w:right="0" w:firstLine="0"/>
      <w:spacing w:after="57"/>
    </w:pPr>
  </w:style>
  <w:style w:type="paragraph" w:styleId="927">
    <w:name w:val="toc 9"/>
    <w:basedOn w:val="930"/>
    <w:next w:val="930"/>
    <w:uiPriority w:val="39"/>
    <w:unhideWhenUsed/>
    <w:pPr>
      <w:ind w:left="2268" w:right="0" w:firstLine="0"/>
      <w:spacing w:after="57"/>
    </w:pPr>
  </w:style>
  <w:style w:type="paragraph" w:styleId="928">
    <w:name w:val="TOC Heading"/>
    <w:uiPriority w:val="39"/>
    <w:unhideWhenUsed/>
  </w:style>
  <w:style w:type="paragraph" w:styleId="929">
    <w:name w:val="table of figures"/>
    <w:basedOn w:val="930"/>
    <w:next w:val="930"/>
    <w:uiPriority w:val="99"/>
    <w:unhideWhenUsed/>
    <w:pPr>
      <w:spacing w:after="0" w:afterAutospacing="0"/>
    </w:pPr>
  </w:style>
  <w:style w:type="paragraph" w:styleId="930" w:default="1">
    <w:name w:val="Normal"/>
    <w:next w:val="930"/>
    <w:link w:val="930"/>
    <w:qFormat/>
    <w:rPr>
      <w:rFonts w:ascii="Times New Roman" w:hAnsi="Times New Roman"/>
      <w:lang w:val="ru-RU" w:eastAsia="ru-RU" w:bidi="ar-SA"/>
    </w:rPr>
  </w:style>
  <w:style w:type="paragraph" w:styleId="931">
    <w:name w:val="Заголовок 1"/>
    <w:basedOn w:val="930"/>
    <w:next w:val="930"/>
    <w:link w:val="945"/>
    <w:uiPriority w:val="9"/>
    <w:qFormat/>
    <w:pPr>
      <w:keepNext/>
      <w:spacing w:before="240" w:after="60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character" w:styleId="932">
    <w:name w:val="Основной шрифт абзаца"/>
    <w:next w:val="932"/>
    <w:link w:val="930"/>
    <w:uiPriority w:val="1"/>
    <w:unhideWhenUsed/>
  </w:style>
  <w:style w:type="table" w:styleId="933">
    <w:name w:val="Обычная таблица"/>
    <w:next w:val="933"/>
    <w:link w:val="930"/>
    <w:uiPriority w:val="99"/>
    <w:semiHidden/>
    <w:unhideWhenUsed/>
    <w:qFormat/>
    <w:tblPr/>
  </w:style>
  <w:style w:type="numbering" w:styleId="934">
    <w:name w:val="Нет списка"/>
    <w:next w:val="934"/>
    <w:link w:val="930"/>
    <w:uiPriority w:val="99"/>
    <w:semiHidden/>
    <w:unhideWhenUsed/>
  </w:style>
  <w:style w:type="paragraph" w:styleId="935">
    <w:name w:val="Верхний колонтитул"/>
    <w:basedOn w:val="930"/>
    <w:next w:val="935"/>
    <w:link w:val="936"/>
    <w:uiPriority w:val="99"/>
    <w:pPr>
      <w:tabs>
        <w:tab w:val="center" w:pos="4153" w:leader="none"/>
        <w:tab w:val="right" w:pos="8306" w:leader="none"/>
      </w:tabs>
    </w:pPr>
  </w:style>
  <w:style w:type="character" w:styleId="936">
    <w:name w:val="Верхний колонтитул Знак"/>
    <w:next w:val="936"/>
    <w:link w:val="935"/>
    <w:uiPriority w:val="99"/>
    <w:rPr>
      <w:rFonts w:ascii="Times New Roman" w:hAnsi="Times New Roman" w:cs="Times New Roman"/>
      <w:sz w:val="20"/>
      <w:szCs w:val="20"/>
    </w:rPr>
  </w:style>
  <w:style w:type="paragraph" w:styleId="937">
    <w:name w:val="Нижний колонтитул"/>
    <w:basedOn w:val="930"/>
    <w:next w:val="937"/>
    <w:link w:val="938"/>
    <w:uiPriority w:val="99"/>
    <w:pPr>
      <w:tabs>
        <w:tab w:val="center" w:pos="4153" w:leader="none"/>
        <w:tab w:val="right" w:pos="8306" w:leader="none"/>
      </w:tabs>
    </w:pPr>
  </w:style>
  <w:style w:type="character" w:styleId="938">
    <w:name w:val="Нижний колонтитул Знак"/>
    <w:next w:val="938"/>
    <w:link w:val="937"/>
    <w:uiPriority w:val="99"/>
    <w:semiHidden/>
    <w:rPr>
      <w:rFonts w:ascii="Times New Roman" w:hAnsi="Times New Roman" w:cs="Times New Roman"/>
      <w:sz w:val="20"/>
      <w:szCs w:val="20"/>
    </w:rPr>
  </w:style>
  <w:style w:type="paragraph" w:styleId="939">
    <w:name w:val="Текст сноски"/>
    <w:basedOn w:val="930"/>
    <w:next w:val="939"/>
    <w:link w:val="940"/>
    <w:uiPriority w:val="99"/>
  </w:style>
  <w:style w:type="character" w:styleId="940">
    <w:name w:val="Текст сноски Знак"/>
    <w:next w:val="940"/>
    <w:link w:val="939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41">
    <w:name w:val="Знак сноски"/>
    <w:next w:val="941"/>
    <w:link w:val="930"/>
    <w:uiPriority w:val="99"/>
    <w:rPr>
      <w:rFonts w:cs="Times New Roman"/>
      <w:vertAlign w:val="superscript"/>
    </w:rPr>
  </w:style>
  <w:style w:type="paragraph" w:styleId="942">
    <w:name w:val="Основной текст с отступом"/>
    <w:basedOn w:val="930"/>
    <w:next w:val="942"/>
    <w:link w:val="943"/>
    <w:uiPriority w:val="99"/>
    <w:unhideWhenUsed/>
    <w:pPr>
      <w:ind w:left="283"/>
      <w:spacing w:after="120"/>
    </w:pPr>
    <w:rPr>
      <w:sz w:val="26"/>
      <w:szCs w:val="26"/>
    </w:rPr>
  </w:style>
  <w:style w:type="character" w:styleId="943">
    <w:name w:val="Основной текст с отступом Знак"/>
    <w:next w:val="943"/>
    <w:link w:val="942"/>
    <w:uiPriority w:val="99"/>
    <w:rPr>
      <w:rFonts w:ascii="Times New Roman" w:hAnsi="Times New Roman" w:eastAsia="Times New Roman"/>
      <w:sz w:val="26"/>
      <w:szCs w:val="26"/>
    </w:rPr>
  </w:style>
  <w:style w:type="character" w:styleId="944">
    <w:name w:val="Замещающий текст"/>
    <w:next w:val="944"/>
    <w:link w:val="930"/>
    <w:uiPriority w:val="99"/>
    <w:semiHidden/>
    <w:rPr>
      <w:color w:val="808080"/>
    </w:rPr>
  </w:style>
  <w:style w:type="character" w:styleId="945">
    <w:name w:val="Заголовок 1 Знак"/>
    <w:next w:val="945"/>
    <w:link w:val="931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946">
    <w:name w:val="Гиперссылка"/>
    <w:next w:val="946"/>
    <w:link w:val="930"/>
    <w:uiPriority w:val="99"/>
    <w:rPr>
      <w:rFonts w:cs="Times New Roman"/>
      <w:color w:val="0000ff"/>
      <w:u w:val="single"/>
    </w:rPr>
  </w:style>
  <w:style w:type="paragraph" w:styleId="947">
    <w:name w:val="Абзац списка"/>
    <w:basedOn w:val="930"/>
    <w:next w:val="947"/>
    <w:link w:val="930"/>
    <w:uiPriority w:val="34"/>
    <w:qFormat/>
    <w:pPr>
      <w:contextualSpacing/>
      <w:ind w:left="720"/>
    </w:pPr>
    <w:rPr>
      <w:sz w:val="24"/>
      <w:szCs w:val="24"/>
    </w:rPr>
  </w:style>
  <w:style w:type="paragraph" w:styleId="948">
    <w:name w:val="Таблица_содержание"/>
    <w:basedOn w:val="930"/>
    <w:next w:val="948"/>
    <w:link w:val="930"/>
    <w:pPr>
      <w:spacing w:before="60" w:after="60"/>
      <w:tabs>
        <w:tab w:val="left" w:pos="554" w:leader="none"/>
      </w:tabs>
    </w:pPr>
    <w:rPr>
      <w:rFonts w:ascii="Arial" w:hAnsi="Arial" w:cs="Arial"/>
      <w:lang w:val="en-US"/>
    </w:rPr>
  </w:style>
  <w:style w:type="paragraph" w:styleId="949">
    <w:name w:val="Основной текст"/>
    <w:basedOn w:val="930"/>
    <w:next w:val="949"/>
    <w:link w:val="950"/>
    <w:pPr>
      <w:spacing w:after="120"/>
    </w:pPr>
    <w:rPr>
      <w:sz w:val="24"/>
      <w:szCs w:val="24"/>
    </w:rPr>
  </w:style>
  <w:style w:type="character" w:styleId="950">
    <w:name w:val="Основной текст Знак"/>
    <w:next w:val="950"/>
    <w:link w:val="949"/>
    <w:rPr>
      <w:rFonts w:ascii="Times New Roman" w:hAnsi="Times New Roman"/>
      <w:sz w:val="24"/>
      <w:szCs w:val="24"/>
    </w:rPr>
  </w:style>
  <w:style w:type="paragraph" w:styleId="951">
    <w:name w:val="Текст выноски"/>
    <w:basedOn w:val="930"/>
    <w:next w:val="951"/>
    <w:link w:val="952"/>
    <w:uiPriority w:val="99"/>
    <w:semiHidden/>
    <w:unhideWhenUsed/>
    <w:rPr>
      <w:rFonts w:ascii="Tahoma" w:hAnsi="Tahoma" w:cs="Tahoma"/>
      <w:sz w:val="16"/>
      <w:szCs w:val="16"/>
    </w:rPr>
  </w:style>
  <w:style w:type="character" w:styleId="952">
    <w:name w:val="Текст выноски Знак"/>
    <w:next w:val="952"/>
    <w:link w:val="951"/>
    <w:uiPriority w:val="99"/>
    <w:semiHidden/>
    <w:rPr>
      <w:rFonts w:ascii="Tahoma" w:hAnsi="Tahoma" w:cs="Tahoma"/>
      <w:sz w:val="16"/>
      <w:szCs w:val="16"/>
    </w:rPr>
  </w:style>
  <w:style w:type="table" w:styleId="953">
    <w:name w:val="Сетка таблицы"/>
    <w:basedOn w:val="933"/>
    <w:next w:val="953"/>
    <w:link w:val="930"/>
    <w:uiPriority w:val="59"/>
    <w:tblPr/>
  </w:style>
  <w:style w:type="paragraph" w:styleId="954">
    <w:name w:val="Текст ТД"/>
    <w:basedOn w:val="930"/>
    <w:next w:val="954"/>
    <w:link w:val="955"/>
    <w:qFormat/>
    <w:pPr>
      <w:numPr>
        <w:ilvl w:val="0"/>
        <w:numId w:val="25"/>
      </w:numPr>
      <w:jc w:val="both"/>
      <w:spacing w:after="200"/>
    </w:pPr>
    <w:rPr>
      <w:rFonts w:eastAsia="Calibri"/>
      <w:sz w:val="24"/>
      <w:szCs w:val="24"/>
      <w:lang w:eastAsia="en-US"/>
    </w:rPr>
  </w:style>
  <w:style w:type="character" w:styleId="955">
    <w:name w:val="Текст ТД Знак"/>
    <w:next w:val="955"/>
    <w:link w:val="954"/>
    <w:rPr>
      <w:rFonts w:ascii="Times New Roman" w:hAnsi="Times New Roman" w:eastAsia="Calibri"/>
      <w:sz w:val="24"/>
      <w:szCs w:val="24"/>
      <w:lang w:eastAsia="en-US"/>
    </w:rPr>
  </w:style>
  <w:style w:type="paragraph" w:styleId="956">
    <w:name w:val="ConsNormal"/>
    <w:next w:val="956"/>
    <w:link w:val="957"/>
    <w:pPr>
      <w:ind w:firstLine="720"/>
    </w:pPr>
    <w:rPr>
      <w:rFonts w:ascii="Arial" w:hAnsi="Arial" w:cs="Arial"/>
      <w:lang w:val="ru-RU" w:eastAsia="ru-RU" w:bidi="ar-SA"/>
    </w:rPr>
  </w:style>
  <w:style w:type="character" w:styleId="957">
    <w:name w:val="ConsNormal Знак"/>
    <w:next w:val="957"/>
    <w:link w:val="956"/>
    <w:rPr>
      <w:rFonts w:ascii="Arial" w:hAnsi="Arial" w:cs="Arial"/>
    </w:rPr>
  </w:style>
  <w:style w:type="paragraph" w:styleId="958">
    <w:name w:val="Основной текст с отступом 2"/>
    <w:basedOn w:val="930"/>
    <w:next w:val="958"/>
    <w:link w:val="959"/>
    <w:uiPriority w:val="99"/>
    <w:semiHidden/>
    <w:unhideWhenUsed/>
    <w:pPr>
      <w:ind w:left="283"/>
      <w:spacing w:after="120" w:line="480" w:lineRule="auto"/>
    </w:pPr>
  </w:style>
  <w:style w:type="character" w:styleId="959">
    <w:name w:val="Основной текст с отступом 2 Знак"/>
    <w:next w:val="959"/>
    <w:link w:val="958"/>
    <w:uiPriority w:val="99"/>
    <w:semiHidden/>
    <w:rPr>
      <w:rFonts w:ascii="Times New Roman" w:hAnsi="Times New Roman"/>
    </w:rPr>
  </w:style>
  <w:style w:type="character" w:styleId="960">
    <w:name w:val="Просмотренная гиперссылка"/>
    <w:next w:val="960"/>
    <w:link w:val="930"/>
    <w:uiPriority w:val="99"/>
    <w:semiHidden/>
    <w:unhideWhenUsed/>
    <w:rPr>
      <w:color w:val="800080"/>
      <w:u w:val="single"/>
    </w:rPr>
  </w:style>
  <w:style w:type="paragraph" w:styleId="961">
    <w:name w:val="xl66"/>
    <w:basedOn w:val="930"/>
    <w:next w:val="961"/>
    <w:link w:val="930"/>
    <w:pPr>
      <w:jc w:val="center"/>
      <w:spacing w:before="100" w:beforeAutospacing="1" w:after="100" w:afterAutospacing="1"/>
    </w:pPr>
    <w:rPr>
      <w:sz w:val="24"/>
      <w:szCs w:val="24"/>
    </w:rPr>
  </w:style>
  <w:style w:type="paragraph" w:styleId="962">
    <w:name w:val="xl67"/>
    <w:basedOn w:val="930"/>
    <w:next w:val="962"/>
    <w:link w:val="930"/>
    <w:pPr>
      <w:jc w:val="center"/>
      <w:spacing w:before="100" w:beforeAutospacing="1" w:after="100" w:afterAutospacing="1"/>
    </w:pPr>
    <w:rPr>
      <w:sz w:val="24"/>
      <w:szCs w:val="24"/>
    </w:rPr>
  </w:style>
  <w:style w:type="paragraph" w:styleId="963">
    <w:name w:val="xl68"/>
    <w:basedOn w:val="930"/>
    <w:next w:val="963"/>
    <w:link w:val="930"/>
    <w:pPr>
      <w:jc w:val="center"/>
      <w:spacing w:before="100" w:beforeAutospacing="1" w:after="100" w:afterAutospacing="1"/>
      <w:shd w:val="clear" w:color="000000" w:fill="ffffff"/>
    </w:pPr>
    <w:rPr>
      <w:sz w:val="24"/>
      <w:szCs w:val="24"/>
    </w:rPr>
  </w:style>
  <w:style w:type="paragraph" w:styleId="964">
    <w:name w:val="xl69"/>
    <w:basedOn w:val="930"/>
    <w:next w:val="964"/>
    <w:link w:val="930"/>
    <w:pPr>
      <w:jc w:val="center"/>
      <w:spacing w:before="100" w:beforeAutospacing="1" w:after="100" w:afterAutospacing="1"/>
      <w:shd w:val="clear" w:color="000000" w:fill="fabf8f"/>
    </w:pPr>
    <w:rPr>
      <w:sz w:val="24"/>
      <w:szCs w:val="24"/>
    </w:rPr>
  </w:style>
  <w:style w:type="paragraph" w:styleId="965">
    <w:name w:val="xl70"/>
    <w:basedOn w:val="930"/>
    <w:next w:val="965"/>
    <w:link w:val="930"/>
    <w:pPr>
      <w:jc w:val="center"/>
      <w:spacing w:before="100" w:beforeAutospacing="1" w:after="100" w:afterAutospacing="1"/>
      <w:shd w:val="clear" w:color="000000" w:fill="fde9d9"/>
    </w:pPr>
    <w:rPr>
      <w:sz w:val="24"/>
      <w:szCs w:val="24"/>
    </w:rPr>
  </w:style>
  <w:style w:type="paragraph" w:styleId="966">
    <w:name w:val="xl71"/>
    <w:basedOn w:val="930"/>
    <w:next w:val="966"/>
    <w:link w:val="930"/>
    <w:pPr>
      <w:jc w:val="center"/>
      <w:spacing w:before="100" w:beforeAutospacing="1" w:after="100" w:afterAutospacing="1"/>
      <w:shd w:val="clear" w:color="000000" w:fill="fde9d9"/>
    </w:pPr>
    <w:rPr>
      <w:sz w:val="24"/>
      <w:szCs w:val="24"/>
    </w:rPr>
  </w:style>
  <w:style w:type="paragraph" w:styleId="967">
    <w:name w:val="xl72"/>
    <w:basedOn w:val="930"/>
    <w:next w:val="967"/>
    <w:link w:val="930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68">
    <w:name w:val="xl73"/>
    <w:basedOn w:val="930"/>
    <w:next w:val="968"/>
    <w:link w:val="930"/>
    <w:pPr>
      <w:jc w:val="center"/>
      <w:spacing w:before="100" w:beforeAutospacing="1" w:after="100" w:afterAutospacing="1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69">
    <w:name w:val="xl74"/>
    <w:basedOn w:val="930"/>
    <w:next w:val="969"/>
    <w:link w:val="930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0">
    <w:name w:val="xl75"/>
    <w:basedOn w:val="930"/>
    <w:next w:val="970"/>
    <w:link w:val="930"/>
    <w:pPr>
      <w:jc w:val="center"/>
      <w:spacing w:before="100" w:beforeAutospacing="1" w:after="100" w:afterAutospacing="1"/>
      <w:shd w:val="clear" w:color="000000" w:fill="fabf8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1">
    <w:name w:val="xl76"/>
    <w:basedOn w:val="930"/>
    <w:next w:val="971"/>
    <w:link w:val="930"/>
    <w:pPr>
      <w:jc w:val="center"/>
      <w:spacing w:before="100" w:beforeAutospacing="1" w:after="100" w:afterAutospacing="1"/>
      <w:shd w:val="clear" w:color="000000" w:fill="fabf8f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72">
    <w:name w:val="xl77"/>
    <w:basedOn w:val="930"/>
    <w:next w:val="972"/>
    <w:link w:val="930"/>
    <w:pPr>
      <w:jc w:val="center"/>
      <w:spacing w:before="100" w:beforeAutospacing="1" w:after="100" w:afterAutospacing="1"/>
      <w:shd w:val="clear" w:color="000000" w:fill="fabf8f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73">
    <w:name w:val="xl78"/>
    <w:basedOn w:val="930"/>
    <w:next w:val="973"/>
    <w:link w:val="930"/>
    <w:pPr>
      <w:jc w:val="center"/>
      <w:spacing w:before="100" w:beforeAutospacing="1" w:after="100" w:afterAutospacing="1"/>
      <w:shd w:val="clear" w:color="000000" w:fill="fde9d9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4">
    <w:name w:val="xl79"/>
    <w:basedOn w:val="930"/>
    <w:next w:val="974"/>
    <w:link w:val="930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5">
    <w:name w:val="xl80"/>
    <w:basedOn w:val="930"/>
    <w:next w:val="975"/>
    <w:link w:val="930"/>
    <w:pPr>
      <w:jc w:val="center"/>
      <w:spacing w:before="100" w:beforeAutospacing="1" w:after="100" w:afterAutospacing="1"/>
      <w:shd w:val="clear" w:color="000000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6">
    <w:name w:val="xl81"/>
    <w:basedOn w:val="930"/>
    <w:next w:val="976"/>
    <w:link w:val="930"/>
    <w:pPr>
      <w:jc w:val="center"/>
      <w:spacing w:before="100" w:beforeAutospacing="1" w:after="100" w:afterAutospacing="1"/>
      <w:shd w:val="clear" w:color="000000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</w:rPr>
  </w:style>
  <w:style w:type="paragraph" w:styleId="977">
    <w:name w:val="xl82"/>
    <w:basedOn w:val="930"/>
    <w:next w:val="977"/>
    <w:link w:val="930"/>
    <w:pPr>
      <w:spacing w:before="100" w:beforeAutospacing="1" w:after="100" w:afterAutospacing="1"/>
      <w:shd w:val="clear" w:color="000000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8">
    <w:name w:val="xl83"/>
    <w:basedOn w:val="930"/>
    <w:next w:val="978"/>
    <w:link w:val="930"/>
    <w:pPr>
      <w:jc w:val="center"/>
      <w:spacing w:before="100" w:beforeAutospacing="1" w:after="100" w:afterAutospacing="1"/>
      <w:shd w:val="clear" w:color="000000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79">
    <w:name w:val="xl84"/>
    <w:basedOn w:val="930"/>
    <w:next w:val="979"/>
    <w:link w:val="930"/>
    <w:pPr>
      <w:jc w:val="center"/>
      <w:spacing w:before="100" w:beforeAutospacing="1" w:after="100" w:afterAutospacing="1"/>
      <w:shd w:val="clear" w:color="000000" w:fill="92d05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0">
    <w:name w:val="xl85"/>
    <w:basedOn w:val="930"/>
    <w:next w:val="980"/>
    <w:link w:val="930"/>
    <w:pPr>
      <w:jc w:val="center"/>
      <w:spacing w:before="100" w:beforeAutospacing="1" w:after="100" w:afterAutospacing="1"/>
      <w:shd w:val="clear" w:color="000000" w:fill="9bbb5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1">
    <w:name w:val="xl86"/>
    <w:basedOn w:val="930"/>
    <w:next w:val="981"/>
    <w:link w:val="930"/>
    <w:pPr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000000"/>
    </w:rPr>
  </w:style>
  <w:style w:type="paragraph" w:styleId="982">
    <w:name w:val="xl87"/>
    <w:basedOn w:val="930"/>
    <w:next w:val="982"/>
    <w:link w:val="930"/>
    <w:pPr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</w:pBdr>
    </w:pPr>
    <w:rPr>
      <w:color w:val="000000"/>
    </w:rPr>
  </w:style>
  <w:style w:type="paragraph" w:styleId="983">
    <w:name w:val="xl88"/>
    <w:basedOn w:val="930"/>
    <w:next w:val="983"/>
    <w:link w:val="930"/>
    <w:pPr>
      <w:jc w:val="center"/>
      <w:spacing w:before="100" w:beforeAutospacing="1" w:after="100" w:afterAutospacing="1"/>
      <w:shd w:val="clear" w:color="000000" w:fill="fabf8f"/>
    </w:pPr>
    <w:rPr>
      <w:color w:val="000000"/>
      <w:sz w:val="12"/>
      <w:szCs w:val="12"/>
    </w:rPr>
  </w:style>
  <w:style w:type="paragraph" w:styleId="984">
    <w:name w:val="xl89"/>
    <w:basedOn w:val="930"/>
    <w:next w:val="984"/>
    <w:link w:val="930"/>
    <w:pPr>
      <w:jc w:val="center"/>
      <w:spacing w:before="100" w:beforeAutospacing="1" w:after="100" w:afterAutospacing="1"/>
      <w:shd w:val="clear" w:color="000000" w:fill="fde9d9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5">
    <w:name w:val="xl90"/>
    <w:basedOn w:val="930"/>
    <w:next w:val="985"/>
    <w:link w:val="930"/>
    <w:pPr>
      <w:jc w:val="center"/>
      <w:spacing w:before="100" w:beforeAutospacing="1" w:after="100" w:afterAutospacing="1"/>
      <w:shd w:val="clear" w:color="000000" w:fill="fabf8f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000000"/>
      <w:sz w:val="18"/>
      <w:szCs w:val="18"/>
    </w:rPr>
  </w:style>
  <w:style w:type="paragraph" w:styleId="986">
    <w:name w:val="xl91"/>
    <w:basedOn w:val="930"/>
    <w:next w:val="986"/>
    <w:link w:val="930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000000"/>
    </w:rPr>
  </w:style>
  <w:style w:type="paragraph" w:styleId="987">
    <w:name w:val="xl92"/>
    <w:basedOn w:val="930"/>
    <w:next w:val="987"/>
    <w:link w:val="930"/>
    <w:pPr>
      <w:jc w:val="center"/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88">
    <w:name w:val="xl93"/>
    <w:basedOn w:val="930"/>
    <w:next w:val="988"/>
    <w:link w:val="930"/>
    <w:pPr>
      <w:jc w:val="center"/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000000"/>
    </w:rPr>
  </w:style>
  <w:style w:type="paragraph" w:styleId="989">
    <w:name w:val="xl94"/>
    <w:basedOn w:val="930"/>
    <w:next w:val="989"/>
    <w:link w:val="930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000000"/>
    </w:rPr>
  </w:style>
  <w:style w:type="paragraph" w:styleId="990">
    <w:name w:val="xl95"/>
    <w:basedOn w:val="930"/>
    <w:next w:val="990"/>
    <w:link w:val="930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991">
    <w:name w:val="xl96"/>
    <w:basedOn w:val="930"/>
    <w:next w:val="991"/>
    <w:link w:val="930"/>
    <w:pPr>
      <w:jc w:val="center"/>
      <w:spacing w:before="100" w:beforeAutospacing="1" w:after="100" w:afterAutospacing="1"/>
      <w:shd w:val="clear" w:color="000000" w:fill="fabf8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18"/>
      <w:szCs w:val="18"/>
    </w:rPr>
  </w:style>
  <w:style w:type="paragraph" w:styleId="992">
    <w:name w:val="xl97"/>
    <w:basedOn w:val="930"/>
    <w:next w:val="992"/>
    <w:link w:val="930"/>
    <w:pPr>
      <w:jc w:val="center"/>
      <w:spacing w:before="100" w:beforeAutospacing="1" w:after="100" w:afterAutospacing="1"/>
      <w:shd w:val="clear" w:color="000000" w:fill="fabf8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3">
    <w:name w:val="xl64"/>
    <w:basedOn w:val="930"/>
    <w:next w:val="993"/>
    <w:link w:val="930"/>
    <w:pPr>
      <w:jc w:val="center"/>
      <w:spacing w:before="100" w:beforeAutospacing="1" w:after="100" w:afterAutospacing="1"/>
    </w:pPr>
    <w:rPr>
      <w:sz w:val="24"/>
      <w:szCs w:val="24"/>
    </w:rPr>
  </w:style>
  <w:style w:type="paragraph" w:styleId="994">
    <w:name w:val="xl65"/>
    <w:basedOn w:val="930"/>
    <w:next w:val="994"/>
    <w:link w:val="930"/>
    <w:pPr>
      <w:jc w:val="center"/>
      <w:spacing w:before="100" w:beforeAutospacing="1" w:after="100" w:afterAutospacing="1"/>
    </w:pPr>
    <w:rPr>
      <w:sz w:val="24"/>
      <w:szCs w:val="24"/>
    </w:rPr>
  </w:style>
  <w:style w:type="table" w:styleId="995">
    <w:name w:val="OTR1"/>
    <w:basedOn w:val="933"/>
    <w:next w:val="953"/>
    <w:link w:val="930"/>
    <w:rPr>
      <w:rFonts w:ascii="Times New Roman" w:hAnsi="Times New Roman"/>
    </w:rPr>
    <w:tblPr/>
  </w:style>
  <w:style w:type="paragraph" w:styleId="996">
    <w:name w:val="Обычный таблица"/>
    <w:basedOn w:val="930"/>
    <w:next w:val="996"/>
    <w:link w:val="930"/>
    <w:rPr>
      <w:sz w:val="18"/>
      <w:szCs w:val="18"/>
      <w:lang w:eastAsia="zh-CN"/>
    </w:rPr>
  </w:style>
  <w:style w:type="character" w:styleId="997" w:default="1">
    <w:name w:val="Default Paragraph Font"/>
    <w:uiPriority w:val="1"/>
    <w:semiHidden/>
    <w:unhideWhenUsed/>
  </w:style>
  <w:style w:type="numbering" w:styleId="998" w:default="1">
    <w:name w:val="No List"/>
    <w:uiPriority w:val="99"/>
    <w:semiHidden/>
    <w:unhideWhenUsed/>
  </w:style>
  <w:style w:type="table" w:styleId="99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s://login.consultant.ru/link/?req=doc&amp;base=LAW&amp;n=494318&amp;dst=100287&amp;field=134&amp;date=14.01.2025" TargetMode="External"/><Relationship Id="rId11" Type="http://schemas.openxmlformats.org/officeDocument/2006/relationships/hyperlink" Target="https://login.consultant.ru/link/?req=doc&amp;base=LAW&amp;n=494318&amp;dst=100744&amp;field=134&amp;date=14.01.2025" TargetMode="External"/><Relationship Id="rId12" Type="http://schemas.openxmlformats.org/officeDocument/2006/relationships/image" Target="media/image1.png"/><Relationship Id="rId13" Type="http://schemas.openxmlformats.org/officeDocument/2006/relationships/image" Target="media/media1.svg"/><Relationship Id="rId14" Type="http://schemas.openxmlformats.org/officeDocument/2006/relationships/image" Target="media/image2.png"/><Relationship Id="rId15" Type="http://schemas.openxmlformats.org/officeDocument/2006/relationships/image" Target="media/media2.sv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52.kurochkinaam</cp:lastModifiedBy>
  <cp:revision>238</cp:revision>
  <dcterms:created xsi:type="dcterms:W3CDTF">2014-12-02T12:57:00Z</dcterms:created>
  <dcterms:modified xsi:type="dcterms:W3CDTF">2026-09-11T08:03:38Z</dcterms:modified>
  <cp:version>917504</cp:version>
</cp:coreProperties>
</file>