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sidRPr="006D1222">
        <w:rPr>
          <w:rFonts w:ascii="Times New Roman" w:hAnsi="Times New Roman"/>
          <w:sz w:val="24"/>
          <w:szCs w:val="24"/>
        </w:rPr>
        <w:t>0</w:t>
      </w:r>
      <w:r w:rsidR="00541151" w:rsidRPr="006D1222">
        <w:rPr>
          <w:rFonts w:ascii="Times New Roman" w:hAnsi="Times New Roman"/>
          <w:sz w:val="24"/>
          <w:szCs w:val="24"/>
        </w:rPr>
        <w:t>5</w:t>
      </w:r>
      <w:r w:rsidR="008C5A2A" w:rsidRPr="006D1222">
        <w:rPr>
          <w:rFonts w:ascii="Times New Roman" w:hAnsi="Times New Roman"/>
          <w:sz w:val="24"/>
          <w:szCs w:val="24"/>
        </w:rPr>
        <w:t>.08.202</w:t>
      </w:r>
      <w:r w:rsidR="00541151" w:rsidRPr="006D1222">
        <w:rPr>
          <w:rFonts w:ascii="Times New Roman" w:hAnsi="Times New Roman"/>
          <w:sz w:val="24"/>
          <w:szCs w:val="24"/>
        </w:rPr>
        <w:t>6</w:t>
      </w:r>
      <w:r w:rsidR="008C5A2A" w:rsidRPr="006D1222">
        <w:rPr>
          <w:rFonts w:ascii="Times New Roman" w:hAnsi="Times New Roman"/>
          <w:sz w:val="24"/>
          <w:szCs w:val="24"/>
        </w:rPr>
        <w:t xml:space="preserve"> № </w:t>
      </w:r>
      <w:r w:rsidR="006D1222" w:rsidRPr="006D1222">
        <w:rPr>
          <w:rFonts w:ascii="Times New Roman" w:hAnsi="Times New Roman"/>
          <w:sz w:val="24"/>
          <w:szCs w:val="24"/>
        </w:rPr>
        <w:t>вн-11</w:t>
      </w:r>
      <w:r w:rsidR="008C5A2A" w:rsidRPr="006D1222">
        <w:rPr>
          <w:rFonts w:ascii="Times New Roman" w:hAnsi="Times New Roman"/>
          <w:sz w:val="24"/>
          <w:szCs w:val="24"/>
        </w:rPr>
        <w:t>-</w:t>
      </w:r>
      <w:r w:rsidR="006D1222" w:rsidRPr="006D1222">
        <w:rPr>
          <w:rFonts w:ascii="Times New Roman" w:hAnsi="Times New Roman"/>
          <w:sz w:val="24"/>
          <w:szCs w:val="24"/>
        </w:rPr>
        <w:t>104</w:t>
      </w:r>
      <w:r w:rsidRPr="006D1222">
        <w:rPr>
          <w:rFonts w:ascii="Times New Roman" w:hAnsi="Times New Roman"/>
          <w:sz w:val="24"/>
          <w:szCs w:val="24"/>
        </w:rPr>
        <w:t>,</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00B97C9B">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услугдля обеспечения государственных и муниципальных нужд» (далее – Федеральный законо контрактной системе), Федеральным закономот 24.</w:t>
      </w:r>
      <w:r w:rsidRPr="00421644">
        <w:rPr>
          <w:rFonts w:ascii="Times New Roman" w:hAnsi="Times New Roman"/>
          <w:sz w:val="24"/>
          <w:szCs w:val="24"/>
        </w:rPr>
        <w:t>07.2007 № 209-ФЗ «О развитии малого и среднего предпринимательства в Российской Федерации», Федеральным законом от</w:t>
      </w:r>
      <w:r w:rsidR="00B97C9B">
        <w:rPr>
          <w:rFonts w:ascii="Times New Roman" w:hAnsi="Times New Roman"/>
          <w:sz w:val="24"/>
          <w:szCs w:val="24"/>
        </w:rPr>
        <w:t xml:space="preserve"> </w:t>
      </w:r>
      <w:r w:rsidRPr="00421644">
        <w:rPr>
          <w:rFonts w:ascii="Times New Roman" w:hAnsi="Times New Roman"/>
          <w:sz w:val="24"/>
          <w:szCs w:val="24"/>
        </w:rPr>
        <w:t xml:space="preserve">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w:t>
      </w:r>
      <w:r w:rsidR="00B97C9B">
        <w:rPr>
          <w:rFonts w:ascii="Times New Roman" w:hAnsi="Times New Roman"/>
          <w:sz w:val="24"/>
          <w:szCs w:val="24"/>
        </w:rPr>
        <w:t xml:space="preserve"> </w:t>
      </w:r>
      <w:r w:rsidR="008C5A2A">
        <w:rPr>
          <w:rFonts w:ascii="Times New Roman" w:hAnsi="Times New Roman"/>
          <w:sz w:val="24"/>
          <w:szCs w:val="24"/>
        </w:rPr>
        <w:t>«О федеральном бюджете на 2026 год и на плановый период 2027 и 2028 годов</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Pr="00660EA5"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 xml:space="preserve">настоящим Контрактом срок, а Заказчик обязуется принятьи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p w:rsidR="00A805E0" w:rsidRDefault="00A805E0" w:rsidP="008556E0">
      <w:pPr>
        <w:tabs>
          <w:tab w:val="left" w:pos="709"/>
          <w:tab w:val="left" w:pos="851"/>
        </w:tabs>
        <w:spacing w:after="0" w:line="240" w:lineRule="auto"/>
        <w:ind w:firstLine="709"/>
        <w:jc w:val="both"/>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76"/>
        <w:gridCol w:w="1842"/>
        <w:gridCol w:w="1843"/>
        <w:gridCol w:w="709"/>
        <w:gridCol w:w="709"/>
        <w:gridCol w:w="850"/>
        <w:gridCol w:w="1276"/>
      </w:tblGrid>
      <w:tr w:rsidR="00A805E0" w:rsidRPr="000F1B7F" w:rsidTr="00A805E0">
        <w:trPr>
          <w:trHeight w:val="445"/>
        </w:trPr>
        <w:tc>
          <w:tcPr>
            <w:tcW w:w="1526" w:type="dxa"/>
            <w:vMerge w:val="restart"/>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Наименование товара</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Код позиции КТРУ</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Ед. измерения</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Количество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Цена (с НДС, руб)</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Сумма (с НДС, руб)</w:t>
            </w:r>
          </w:p>
        </w:tc>
      </w:tr>
      <w:tr w:rsidR="00A805E0" w:rsidRPr="000F1B7F" w:rsidTr="00A805E0">
        <w:trPr>
          <w:trHeight w:val="467"/>
        </w:trPr>
        <w:tc>
          <w:tcPr>
            <w:tcW w:w="1526" w:type="dxa"/>
            <w:vMerge/>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p>
        </w:tc>
        <w:tc>
          <w:tcPr>
            <w:tcW w:w="1276" w:type="dxa"/>
            <w:vMerge/>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p>
        </w:tc>
        <w:tc>
          <w:tcPr>
            <w:tcW w:w="1842" w:type="dxa"/>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Наименование</w:t>
            </w:r>
          </w:p>
        </w:tc>
        <w:tc>
          <w:tcPr>
            <w:tcW w:w="1843" w:type="dxa"/>
            <w:vAlign w:val="center"/>
          </w:tcPr>
          <w:p w:rsidR="00A805E0" w:rsidRPr="00A805E0" w:rsidRDefault="00A805E0" w:rsidP="00642AA1">
            <w:pPr>
              <w:widowControl w:val="0"/>
              <w:autoSpaceDE w:val="0"/>
              <w:autoSpaceDN w:val="0"/>
              <w:adjustRightInd w:val="0"/>
              <w:jc w:val="center"/>
              <w:rPr>
                <w:rFonts w:ascii="Times New Roman" w:hAnsi="Times New Roman"/>
                <w:b/>
                <w:bCs/>
                <w:sz w:val="20"/>
                <w:szCs w:val="20"/>
              </w:rPr>
            </w:pPr>
            <w:r w:rsidRPr="00A805E0">
              <w:rPr>
                <w:rFonts w:ascii="Times New Roman" w:hAnsi="Times New Roman"/>
                <w:b/>
                <w:bCs/>
                <w:sz w:val="20"/>
                <w:szCs w:val="20"/>
              </w:rPr>
              <w:t>Значение</w:t>
            </w:r>
          </w:p>
        </w:tc>
        <w:tc>
          <w:tcPr>
            <w:tcW w:w="709" w:type="dxa"/>
            <w:vMerge/>
          </w:tcPr>
          <w:p w:rsidR="00A805E0" w:rsidRPr="00A805E0" w:rsidRDefault="00A805E0" w:rsidP="00642AA1">
            <w:pPr>
              <w:keepNext/>
              <w:widowControl w:val="0"/>
              <w:autoSpaceDE w:val="0"/>
              <w:autoSpaceDN w:val="0"/>
              <w:adjustRightInd w:val="0"/>
              <w:spacing w:before="25" w:after="25"/>
              <w:ind w:right="25"/>
              <w:jc w:val="both"/>
              <w:outlineLvl w:val="2"/>
              <w:rPr>
                <w:rFonts w:ascii="Times New Roman" w:hAnsi="Times New Roman"/>
                <w:bCs/>
                <w:sz w:val="20"/>
                <w:szCs w:val="20"/>
              </w:rPr>
            </w:pPr>
          </w:p>
        </w:tc>
        <w:tc>
          <w:tcPr>
            <w:tcW w:w="709" w:type="dxa"/>
            <w:vMerge/>
          </w:tcPr>
          <w:p w:rsidR="00A805E0" w:rsidRPr="00A805E0" w:rsidRDefault="00A805E0" w:rsidP="00642AA1">
            <w:pPr>
              <w:keepNext/>
              <w:widowControl w:val="0"/>
              <w:autoSpaceDE w:val="0"/>
              <w:autoSpaceDN w:val="0"/>
              <w:adjustRightInd w:val="0"/>
              <w:spacing w:before="25" w:after="25"/>
              <w:ind w:right="25"/>
              <w:jc w:val="both"/>
              <w:outlineLvl w:val="2"/>
              <w:rPr>
                <w:rFonts w:ascii="Times New Roman" w:hAnsi="Times New Roman"/>
                <w:bCs/>
                <w:sz w:val="20"/>
                <w:szCs w:val="20"/>
              </w:rPr>
            </w:pPr>
          </w:p>
        </w:tc>
        <w:tc>
          <w:tcPr>
            <w:tcW w:w="850" w:type="dxa"/>
            <w:vMerge/>
          </w:tcPr>
          <w:p w:rsidR="00A805E0" w:rsidRPr="00A805E0" w:rsidRDefault="00A805E0" w:rsidP="00642AA1">
            <w:pPr>
              <w:keepNext/>
              <w:widowControl w:val="0"/>
              <w:autoSpaceDE w:val="0"/>
              <w:autoSpaceDN w:val="0"/>
              <w:adjustRightInd w:val="0"/>
              <w:spacing w:before="25" w:after="25"/>
              <w:ind w:right="25"/>
              <w:jc w:val="both"/>
              <w:outlineLvl w:val="2"/>
              <w:rPr>
                <w:rFonts w:ascii="Times New Roman" w:hAnsi="Times New Roman"/>
                <w:bCs/>
                <w:sz w:val="20"/>
                <w:szCs w:val="20"/>
              </w:rPr>
            </w:pPr>
          </w:p>
        </w:tc>
        <w:tc>
          <w:tcPr>
            <w:tcW w:w="1276" w:type="dxa"/>
            <w:vMerge/>
          </w:tcPr>
          <w:p w:rsidR="00A805E0" w:rsidRPr="00A805E0" w:rsidRDefault="00A805E0" w:rsidP="00642AA1">
            <w:pPr>
              <w:keepNext/>
              <w:widowControl w:val="0"/>
              <w:autoSpaceDE w:val="0"/>
              <w:autoSpaceDN w:val="0"/>
              <w:adjustRightInd w:val="0"/>
              <w:spacing w:before="25" w:after="25"/>
              <w:ind w:right="25"/>
              <w:jc w:val="both"/>
              <w:outlineLvl w:val="2"/>
              <w:rPr>
                <w:rFonts w:ascii="Times New Roman" w:hAnsi="Times New Roman"/>
                <w:bCs/>
                <w:sz w:val="20"/>
                <w:szCs w:val="20"/>
              </w:rPr>
            </w:pPr>
          </w:p>
        </w:tc>
      </w:tr>
      <w:tr w:rsidR="00A805E0" w:rsidRPr="000F1B7F" w:rsidTr="00A805E0">
        <w:trPr>
          <w:trHeight w:val="61"/>
        </w:trPr>
        <w:tc>
          <w:tcPr>
            <w:tcW w:w="1526" w:type="dxa"/>
            <w:vMerge w:val="restart"/>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sz w:val="20"/>
                <w:szCs w:val="20"/>
              </w:rPr>
            </w:pPr>
            <w:r w:rsidRPr="00A805E0">
              <w:rPr>
                <w:rFonts w:ascii="Times New Roman" w:hAnsi="Times New Roman"/>
                <w:sz w:val="20"/>
                <w:szCs w:val="20"/>
              </w:rPr>
              <w:t>Цемент, 50 кг</w:t>
            </w:r>
          </w:p>
        </w:tc>
        <w:tc>
          <w:tcPr>
            <w:tcW w:w="1276" w:type="dxa"/>
            <w:vMerge w:val="restart"/>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r w:rsidRPr="00A805E0">
              <w:rPr>
                <w:rFonts w:ascii="Times New Roman" w:hAnsi="Times New Roman"/>
                <w:sz w:val="20"/>
                <w:szCs w:val="20"/>
              </w:rPr>
              <w:t>23.51.12.110</w:t>
            </w:r>
          </w:p>
        </w:tc>
        <w:tc>
          <w:tcPr>
            <w:tcW w:w="1842"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Удельная поверхность</w:t>
            </w:r>
          </w:p>
        </w:tc>
        <w:tc>
          <w:tcPr>
            <w:tcW w:w="1843"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Не менее 340 м</w:t>
            </w:r>
            <w:r w:rsidRPr="00A805E0">
              <w:rPr>
                <w:rStyle w:val="lots-wrap-contentbodyval"/>
                <w:rFonts w:ascii="Times New Roman" w:hAnsi="Times New Roman"/>
                <w:sz w:val="20"/>
                <w:szCs w:val="20"/>
                <w:vertAlign w:val="superscript"/>
              </w:rPr>
              <w:t>2</w:t>
            </w:r>
            <w:r w:rsidRPr="00A805E0">
              <w:rPr>
                <w:rStyle w:val="lots-wrap-contentbodyval"/>
                <w:rFonts w:ascii="Times New Roman" w:hAnsi="Times New Roman"/>
                <w:sz w:val="20"/>
                <w:szCs w:val="20"/>
              </w:rPr>
              <w:t>/кг</w:t>
            </w:r>
          </w:p>
        </w:tc>
        <w:tc>
          <w:tcPr>
            <w:tcW w:w="709" w:type="dxa"/>
            <w:vMerge w:val="restart"/>
            <w:vAlign w:val="center"/>
          </w:tcPr>
          <w:p w:rsidR="00A805E0" w:rsidRPr="00A805E0" w:rsidRDefault="00A805E0" w:rsidP="00A805E0">
            <w:pPr>
              <w:spacing w:before="25" w:after="0"/>
              <w:ind w:right="25"/>
              <w:jc w:val="center"/>
              <w:outlineLvl w:val="2"/>
              <w:rPr>
                <w:rFonts w:ascii="Times New Roman" w:hAnsi="Times New Roman"/>
                <w:bCs/>
                <w:sz w:val="20"/>
                <w:szCs w:val="20"/>
              </w:rPr>
            </w:pPr>
            <w:r w:rsidRPr="00A805E0">
              <w:rPr>
                <w:rFonts w:ascii="Times New Roman" w:hAnsi="Times New Roman"/>
                <w:bCs/>
                <w:sz w:val="20"/>
                <w:szCs w:val="20"/>
              </w:rPr>
              <w:t>шт.</w:t>
            </w:r>
          </w:p>
        </w:tc>
        <w:tc>
          <w:tcPr>
            <w:tcW w:w="709" w:type="dxa"/>
            <w:vMerge w:val="restart"/>
            <w:vAlign w:val="center"/>
          </w:tcPr>
          <w:p w:rsidR="00A805E0" w:rsidRPr="00A805E0" w:rsidRDefault="00A805E0" w:rsidP="00A805E0">
            <w:pPr>
              <w:spacing w:before="25" w:after="0"/>
              <w:ind w:right="25"/>
              <w:jc w:val="center"/>
              <w:outlineLvl w:val="2"/>
              <w:rPr>
                <w:rFonts w:ascii="Times New Roman" w:hAnsi="Times New Roman"/>
                <w:bCs/>
                <w:sz w:val="20"/>
                <w:szCs w:val="20"/>
              </w:rPr>
            </w:pPr>
            <w:r w:rsidRPr="00A805E0">
              <w:rPr>
                <w:rFonts w:ascii="Times New Roman" w:hAnsi="Times New Roman"/>
                <w:bCs/>
                <w:sz w:val="20"/>
                <w:szCs w:val="20"/>
              </w:rPr>
              <w:t>120</w:t>
            </w:r>
          </w:p>
        </w:tc>
        <w:tc>
          <w:tcPr>
            <w:tcW w:w="850" w:type="dxa"/>
            <w:vMerge w:val="restart"/>
          </w:tcPr>
          <w:p w:rsidR="00A805E0" w:rsidRPr="00A805E0" w:rsidRDefault="00A805E0" w:rsidP="00A805E0">
            <w:pPr>
              <w:spacing w:before="25" w:after="0"/>
              <w:ind w:right="25"/>
              <w:jc w:val="both"/>
              <w:outlineLvl w:val="2"/>
              <w:rPr>
                <w:rFonts w:ascii="Times New Roman" w:hAnsi="Times New Roman"/>
                <w:bCs/>
                <w:sz w:val="20"/>
                <w:szCs w:val="20"/>
              </w:rPr>
            </w:pPr>
          </w:p>
        </w:tc>
        <w:tc>
          <w:tcPr>
            <w:tcW w:w="1276" w:type="dxa"/>
            <w:vMerge w:val="restart"/>
          </w:tcPr>
          <w:p w:rsidR="00A805E0" w:rsidRPr="00A805E0" w:rsidRDefault="00A805E0" w:rsidP="00A805E0">
            <w:pPr>
              <w:spacing w:before="25" w:after="0"/>
              <w:ind w:right="25"/>
              <w:jc w:val="both"/>
              <w:outlineLvl w:val="2"/>
              <w:rPr>
                <w:rFonts w:ascii="Times New Roman" w:hAnsi="Times New Roman"/>
                <w:bCs/>
                <w:sz w:val="20"/>
                <w:szCs w:val="20"/>
              </w:rPr>
            </w:pPr>
          </w:p>
        </w:tc>
      </w:tr>
      <w:tr w:rsidR="00A805E0" w:rsidRPr="000F1B7F" w:rsidTr="00A805E0">
        <w:trPr>
          <w:trHeight w:val="61"/>
        </w:trPr>
        <w:tc>
          <w:tcPr>
            <w:tcW w:w="1526" w:type="dxa"/>
            <w:vMerge/>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p>
        </w:tc>
        <w:tc>
          <w:tcPr>
            <w:tcW w:w="1276" w:type="dxa"/>
            <w:vMerge/>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p>
        </w:tc>
        <w:tc>
          <w:tcPr>
            <w:tcW w:w="1842"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Остаток на сите с сеткой №008</w:t>
            </w:r>
          </w:p>
        </w:tc>
        <w:tc>
          <w:tcPr>
            <w:tcW w:w="1843"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Не более 3,5%</w:t>
            </w:r>
          </w:p>
        </w:tc>
        <w:tc>
          <w:tcPr>
            <w:tcW w:w="709" w:type="dxa"/>
            <w:vMerge/>
          </w:tcPr>
          <w:p w:rsidR="00A805E0" w:rsidRPr="00A805E0" w:rsidRDefault="00A805E0" w:rsidP="00A805E0">
            <w:pPr>
              <w:spacing w:before="25" w:after="0"/>
              <w:ind w:right="25"/>
              <w:jc w:val="center"/>
              <w:outlineLvl w:val="2"/>
              <w:rPr>
                <w:rFonts w:ascii="Times New Roman" w:hAnsi="Times New Roman"/>
                <w:bCs/>
                <w:color w:val="FF0000"/>
                <w:sz w:val="20"/>
                <w:szCs w:val="20"/>
              </w:rPr>
            </w:pPr>
          </w:p>
        </w:tc>
        <w:tc>
          <w:tcPr>
            <w:tcW w:w="709" w:type="dxa"/>
            <w:vMerge/>
          </w:tcPr>
          <w:p w:rsidR="00A805E0" w:rsidRPr="00A805E0" w:rsidRDefault="00A805E0" w:rsidP="00A805E0">
            <w:pPr>
              <w:spacing w:before="25" w:after="0"/>
              <w:ind w:right="25"/>
              <w:jc w:val="center"/>
              <w:outlineLvl w:val="2"/>
              <w:rPr>
                <w:rFonts w:ascii="Times New Roman" w:hAnsi="Times New Roman"/>
                <w:bCs/>
                <w:color w:val="FF0000"/>
                <w:sz w:val="20"/>
                <w:szCs w:val="20"/>
              </w:rPr>
            </w:pPr>
          </w:p>
        </w:tc>
        <w:tc>
          <w:tcPr>
            <w:tcW w:w="850" w:type="dxa"/>
            <w:vMerge/>
          </w:tcPr>
          <w:p w:rsidR="00A805E0" w:rsidRPr="00A805E0" w:rsidRDefault="00A805E0" w:rsidP="00A805E0">
            <w:pPr>
              <w:spacing w:before="25" w:after="0"/>
              <w:ind w:right="25"/>
              <w:jc w:val="both"/>
              <w:outlineLvl w:val="2"/>
              <w:rPr>
                <w:rFonts w:ascii="Times New Roman" w:hAnsi="Times New Roman"/>
                <w:bCs/>
                <w:sz w:val="20"/>
                <w:szCs w:val="20"/>
              </w:rPr>
            </w:pPr>
          </w:p>
        </w:tc>
        <w:tc>
          <w:tcPr>
            <w:tcW w:w="1276" w:type="dxa"/>
            <w:vMerge/>
          </w:tcPr>
          <w:p w:rsidR="00A805E0" w:rsidRPr="00A805E0" w:rsidRDefault="00A805E0" w:rsidP="00A805E0">
            <w:pPr>
              <w:spacing w:before="25" w:after="0"/>
              <w:ind w:right="25"/>
              <w:jc w:val="both"/>
              <w:outlineLvl w:val="2"/>
              <w:rPr>
                <w:rFonts w:ascii="Times New Roman" w:hAnsi="Times New Roman"/>
                <w:bCs/>
                <w:sz w:val="20"/>
                <w:szCs w:val="20"/>
              </w:rPr>
            </w:pPr>
          </w:p>
        </w:tc>
      </w:tr>
      <w:tr w:rsidR="00A805E0" w:rsidRPr="000F1B7F" w:rsidTr="00A805E0">
        <w:trPr>
          <w:trHeight w:val="61"/>
        </w:trPr>
        <w:tc>
          <w:tcPr>
            <w:tcW w:w="1526" w:type="dxa"/>
            <w:vMerge/>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p>
        </w:tc>
        <w:tc>
          <w:tcPr>
            <w:tcW w:w="1276" w:type="dxa"/>
            <w:vMerge/>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p>
        </w:tc>
        <w:tc>
          <w:tcPr>
            <w:tcW w:w="1842"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Нормальная густота цементного теста</w:t>
            </w:r>
          </w:p>
        </w:tc>
        <w:tc>
          <w:tcPr>
            <w:tcW w:w="1843"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Не более 26,5</w:t>
            </w:r>
          </w:p>
        </w:tc>
        <w:tc>
          <w:tcPr>
            <w:tcW w:w="709" w:type="dxa"/>
            <w:vMerge/>
          </w:tcPr>
          <w:p w:rsidR="00A805E0" w:rsidRPr="00A805E0" w:rsidRDefault="00A805E0" w:rsidP="00A805E0">
            <w:pPr>
              <w:spacing w:before="25" w:after="0"/>
              <w:ind w:right="25"/>
              <w:jc w:val="center"/>
              <w:outlineLvl w:val="2"/>
              <w:rPr>
                <w:rFonts w:ascii="Times New Roman" w:hAnsi="Times New Roman"/>
                <w:bCs/>
                <w:color w:val="FF0000"/>
                <w:sz w:val="20"/>
                <w:szCs w:val="20"/>
              </w:rPr>
            </w:pPr>
          </w:p>
        </w:tc>
        <w:tc>
          <w:tcPr>
            <w:tcW w:w="709" w:type="dxa"/>
            <w:vMerge/>
          </w:tcPr>
          <w:p w:rsidR="00A805E0" w:rsidRPr="00A805E0" w:rsidRDefault="00A805E0" w:rsidP="00A805E0">
            <w:pPr>
              <w:spacing w:before="25" w:after="0"/>
              <w:ind w:right="25"/>
              <w:jc w:val="center"/>
              <w:outlineLvl w:val="2"/>
              <w:rPr>
                <w:rFonts w:ascii="Times New Roman" w:hAnsi="Times New Roman"/>
                <w:bCs/>
                <w:color w:val="FF0000"/>
                <w:sz w:val="20"/>
                <w:szCs w:val="20"/>
              </w:rPr>
            </w:pPr>
          </w:p>
        </w:tc>
        <w:tc>
          <w:tcPr>
            <w:tcW w:w="850" w:type="dxa"/>
            <w:vMerge/>
          </w:tcPr>
          <w:p w:rsidR="00A805E0" w:rsidRPr="00A805E0" w:rsidRDefault="00A805E0" w:rsidP="00A805E0">
            <w:pPr>
              <w:spacing w:before="25" w:after="0"/>
              <w:ind w:right="25"/>
              <w:jc w:val="both"/>
              <w:outlineLvl w:val="2"/>
              <w:rPr>
                <w:rFonts w:ascii="Times New Roman" w:hAnsi="Times New Roman"/>
                <w:bCs/>
                <w:sz w:val="20"/>
                <w:szCs w:val="20"/>
              </w:rPr>
            </w:pPr>
          </w:p>
        </w:tc>
        <w:tc>
          <w:tcPr>
            <w:tcW w:w="1276" w:type="dxa"/>
            <w:vMerge/>
          </w:tcPr>
          <w:p w:rsidR="00A805E0" w:rsidRPr="00A805E0" w:rsidRDefault="00A805E0" w:rsidP="00A805E0">
            <w:pPr>
              <w:spacing w:before="25" w:after="0"/>
              <w:ind w:right="25"/>
              <w:jc w:val="both"/>
              <w:outlineLvl w:val="2"/>
              <w:rPr>
                <w:rFonts w:ascii="Times New Roman" w:hAnsi="Times New Roman"/>
                <w:bCs/>
                <w:sz w:val="20"/>
                <w:szCs w:val="20"/>
              </w:rPr>
            </w:pPr>
          </w:p>
        </w:tc>
      </w:tr>
      <w:tr w:rsidR="00A805E0" w:rsidRPr="000F1B7F" w:rsidTr="00A805E0">
        <w:trPr>
          <w:trHeight w:val="61"/>
        </w:trPr>
        <w:tc>
          <w:tcPr>
            <w:tcW w:w="1526" w:type="dxa"/>
            <w:vMerge/>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p>
        </w:tc>
        <w:tc>
          <w:tcPr>
            <w:tcW w:w="1276" w:type="dxa"/>
            <w:vMerge/>
            <w:vAlign w:val="center"/>
          </w:tcPr>
          <w:p w:rsidR="00A805E0" w:rsidRPr="00A805E0" w:rsidRDefault="00A805E0" w:rsidP="00A805E0">
            <w:pPr>
              <w:widowControl w:val="0"/>
              <w:autoSpaceDE w:val="0"/>
              <w:autoSpaceDN w:val="0"/>
              <w:adjustRightInd w:val="0"/>
              <w:spacing w:after="0" w:line="240" w:lineRule="auto"/>
              <w:rPr>
                <w:rFonts w:ascii="Times New Roman" w:hAnsi="Times New Roman"/>
                <w:color w:val="FF0000"/>
                <w:sz w:val="20"/>
                <w:szCs w:val="20"/>
              </w:rPr>
            </w:pPr>
          </w:p>
        </w:tc>
        <w:tc>
          <w:tcPr>
            <w:tcW w:w="1842"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Состав</w:t>
            </w:r>
          </w:p>
        </w:tc>
        <w:tc>
          <w:tcPr>
            <w:tcW w:w="1843" w:type="dxa"/>
            <w:vAlign w:val="center"/>
          </w:tcPr>
          <w:p w:rsidR="00A805E0" w:rsidRPr="00A805E0" w:rsidRDefault="00A805E0" w:rsidP="00A805E0">
            <w:pPr>
              <w:spacing w:after="0" w:line="240" w:lineRule="auto"/>
              <w:rPr>
                <w:rStyle w:val="lots-wrap-contentbodyval"/>
                <w:rFonts w:ascii="Times New Roman" w:hAnsi="Times New Roman"/>
                <w:sz w:val="20"/>
                <w:szCs w:val="20"/>
              </w:rPr>
            </w:pPr>
            <w:r w:rsidRPr="00A805E0">
              <w:rPr>
                <w:rStyle w:val="lots-wrap-contentbodyval"/>
                <w:rFonts w:ascii="Times New Roman" w:hAnsi="Times New Roman"/>
                <w:sz w:val="20"/>
                <w:szCs w:val="20"/>
              </w:rPr>
              <w:t>Цементный клинкер</w:t>
            </w:r>
          </w:p>
        </w:tc>
        <w:tc>
          <w:tcPr>
            <w:tcW w:w="709" w:type="dxa"/>
            <w:vMerge/>
          </w:tcPr>
          <w:p w:rsidR="00A805E0" w:rsidRPr="00A805E0" w:rsidRDefault="00A805E0" w:rsidP="00A805E0">
            <w:pPr>
              <w:spacing w:before="25" w:after="0"/>
              <w:ind w:right="25"/>
              <w:jc w:val="center"/>
              <w:outlineLvl w:val="2"/>
              <w:rPr>
                <w:rFonts w:ascii="Times New Roman" w:hAnsi="Times New Roman"/>
                <w:bCs/>
                <w:color w:val="FF0000"/>
                <w:sz w:val="20"/>
                <w:szCs w:val="20"/>
              </w:rPr>
            </w:pPr>
          </w:p>
        </w:tc>
        <w:tc>
          <w:tcPr>
            <w:tcW w:w="709" w:type="dxa"/>
            <w:vMerge/>
          </w:tcPr>
          <w:p w:rsidR="00A805E0" w:rsidRPr="00A805E0" w:rsidRDefault="00A805E0" w:rsidP="00A805E0">
            <w:pPr>
              <w:spacing w:before="25" w:after="0"/>
              <w:ind w:right="25"/>
              <w:jc w:val="center"/>
              <w:outlineLvl w:val="2"/>
              <w:rPr>
                <w:rFonts w:ascii="Times New Roman" w:hAnsi="Times New Roman"/>
                <w:bCs/>
                <w:color w:val="FF0000"/>
                <w:sz w:val="20"/>
                <w:szCs w:val="20"/>
              </w:rPr>
            </w:pPr>
          </w:p>
        </w:tc>
        <w:tc>
          <w:tcPr>
            <w:tcW w:w="850" w:type="dxa"/>
            <w:vMerge/>
          </w:tcPr>
          <w:p w:rsidR="00A805E0" w:rsidRPr="00A805E0" w:rsidRDefault="00A805E0" w:rsidP="00A805E0">
            <w:pPr>
              <w:spacing w:before="25" w:after="0"/>
              <w:ind w:right="25"/>
              <w:jc w:val="both"/>
              <w:outlineLvl w:val="2"/>
              <w:rPr>
                <w:rFonts w:ascii="Times New Roman" w:hAnsi="Times New Roman"/>
                <w:bCs/>
                <w:sz w:val="20"/>
                <w:szCs w:val="20"/>
              </w:rPr>
            </w:pPr>
          </w:p>
        </w:tc>
        <w:tc>
          <w:tcPr>
            <w:tcW w:w="1276" w:type="dxa"/>
            <w:vMerge/>
          </w:tcPr>
          <w:p w:rsidR="00A805E0" w:rsidRPr="00A805E0" w:rsidRDefault="00A805E0" w:rsidP="00A805E0">
            <w:pPr>
              <w:spacing w:before="25" w:after="0"/>
              <w:ind w:right="25"/>
              <w:jc w:val="both"/>
              <w:outlineLvl w:val="2"/>
              <w:rPr>
                <w:rFonts w:ascii="Times New Roman" w:hAnsi="Times New Roman"/>
                <w:bCs/>
                <w:sz w:val="20"/>
                <w:szCs w:val="20"/>
              </w:rPr>
            </w:pPr>
          </w:p>
        </w:tc>
      </w:tr>
      <w:tr w:rsidR="00A805E0" w:rsidRPr="000F1B7F" w:rsidTr="00A805E0">
        <w:tblPrEx>
          <w:tblLook w:val="0000"/>
        </w:tblPrEx>
        <w:trPr>
          <w:trHeight w:val="163"/>
        </w:trPr>
        <w:tc>
          <w:tcPr>
            <w:tcW w:w="8755" w:type="dxa"/>
            <w:gridSpan w:val="7"/>
          </w:tcPr>
          <w:p w:rsidR="00A805E0" w:rsidRPr="00A805E0" w:rsidRDefault="00A805E0" w:rsidP="00A805E0">
            <w:pPr>
              <w:keepNext/>
              <w:widowControl w:val="0"/>
              <w:autoSpaceDE w:val="0"/>
              <w:autoSpaceDN w:val="0"/>
              <w:adjustRightInd w:val="0"/>
              <w:spacing w:before="25" w:after="0"/>
              <w:ind w:right="25"/>
              <w:jc w:val="both"/>
              <w:outlineLvl w:val="2"/>
              <w:rPr>
                <w:rFonts w:ascii="Times New Roman" w:hAnsi="Times New Roman"/>
                <w:bCs/>
                <w:sz w:val="20"/>
                <w:szCs w:val="20"/>
              </w:rPr>
            </w:pPr>
            <w:r w:rsidRPr="00A805E0">
              <w:rPr>
                <w:rFonts w:ascii="Times New Roman" w:hAnsi="Times New Roman"/>
                <w:bCs/>
                <w:sz w:val="20"/>
                <w:szCs w:val="20"/>
              </w:rPr>
              <w:t>ИТОГО</w:t>
            </w:r>
          </w:p>
        </w:tc>
        <w:tc>
          <w:tcPr>
            <w:tcW w:w="1276" w:type="dxa"/>
          </w:tcPr>
          <w:p w:rsidR="00A805E0" w:rsidRPr="00A805E0" w:rsidRDefault="00A805E0" w:rsidP="00642AA1">
            <w:pPr>
              <w:keepNext/>
              <w:widowControl w:val="0"/>
              <w:autoSpaceDE w:val="0"/>
              <w:autoSpaceDN w:val="0"/>
              <w:adjustRightInd w:val="0"/>
              <w:spacing w:before="25" w:after="25"/>
              <w:ind w:right="25"/>
              <w:jc w:val="right"/>
              <w:outlineLvl w:val="2"/>
              <w:rPr>
                <w:rFonts w:ascii="Times New Roman" w:hAnsi="Times New Roman"/>
                <w:bCs/>
                <w:sz w:val="20"/>
                <w:szCs w:val="20"/>
              </w:rPr>
            </w:pPr>
          </w:p>
        </w:tc>
      </w:tr>
    </w:tbl>
    <w:p w:rsidR="00A805E0" w:rsidRDefault="00A805E0" w:rsidP="008556E0">
      <w:pPr>
        <w:tabs>
          <w:tab w:val="left" w:pos="709"/>
          <w:tab w:val="left" w:pos="851"/>
        </w:tabs>
        <w:spacing w:after="0" w:line="240" w:lineRule="auto"/>
        <w:ind w:firstLine="709"/>
        <w:jc w:val="both"/>
        <w:rPr>
          <w:rFonts w:ascii="Times New Roman" w:hAnsi="Times New Roman"/>
          <w:sz w:val="24"/>
          <w:szCs w:val="24"/>
        </w:rPr>
      </w:pPr>
    </w:p>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Default="00532B6F" w:rsidP="00A545D2">
      <w:pPr>
        <w:spacing w:after="0" w:line="240" w:lineRule="auto"/>
        <w:jc w:val="both"/>
        <w:rPr>
          <w:rFonts w:ascii="Times New Roman" w:hAnsi="Times New Roman"/>
          <w:bCs/>
          <w:sz w:val="18"/>
          <w:szCs w:val="18"/>
        </w:rPr>
      </w:pPr>
    </w:p>
    <w:p w:rsidR="00DC272C" w:rsidRPr="00344DA7" w:rsidRDefault="00DC272C"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lastRenderedPageBreak/>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w:t>
      </w:r>
      <w:r w:rsidRPr="00E276A9">
        <w:rPr>
          <w:sz w:val="24"/>
          <w:szCs w:val="24"/>
        </w:rPr>
        <w:lastRenderedPageBreak/>
        <w:t>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xml:space="preserve">.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w:t>
      </w:r>
      <w:r w:rsidRPr="00934A33">
        <w:rPr>
          <w:noProof/>
          <w:sz w:val="24"/>
          <w:szCs w:val="24"/>
        </w:rPr>
        <w:lastRenderedPageBreak/>
        <w:t>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212125">
        <w:t xml:space="preserve"> </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 xml:space="preserve">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w:t>
      </w:r>
      <w:r w:rsidRPr="00E276A9">
        <w:rPr>
          <w:rFonts w:ascii="Times New Roman" w:hAnsi="Times New Roman"/>
          <w:sz w:val="24"/>
          <w:szCs w:val="24"/>
        </w:rPr>
        <w:lastRenderedPageBreak/>
        <w:t>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E276A9">
        <w:rPr>
          <w:rFonts w:ascii="Times New Roman" w:hAnsi="Times New Roman"/>
          <w:sz w:val="24"/>
          <w:szCs w:val="24"/>
        </w:rPr>
        <w:lastRenderedPageBreak/>
        <w:t xml:space="preserve">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lastRenderedPageBreak/>
        <w:t>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Pr="00E276A9">
        <w:rPr>
          <w:rFonts w:ascii="Times New Roman" w:hAnsi="Times New Roman"/>
          <w:bCs/>
          <w:sz w:val="24"/>
          <w:szCs w:val="24"/>
        </w:rPr>
        <w:lastRenderedPageBreak/>
        <w:t>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xml:space="preserve">  Федерального закона о </w:t>
      </w:r>
      <w:r w:rsidRPr="00E276A9">
        <w:rPr>
          <w:rFonts w:ascii="Times New Roman" w:hAnsi="Times New Roman"/>
          <w:sz w:val="24"/>
          <w:szCs w:val="24"/>
          <w:shd w:val="clear" w:color="auto" w:fill="FFFFFF"/>
        </w:rPr>
        <w:lastRenderedPageBreak/>
        <w:t>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8.16. Поставщик (подрядчик, исполнитель)вправе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lastRenderedPageBreak/>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былрасторгнут </w:t>
      </w:r>
      <w:r w:rsidRPr="00DF1A76">
        <w:rPr>
          <w:rFonts w:ascii="Times New Roman" w:hAnsi="Times New Roman"/>
          <w:sz w:val="24"/>
          <w:szCs w:val="24"/>
        </w:rPr>
        <w:lastRenderedPageBreak/>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002A7A0F">
        <w:rPr>
          <w:noProof/>
          <w:spacing w:val="-4"/>
        </w:rPr>
        <w:t xml:space="preserve"> </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индивидуальный предприниматель Санян Сюзанна</w:t>
            </w: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Гургеновна (ИП Санян Сюзанна Гургеновна)</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AA1D94">
              <w:rPr>
                <w:rFonts w:ascii="Times New Roman" w:hAnsi="Times New Roman"/>
                <w:color w:val="FFFFFF"/>
                <w:sz w:val="24"/>
                <w:szCs w:val="24"/>
                <w:lang w:val="en-US"/>
              </w:rPr>
              <w:t>syzanna</w:t>
            </w:r>
            <w:r w:rsidRPr="00AA1D94">
              <w:rPr>
                <w:rFonts w:ascii="Times New Roman" w:hAnsi="Times New Roman"/>
                <w:color w:val="FFFFFF"/>
                <w:sz w:val="24"/>
                <w:szCs w:val="24"/>
              </w:rPr>
              <w:t>_</w:t>
            </w:r>
            <w:r w:rsidRPr="00AA1D94">
              <w:rPr>
                <w:rFonts w:ascii="Times New Roman" w:hAnsi="Times New Roman"/>
                <w:color w:val="FFFFFF"/>
                <w:sz w:val="24"/>
                <w:szCs w:val="24"/>
                <w:lang w:val="en-US"/>
              </w:rPr>
              <w:t>sanyan</w:t>
            </w:r>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r w:rsidRPr="00AA1D94">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FEA" w:rsidRDefault="00914FEA" w:rsidP="00D465DB">
      <w:pPr>
        <w:spacing w:after="0" w:line="240" w:lineRule="auto"/>
      </w:pPr>
      <w:r>
        <w:separator/>
      </w:r>
    </w:p>
  </w:endnote>
  <w:endnote w:type="continuationSeparator" w:id="1">
    <w:p w:rsidR="00914FEA" w:rsidRDefault="00914FEA"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FEA" w:rsidRDefault="00914FEA" w:rsidP="00D465DB">
      <w:pPr>
        <w:spacing w:after="0" w:line="240" w:lineRule="auto"/>
      </w:pPr>
      <w:r>
        <w:separator/>
      </w:r>
    </w:p>
  </w:footnote>
  <w:footnote w:type="continuationSeparator" w:id="1">
    <w:p w:rsidR="00914FEA" w:rsidRDefault="00914FEA"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860039">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125"/>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0F"/>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5A0"/>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4B8A"/>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0F59"/>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6BAE"/>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360F"/>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2C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A98"/>
    <w:rsid w:val="007B0E76"/>
    <w:rsid w:val="007B152C"/>
    <w:rsid w:val="007B2AA6"/>
    <w:rsid w:val="007B2E58"/>
    <w:rsid w:val="007B2F24"/>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5BFD"/>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0039"/>
    <w:rsid w:val="008614CF"/>
    <w:rsid w:val="00861761"/>
    <w:rsid w:val="00862EE2"/>
    <w:rsid w:val="00863A0A"/>
    <w:rsid w:val="00863AE7"/>
    <w:rsid w:val="008647BB"/>
    <w:rsid w:val="00864918"/>
    <w:rsid w:val="00865347"/>
    <w:rsid w:val="00865A76"/>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444E"/>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4FEA"/>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57A20"/>
    <w:rsid w:val="00A626C1"/>
    <w:rsid w:val="00A62D31"/>
    <w:rsid w:val="00A650EB"/>
    <w:rsid w:val="00A65454"/>
    <w:rsid w:val="00A65DA2"/>
    <w:rsid w:val="00A67936"/>
    <w:rsid w:val="00A70AEA"/>
    <w:rsid w:val="00A71BA7"/>
    <w:rsid w:val="00A72B96"/>
    <w:rsid w:val="00A73F23"/>
    <w:rsid w:val="00A74D6C"/>
    <w:rsid w:val="00A800D1"/>
    <w:rsid w:val="00A805E0"/>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97C9B"/>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4B7C"/>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272C"/>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59C"/>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2D4"/>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6732"/>
    <w:rsid w:val="00F87C0A"/>
    <w:rsid w:val="00F91376"/>
    <w:rsid w:val="00F917FA"/>
    <w:rsid w:val="00F923B7"/>
    <w:rsid w:val="00F93B05"/>
    <w:rsid w:val="00F9426A"/>
    <w:rsid w:val="00F943DF"/>
    <w:rsid w:val="00F94BA3"/>
    <w:rsid w:val="00F95252"/>
    <w:rsid w:val="00F965C4"/>
    <w:rsid w:val="00F96DB9"/>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13</Pages>
  <Words>7448</Words>
  <Characters>42455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1098</cp:revision>
  <cp:lastPrinted>2026-03-19T11:45:00Z</cp:lastPrinted>
  <dcterms:created xsi:type="dcterms:W3CDTF">2018-02-13T09:51:00Z</dcterms:created>
  <dcterms:modified xsi:type="dcterms:W3CDTF">2026-08-19T10:04:00Z</dcterms:modified>
</cp:coreProperties>
</file>