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361F649" w14:textId="77777777">
      <w:pPr>
        <w:pBdr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ТЕХНИЧЕСКОЕ ЗАДАНИЕ НА ОКАЗАНИЕ УСЛУГ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 w14:paraId="6031F628" w14:textId="77777777">
      <w:pPr>
        <w:pBdr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tbl>
      <w:tblPr>
        <w:jc w:val="center"/>
        <w:tblW w:w="10205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pPr w:horzAnchor="text" w:tblpXSpec="center" w:vertAnchor="text" w:tblpY="1" w:leftFromText="180" w:topFromText="0" w:rightFromText="180" w:bottomFromText="0"/>
        <w:tblOverlap w:val="never"/>
        <w:tblLook w:val="01E0" w:firstRow="1" w:lastRow="1" w:firstColumn="1" w:lastColumn="1" w:noHBand="0" w:noVBand="0"/>
      </w:tblPr>
      <w:tblGrid>
        <w:gridCol w:w="10205"/>
      </w:tblGrid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77BD39BD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425" w:firstLine="0"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0205" w:type="dxa"/>
            <w:vAlign w:val="center"/>
          </w:tcPr>
          <w:p w14:paraId="58C9FD9E" w14:textId="77777777">
            <w:pPr>
              <w:pBdr/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в электронной форме на выполнение работ по составлению сметного расчета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цикле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шпатлеванию, нанесению лака на напольное покрытие и окраске стен </w:t>
              <w:br/>
              <w:t xml:space="preserve">в помещениях шестого этажа в здании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агентства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делам молодежи по адресу: </w:t>
              <w:br/>
              <w:t xml:space="preserve">г. Москва, Большой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Трёхсвятительский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пер., д. 2/1, с. 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7E9A30C0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67" w:firstLine="0"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Общие положения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0205" w:type="dxa"/>
            <w:vAlign w:val="center"/>
          </w:tcPr>
          <w:p w14:paraId="361C25D8" w14:textId="77777777">
            <w:pPr>
              <w:pBdr/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 изготавливает и передаёт Заказчику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сметный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расчёт.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0D5D231A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425" w:firstLine="0"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Место оказания услуг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ffffff" w:themeFill="background1"/>
            <w:tcBorders/>
            <w:tcW w:w="10205" w:type="dxa"/>
            <w:vAlign w:val="center"/>
          </w:tcPr>
          <w:p w14:paraId="44F85FD2" w14:textId="77777777">
            <w:pPr>
              <w:pBdr/>
              <w:spacing w:after="0" w:line="240" w:lineRule="auto"/>
              <w:ind w:right="-425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Российская Федерация, 129028, г. Москва,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Большой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Трёхсвятительский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пер., д. 2/1 с.2.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73916F43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425" w:firstLine="0"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оказания услуг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0205" w:type="dxa"/>
          </w:tcPr>
          <w:p w14:paraId="49F47CB1" w14:textId="77777777">
            <w:pPr>
              <w:pBdr/>
              <w:spacing w:after="0" w:line="240" w:lineRule="auto"/>
              <w:ind w:right="-42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течении 7 рабочих дней с момента заключения Контракта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67187C1E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425" w:firstLine="0"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и объемы услуг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401"/>
        </w:trPr>
        <w:tc>
          <w:tcPr>
            <w:shd w:val="clear" w:color="auto" w:fill="ffffff" w:themeFill="background1"/>
            <w:tcBorders/>
            <w:tcW w:w="10205" w:type="dxa"/>
          </w:tcPr>
          <w:tbl>
            <w:tblPr>
              <w:tblW w:w="11778" w:type="dxa"/>
              <w:tblBorders/>
              <w:tblLayout w:type="fixed"/>
              <w:tblLook w:val="01E0" w:firstRow="1" w:lastRow="1" w:firstColumn="1" w:lastColumn="1" w:noHBand="0" w:noVBand="0"/>
            </w:tblPr>
            <w:tblGrid>
              <w:gridCol w:w="782"/>
              <w:gridCol w:w="3504"/>
              <w:gridCol w:w="1417"/>
              <w:gridCol w:w="992"/>
              <w:gridCol w:w="5083"/>
            </w:tblGrid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2" w:type="dxa"/>
                  <w:vAlign w:val="center"/>
                </w:tcPr>
                <w:p w14:paraId="0E624BCA" w14:textId="77777777">
                  <w:pPr>
                    <w:framePr w:hAnchor="text" w:hSpace="180" w:vAnchor="text" w:wrap="around" w:xAlign="center" w:y="1"/>
                    <w:pBdr/>
                    <w:spacing w:before="234"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</w:p>
                <w:p w14:paraId="6C024DA9" w14:textId="77777777">
                  <w:pPr>
                    <w:pStyle w:val="916"/>
                    <w:framePr w:hAnchor="text" w:hSpace="180" w:vAnchor="text" w:wrap="around" w:xAlign="center" w:y="1"/>
                    <w:pBdr/>
                    <w:spacing w:before="1"/>
                    <w:ind w:right="-425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№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504" w:type="dxa"/>
                  <w:vAlign w:val="center"/>
                </w:tcPr>
                <w:p w14:paraId="2F6A3EF6" w14:textId="77777777">
                  <w:pPr>
                    <w:framePr w:hAnchor="text" w:hSpace="180" w:vAnchor="text" w:wrap="around" w:xAlign="center" w:y="1"/>
                    <w:pBdr/>
                    <w:spacing w:before="234"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</w:p>
                <w:p w14:paraId="19FE32DE" w14:textId="77777777">
                  <w:pPr>
                    <w:pStyle w:val="916"/>
                    <w:framePr w:hAnchor="text" w:hSpace="180" w:vAnchor="text" w:wrap="around" w:xAlign="center" w:y="1"/>
                    <w:pBdr/>
                    <w:spacing w:before="1"/>
                    <w:ind w:right="-42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Наименование работ и затрат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</w:tcPr>
                <w:p w14:paraId="47F23DC6" w14:textId="77777777">
                  <w:pPr>
                    <w:framePr w:hAnchor="text" w:hSpace="180" w:vAnchor="text" w:wrap="around" w:xAlign="center" w:y="1"/>
                    <w:pBdr/>
                    <w:spacing w:before="234"/>
                    <w:ind w:right="-74"/>
                    <w:jc w:val="center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</w:p>
                <w:p w14:paraId="3338A794" w14:textId="77777777">
                  <w:pPr>
                    <w:pStyle w:val="916"/>
                    <w:framePr w:hAnchor="text" w:hSpace="180" w:vAnchor="text" w:wrap="around" w:xAlign="center" w:y="1"/>
                    <w:pBdr/>
                    <w:spacing w:before="1"/>
                    <w:ind w:right="-74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Ед.изм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auto" w:sz="4" w:space="0"/>
                    <w:right w:val="single" w:color="auto" w:sz="4" w:space="0"/>
                  </w:tcBorders>
                  <w:tcW w:w="992" w:type="dxa"/>
                  <w:vAlign w:val="center"/>
                </w:tcPr>
                <w:p w14:paraId="1F8199A8" w14:textId="77777777">
                  <w:pPr>
                    <w:framePr w:hAnchor="text" w:hSpace="180" w:vAnchor="text" w:wrap="around" w:xAlign="center" w:y="1"/>
                    <w:pBdr/>
                    <w:spacing w:before="234"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</w:p>
                <w:p w14:paraId="49F0810C" w14:textId="77777777">
                  <w:pPr>
                    <w:pStyle w:val="916"/>
                    <w:framePr w:hAnchor="text" w:hSpace="180" w:vAnchor="text" w:wrap="around" w:xAlign="center" w:y="1"/>
                    <w:pBdr/>
                    <w:spacing w:before="1"/>
                    <w:ind w:right="-42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Кол-во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tcW w:w="5083" w:type="dxa"/>
                  <w:vAlign w:val="center"/>
                </w:tcPr>
                <w:p w14:paraId="2A9379FC" w14:textId="77777777">
                  <w:pPr>
                    <w:framePr w:hAnchor="text" w:hSpace="180" w:vAnchor="text" w:wrap="around" w:xAlign="center" w:y="1"/>
                    <w:pBdr/>
                    <w:spacing w:before="234"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r>
                </w:p>
                <w:p w14:paraId="76BB7D1A" w14:textId="77777777">
                  <w:pPr>
                    <w:pStyle w:val="916"/>
                    <w:framePr w:hAnchor="text" w:hSpace="180" w:vAnchor="text" w:wrap="around" w:xAlign="center" w:y="1"/>
                    <w:pBdr/>
                    <w:spacing w:before="1"/>
                    <w:ind w:right="-42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     Примечания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2" w:type="dxa"/>
                  <w:vAlign w:val="center"/>
                </w:tcPr>
                <w:p w14:paraId="5AED1ACE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504" w:type="dxa"/>
                  <w:vAlign w:val="center"/>
                </w:tcPr>
                <w:p w14:paraId="552A35B0" w14:textId="77777777">
                  <w:pPr>
                    <w:pStyle w:val="916"/>
                    <w:framePr w:hAnchor="text" w:hSpace="180" w:vAnchor="text" w:wrap="around" w:xAlign="center" w:y="1"/>
                    <w:pBdr/>
                    <w:spacing w:before="5"/>
                    <w:ind w:right="28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Материалы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</w:tcPr>
                <w:p w14:paraId="4F5A8D82" w14:textId="77777777">
                  <w:pPr>
                    <w:framePr w:hAnchor="text" w:hSpace="180" w:vAnchor="text" w:wrap="around" w:xAlign="center" w:y="1"/>
                    <w:pBdr/>
                    <w:spacing/>
                    <w:ind w:right="-74"/>
                    <w:jc w:val="center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auto" w:sz="4" w:space="0"/>
                    <w:right w:val="single" w:color="auto" w:sz="4" w:space="0"/>
                  </w:tcBorders>
                  <w:tcW w:w="992" w:type="dxa"/>
                  <w:vAlign w:val="center"/>
                </w:tcPr>
                <w:p w14:paraId="5FF395A2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tcW w:w="5083" w:type="dxa"/>
                  <w:vAlign w:val="center"/>
                </w:tcPr>
                <w:p w14:paraId="1EC046CA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2" w:type="dxa"/>
                  <w:vAlign w:val="center"/>
                </w:tcPr>
                <w:p w14:paraId="2E0AEE6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504" w:type="dxa"/>
                  <w:vAlign w:val="center"/>
                </w:tcPr>
                <w:p w14:paraId="746919D8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Краска стирол-акриловая (акриловая), производитель </w:t>
                  </w:r>
                  <w:r>
                    <w:rPr>
                      <w:rFonts w:ascii="Times New Roman" w:hAnsi="Times New Roman" w:eastAsia="Times New Roman" w:cs="Times New Roman"/>
                    </w:rPr>
                    <w:br/>
                    <w:t xml:space="preserve">ООО «НПП «Рогнеда», номер по каталогу </w:t>
                  </w:r>
                  <w:r>
                    <w:rPr>
                      <w:rFonts w:ascii="Times New Roman" w:hAnsi="Times New Roman" w:eastAsia="Times New Roman" w:cs="Times New Roman"/>
                      <w:lang w:val="en-US"/>
                    </w:rPr>
                    <w:t xml:space="preserve">NCS</w:t>
                  </w:r>
                  <w:r>
                    <w:rPr>
                      <w:rFonts w:ascii="Times New Roman" w:hAnsi="Times New Roman" w:eastAsia="Times New Roman" w:cs="Times New Roman"/>
                      <w:lang w:val="ru-RU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lang w:val="en-US"/>
                    </w:rPr>
                    <w:t xml:space="preserve">S 2030-G50Y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</w:tcPr>
                <w:p w14:paraId="7F115C4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л.</w:t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auto" w:sz="4" w:space="0"/>
                    <w:right w:val="single" w:color="auto" w:sz="4" w:space="0"/>
                  </w:tcBorders>
                  <w:tcW w:w="992" w:type="dxa"/>
                  <w:vAlign w:val="center"/>
                </w:tcPr>
                <w:p w14:paraId="580E8794" w14:textId="347FE7EB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120</w:t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tcW w:w="5083" w:type="dxa"/>
                  <w:vAlign w:val="center"/>
                </w:tcPr>
                <w:p w14:paraId="40742CFB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2" w:type="dxa"/>
                  <w:vAlign w:val="center"/>
                </w:tcPr>
                <w:p w14:paraId="2C2A3117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504" w:type="dxa"/>
                  <w:vAlign w:val="center"/>
                </w:tcPr>
                <w:p w14:paraId="69A9F800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Грун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товка под стирол-акриловую (акриловую) краску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</w:tcPr>
                <w:p w14:paraId="389BFE21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л.</w:t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auto" w:sz="4" w:space="0"/>
                    <w:right w:val="single" w:color="auto" w:sz="4" w:space="0"/>
                  </w:tcBorders>
                  <w:tcW w:w="992" w:type="dxa"/>
                  <w:vAlign w:val="center"/>
                </w:tcPr>
                <w:p w14:paraId="53710191" w14:textId="26A1BDE9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60</w:t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eastAsia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tcW w:w="5083" w:type="dxa"/>
                  <w:vAlign w:val="center"/>
                </w:tcPr>
                <w:p w14:paraId="3155FFC1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2" w:type="dxa"/>
                  <w:vAlign w:val="center"/>
                </w:tcPr>
                <w:p w14:paraId="235C38BE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504" w:type="dxa"/>
                  <w:vAlign w:val="center"/>
                </w:tcPr>
                <w:p w14:paraId="23F999B5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Лак для паркетного пола (масло для пола)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</w:tcPr>
                <w:p w14:paraId="398A6F93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л.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auto" w:sz="4" w:space="0"/>
                    <w:right w:val="single" w:color="auto" w:sz="4" w:space="0"/>
                  </w:tcBorders>
                  <w:tcW w:w="992" w:type="dxa"/>
                  <w:vAlign w:val="center"/>
                </w:tcPr>
                <w:p w14:paraId="0EE7246F" w14:textId="5F4ABAE9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80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tcW w:w="5083" w:type="dxa"/>
                  <w:vAlign w:val="center"/>
                </w:tcPr>
                <w:p w14:paraId="546D7B7B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919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00B59608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51496475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contextualSpacing w:val="true"/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Монтажные работы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r>
                </w:p>
                <w:p w14:paraId="079FB526" w14:textId="7D823081">
                  <w:pPr>
                    <w:framePr w:hAnchor="text" w:hSpace="180" w:vAnchor="text" w:wrap="around" w:xAlign="center" w:y="1"/>
                    <w:pBdr/>
                    <w:spacing/>
                    <w:ind/>
                    <w:contextualSpacing w:val="true"/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Каб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. 6.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14F52D2D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1CD2DDEF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6098D158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6DACED6D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1E1D510E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Укрытие поверхности пола и стен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65BB53A2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кв. м.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5E846DFA" w14:textId="1B662E4D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300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197C00E4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7EFC01AB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24D8F2C3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Оклейка и снятие малярной ленты с поверхности стен и потолка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31E5DD36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п.м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5A642733" w14:textId="108C1169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900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4F40AD69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42A043C6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1954E577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Демонтаж с сохранением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кабель каналов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68F3B43C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п.м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68564FDD" w14:textId="5A4DB9B5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5242CAF8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04495489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0C3CB968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Демонтаж деревянных плинтусов с сохранением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10A16FA6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п.м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1C44F4DF" w14:textId="7E1AF56C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8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1C72C004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3AB4E3A1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488D595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Демонтаж пожарного знака «Выход" и других приборов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71A99E92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компл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13352ED1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7A51D16D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3112579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27B7783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Сборка и разборка туры на высоту более 3-х метров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448C1546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ед.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4D18EDD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5069B2B7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6C0F70C3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2765D1BE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Циклевка паркета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082C3BF8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кв.м.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240559AF" w14:textId="41651641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60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7C4E5813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639A9DEF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3DA9C978" w14:textId="522097CD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Нанесение лака или масло на паркет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 (в 4 слоя)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35A2CCCC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кв.м.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41977D89" w14:textId="547E2763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60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6BB7B8EC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27322F50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4B4DE08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Грунтовка стен в 2 прохода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05ABDBC3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кв. м.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2D1A8236" w14:textId="28172D92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117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6D021832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0738BEE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2700D8A6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Ремонт повреждённых участков стен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66841046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компл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73714191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5AED4658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1D94BEFE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6E6FD56F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Покраска стен в 3 прохода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535C083F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кв. м.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0CB53BB8" w14:textId="50BE1593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117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1FC0CBBA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386C2191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275082D5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Монтаж плинтусов деревянных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56B7DFF9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п.м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67182EF1" w14:textId="0965FC05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8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25CDCB70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6B3C628B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069D5FDE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Монтаж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кабель каналов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5E737461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п.м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0E4497F1" w14:textId="28D098F4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78859ED6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5299FCC3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7882ABC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Монтаж пожарного знака «Выход» и других приборов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48055440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компл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0F7DFC6F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6F49F85A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6448B0FE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53BAF982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Доставка и подъем оборудования и материалов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4702C605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комп.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507386D5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7B086B1F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359AAFCD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0A57258A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Погрузка и вывоз мусора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4C47DF59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ед.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7C50265B" w14:textId="77777777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29DC66C6" w14:textId="77777777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4067000C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7486F9D0">
                  <w:pPr>
                    <w:framePr w:hAnchor="text" w:hSpace="180" w:vAnchor="text" w:wrap="around" w:xAlign="center" w:y="1"/>
                    <w:pBdr/>
                    <w:spacing/>
                    <w:ind/>
                    <w:contextualSpacing w:val="true"/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00000"/>
                    </w:rPr>
                    <w:t xml:space="preserve">Такелажные работы (Каб. 6.4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00000"/>
                    </w:rPr>
                    <w:t xml:space="preserve">)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color w:val="00000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4BD271FE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6F6453A0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65F36B82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  <w:tr>
              <w:trPr>
                <w:trHeight w:val="517"/>
              </w:trPr>
              <w:tc>
                <w:tcPr>
                  <w:shd w:val="clear" w:color="ffffff" w:fill="ffffff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82" w:type="dxa"/>
                  <w:vAlign w:val="center"/>
                  <w:vMerge w:val="restart"/>
                </w:tcPr>
                <w:p w14:paraId="4AEBDB80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504" w:type="dxa"/>
                  <w:vAlign w:val="center"/>
                  <w:vMerge w:val="restart"/>
                </w:tcPr>
                <w:p w14:paraId="685C868E">
                  <w:pPr>
                    <w:framePr w:hAnchor="text" w:hSpace="180" w:vAnchor="text" w:wrap="around" w:xAlign="center" w:y="1"/>
                    <w:pBdr/>
                    <w:spacing/>
                    <w:ind/>
                    <w:contextualSpacing w:val="true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00000"/>
                    </w:rPr>
                    <w:t xml:space="preserve">Вынос и занос мебели из/в помещения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/>
                      <w:color w:val="00000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vMerge w:val="restart"/>
                </w:tcPr>
                <w:p w14:paraId="60CD8084">
                  <w:pPr>
                    <w:framePr w:hAnchor="text" w:hSpace="180" w:vAnchor="text" w:wrap="around" w:xAlign="center" w:y="1"/>
                    <w:pBdr/>
                    <w:spacing/>
                    <w:ind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Чел-час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single" w:color="000000" w:themeColor="text1" w:sz="8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restart"/>
                </w:tcPr>
                <w:p w14:paraId="18DA8120">
                  <w:pPr>
                    <w:framePr w:hAnchor="text" w:hSpace="180" w:vAnchor="text" w:wrap="around" w:xAlign="center" w:y="1"/>
                    <w:pBdr/>
                    <w:spacing/>
                    <w:ind/>
                    <w:jc w:val="right"/>
                    <w:rPr>
                      <w:rFonts w:ascii="Times New Roman" w:hAnsi="Times New Roman" w:eastAsia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</w:rPr>
                  </w:r>
                </w:p>
              </w:tc>
              <w:tc>
                <w:tcPr>
                  <w:tcBorders>
                    <w:top w:val="none" w:color="000000" w:themeColor="text1" w:sz="4" w:space="0"/>
                    <w:left w:val="none" w:color="000000" w:themeColor="text1" w:sz="4" w:space="0"/>
                    <w:bottom w:val="single" w:color="000000" w:sz="4" w:space="0"/>
                    <w:right w:val="single" w:color="000000" w:sz="4" w:space="0"/>
                  </w:tcBorders>
                  <w:tcW w:w="5083" w:type="dxa"/>
                  <w:vAlign w:val="center"/>
                  <w:vMerge w:val="restart"/>
                </w:tcPr>
                <w:p w14:paraId="4F12806E">
                  <w:pPr>
                    <w:framePr w:hAnchor="text" w:hSpace="180" w:vAnchor="text" w:wrap="around" w:xAlign="center" w:y="1"/>
                    <w:pBdr/>
                    <w:spacing/>
                    <w:ind w:right="-425"/>
                    <w:jc w:val="left"/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</w:rPr>
                  </w:r>
                </w:p>
              </w:tc>
            </w:tr>
          </w:tbl>
          <w:p w14:paraId="7111F047" w14:textId="602B42D4">
            <w:pPr>
              <w:pStyle w:val="914"/>
              <w:pBdr/>
              <w:spacing w:after="0" w:line="240" w:lineRule="auto"/>
              <w:ind w:right="-425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24"/>
        </w:trPr>
        <w:tc>
          <w:tcPr>
            <w:shd w:val="clear" w:color="auto" w:fill="ffffff" w:themeFill="background1"/>
            <w:tcBorders/>
            <w:tcW w:w="10205" w:type="dxa"/>
          </w:tcPr>
          <w:p w14:paraId="7106CF89" w14:textId="77777777">
            <w:pPr>
              <w:pBdr/>
              <w:spacing w:before="234"/>
              <w:ind w:right="-425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0A438F2F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74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по выполнению сопутствующих работ, оказанию сопутствующих услуг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0205" w:type="dxa"/>
          </w:tcPr>
          <w:p w14:paraId="7F70E7C8" w14:textId="77777777">
            <w:pPr>
              <w:pBdr/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Заказчик (по запросу Исполнителя) передает: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2978D241" w14:textId="77777777">
            <w:pPr>
              <w:pBdr/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проекты на здания, при их наличии (разделы: архитектурные решения, конструктивные решения, системы водоснабжения и водоотведения, системы отопления, вентиляции и кондиционирования, электроснабжение, слаботочные системы, технологические решения);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1B26BEFD" w14:textId="77777777">
            <w:pPr>
              <w:pBdr/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планы БТИ (при необходимости);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2ED3EF40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67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Общие требования к оказанию услуг и их качеству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ffffff" w:themeFill="background1"/>
            <w:tcBorders/>
            <w:tcW w:w="10205" w:type="dxa"/>
            <w:vAlign w:val="center"/>
          </w:tcPr>
          <w:p w14:paraId="4F450CAA" w14:textId="77777777">
            <w:pPr>
              <w:keepNext w:val="true"/>
              <w:pBdr/>
              <w:tabs>
                <w:tab w:val="left" w:leader="none" w:pos="851"/>
              </w:tabs>
              <w:spacing w:after="0" w:line="240" w:lineRule="auto"/>
              <w:ind w:right="67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Для более качественного выполнения работ Подрядчик имеет право использовать необходимые технические средства, имеющие сертификат соответствия на территории РФ и действующие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сертификаты о поверке (при необходимости). Подрядчик должен иметь опыт проведения работ и иметь в штате квалифицированных специалистов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51C80586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67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безопасности оказания услуг и безопасности результатов услуг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bottom w:val="single" w:color="auto" w:sz="4" w:space="0"/>
            </w:tcBorders>
            <w:tcW w:w="10205" w:type="dxa"/>
            <w:vAlign w:val="center"/>
          </w:tcPr>
          <w:p w14:paraId="761F8360" w14:textId="77777777">
            <w:pPr>
              <w:pBdr/>
              <w:spacing w:after="0" w:line="240" w:lineRule="auto"/>
              <w:ind w:right="67"/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  <w:t xml:space="preserve">Подрядчик должен выполнять требования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  <w:t xml:space="preserve">по пропускному и внутриобъектовому режимах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  <w:t xml:space="preserve"> на любом из объектов Заказчика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>
              <w:bottom w:val="single" w:color="auto" w:sz="4" w:space="0"/>
            </w:tcBorders>
            <w:tcW w:w="10205" w:type="dxa"/>
          </w:tcPr>
          <w:p w14:paraId="4032FC21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425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Порядок сдачи и приемки результатов услуг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bottom w:val="single" w:color="auto" w:sz="4" w:space="0"/>
            </w:tcBorders>
            <w:tcW w:w="10205" w:type="dxa"/>
            <w:vAlign w:val="center"/>
          </w:tcPr>
          <w:p w14:paraId="2429D994" w14:textId="77777777">
            <w:pPr>
              <w:pBdr/>
              <w:spacing w:after="0" w:line="240" w:lineRule="auto"/>
              <w:ind w:right="-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 передаёт в бумажном носителе следующие документы: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748CCB12" w14:textId="77777777">
            <w:pPr>
              <w:pStyle w:val="914"/>
              <w:numPr>
                <w:ilvl w:val="0"/>
                <w:numId w:val="3"/>
              </w:numPr>
              <w:pBdr/>
              <w:spacing w:after="0" w:line="240" w:lineRule="auto"/>
              <w:ind w:right="-425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Оригинал сметного расчёта – 1 экз.;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5857563E" w14:textId="77777777">
            <w:pPr>
              <w:pStyle w:val="914"/>
              <w:numPr>
                <w:ilvl w:val="0"/>
                <w:numId w:val="3"/>
              </w:numPr>
              <w:pBdr/>
              <w:spacing w:after="0" w:line="240" w:lineRule="auto"/>
              <w:ind w:right="-425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 оказания услуг – 2 экз.;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29946729" w14:textId="77777777">
            <w:pPr>
              <w:pStyle w:val="914"/>
              <w:numPr>
                <w:ilvl w:val="0"/>
                <w:numId w:val="3"/>
              </w:numPr>
              <w:pBdr/>
              <w:spacing w:after="0" w:line="240" w:lineRule="auto"/>
              <w:ind w:right="-425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УПД – 1 экз.;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3D46532E" w14:textId="77777777">
            <w:pPr>
              <w:pStyle w:val="914"/>
              <w:numPr>
                <w:ilvl w:val="0"/>
                <w:numId w:val="3"/>
              </w:numPr>
              <w:pBdr/>
              <w:spacing w:after="0" w:line="240" w:lineRule="auto"/>
              <w:ind w:right="-425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Счёт-фактуру (при необходимости) – 2 экз.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4DF1E9E5" w14:textId="77777777">
            <w:pPr>
              <w:pStyle w:val="914"/>
              <w:numPr>
                <w:ilvl w:val="0"/>
                <w:numId w:val="3"/>
              </w:numPr>
              <w:pBdr/>
              <w:spacing w:after="0" w:line="240" w:lineRule="auto"/>
              <w:ind w:right="-425" w:firstLine="0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 приемки услуг по форме 0510452 - 1 экз.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 w14:paraId="54A6DC65" w14:textId="77777777">
            <w:pPr>
              <w:pStyle w:val="914"/>
              <w:pBdr/>
              <w:spacing w:after="0" w:line="240" w:lineRule="auto"/>
              <w:ind w:right="-425"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shd w:val="clear" w:color="auto" w:fill="b8cce4" w:themeFill="accent1" w:themeFillTint="66"/>
            <w:tcBorders/>
            <w:tcW w:w="10205" w:type="dxa"/>
          </w:tcPr>
          <w:p w14:paraId="65BE0B1D" w14:textId="77777777">
            <w:pPr>
              <w:numPr>
                <w:ilvl w:val="0"/>
                <w:numId w:val="1"/>
              </w:numPr>
              <w:pBdr/>
              <w:spacing w:after="0" w:line="240" w:lineRule="auto"/>
              <w:ind w:right="-425" w:firstLine="0"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по сроку гарантий качества на результаты услуг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0205" w:type="dxa"/>
          </w:tcPr>
          <w:p w14:paraId="64E22D1D" w14:textId="77777777">
            <w:pPr>
              <w:pBdr/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Гарантийный срок на предоставленную услугу – 12 месяцев с момента подписания Акта оказания услуг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 w14:paraId="41ABB283" w14:textId="77777777">
      <w:pPr>
        <w:pBdr/>
        <w:spacing/>
        <w:ind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46530BC" w14:textId="77777777"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 w14:paraId="00486465" w14:textId="77777777"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CE8009B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6B70716F" w14:textId="77777777">
      <w:pPr>
        <w:pBdr/>
        <w:spacing w:after="0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672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E3378C5"/>
    <w:lvl w:ilvl="0">
      <w:isLgl w:val="false"/>
      <w:lvlJc w:val="left"/>
      <w:lvlText w:val="%1."/>
      <w:numFmt w:val="decimal"/>
      <w:pPr>
        <w:pBdr/>
        <w:spacing/>
        <w:ind w:hanging="360" w:left="475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4"/>
      </w:pPr>
      <w:rPr/>
      <w:start w:val="1"/>
      <w:suff w:val="tab"/>
    </w:lvl>
  </w:abstractNum>
  <w:abstractNum w:abstractNumId="2">
    <w:nsid w:val="5CCB10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565140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0">
    <w:name w:val="Heading 2 Char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1">
    <w:name w:val="Heading 3 Char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2">
    <w:name w:val="Heading 4 Char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3">
    <w:name w:val="Heading 5 Char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4">
    <w:name w:val="Heading 6 Char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5">
    <w:name w:val="Heading 7 Char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6">
    <w:name w:val="Heading 8 Char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7">
    <w:name w:val="Heading 9 Char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>
    <w:name w:val="Title Char"/>
    <w:basedOn w:val="736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9">
    <w:name w:val="Subtitle Char"/>
    <w:basedOn w:val="736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0">
    <w:name w:val="Quote Char"/>
    <w:basedOn w:val="736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Intense Quote Char"/>
    <w:basedOn w:val="736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Header Char"/>
    <w:basedOn w:val="736"/>
    <w:link w:val="891"/>
    <w:uiPriority w:val="99"/>
    <w:pPr>
      <w:pBdr/>
      <w:spacing/>
      <w:ind/>
    </w:pPr>
  </w:style>
  <w:style w:type="character" w:styleId="723">
    <w:name w:val="Footer Char"/>
    <w:basedOn w:val="736"/>
    <w:link w:val="893"/>
    <w:uiPriority w:val="99"/>
    <w:pPr>
      <w:pBdr/>
      <w:spacing/>
      <w:ind/>
    </w:pPr>
  </w:style>
  <w:style w:type="character" w:styleId="724">
    <w:name w:val="Footnote Text Char"/>
    <w:basedOn w:val="736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725">
    <w:name w:val="Endnote Text Char"/>
    <w:basedOn w:val="736"/>
    <w:link w:val="899"/>
    <w:uiPriority w:val="99"/>
    <w:semiHidden/>
    <w:pPr>
      <w:pBdr/>
      <w:spacing/>
      <w:ind/>
    </w:pPr>
    <w:rPr>
      <w:sz w:val="20"/>
      <w:szCs w:val="20"/>
    </w:rPr>
  </w:style>
  <w:style w:type="paragraph" w:styleId="726" w:default="1">
    <w:name w:val="Normal"/>
    <w:qFormat/>
    <w:pPr>
      <w:pBdr/>
      <w:spacing w:after="200" w:line="276" w:lineRule="auto"/>
      <w:ind/>
      <w:jc w:val="both"/>
    </w:pPr>
    <w:rPr>
      <w:sz w:val="22"/>
      <w:szCs w:val="22"/>
      <w:lang w:eastAsia="en-US"/>
    </w:rPr>
  </w:style>
  <w:style w:type="paragraph" w:styleId="727">
    <w:name w:val="Heading 1"/>
    <w:basedOn w:val="726"/>
    <w:next w:val="72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8">
    <w:name w:val="Heading 2"/>
    <w:basedOn w:val="726"/>
    <w:next w:val="72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9">
    <w:name w:val="Heading 3"/>
    <w:basedOn w:val="726"/>
    <w:next w:val="72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0">
    <w:name w:val="Heading 4"/>
    <w:basedOn w:val="726"/>
    <w:next w:val="72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1">
    <w:name w:val="Heading 5"/>
    <w:basedOn w:val="726"/>
    <w:next w:val="72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2">
    <w:name w:val="Heading 6"/>
    <w:basedOn w:val="726"/>
    <w:next w:val="72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3">
    <w:name w:val="Heading 7"/>
    <w:basedOn w:val="726"/>
    <w:next w:val="72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4">
    <w:name w:val="Heading 8"/>
    <w:basedOn w:val="726"/>
    <w:next w:val="72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5">
    <w:name w:val="Heading 9"/>
    <w:basedOn w:val="726"/>
    <w:next w:val="72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>
    <w:name w:val="Placeholder Text"/>
    <w:basedOn w:val="736"/>
    <w:uiPriority w:val="99"/>
    <w:semiHidden/>
    <w:pPr>
      <w:pBdr/>
      <w:spacing/>
      <w:ind/>
    </w:pPr>
    <w:rPr>
      <w:color w:val="666666"/>
    </w:rPr>
  </w:style>
  <w:style w:type="table" w:styleId="740">
    <w:name w:val="Table Grid"/>
    <w:basedOn w:val="73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Table Grid Light"/>
    <w:basedOn w:val="7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1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2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3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4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5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6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1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2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3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4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5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6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7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8" w:customStyle="1">
    <w:name w:val="Заголовок 3 Знак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9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0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1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726"/>
    <w:next w:val="72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 w:customStyle="1">
    <w:name w:val="Заголовок Знак"/>
    <w:basedOn w:val="736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726"/>
    <w:next w:val="72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Подзаголовок Знак"/>
    <w:basedOn w:val="736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726"/>
    <w:next w:val="72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 w:customStyle="1">
    <w:name w:val="Цитата 2 Знак"/>
    <w:basedOn w:val="736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73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2">
    <w:name w:val="Intense Quote"/>
    <w:basedOn w:val="726"/>
    <w:next w:val="726"/>
    <w:link w:val="88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3" w:customStyle="1">
    <w:name w:val="Выделенная цитата Знак"/>
    <w:basedOn w:val="736"/>
    <w:link w:val="88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4">
    <w:name w:val="Intense Reference"/>
    <w:basedOn w:val="73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5">
    <w:name w:val="No Spacing"/>
    <w:basedOn w:val="726"/>
    <w:uiPriority w:val="1"/>
    <w:qFormat/>
    <w:pPr>
      <w:pBdr/>
      <w:spacing w:after="0" w:line="240" w:lineRule="auto"/>
      <w:ind/>
    </w:pPr>
  </w:style>
  <w:style w:type="character" w:styleId="886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1">
    <w:name w:val="Header"/>
    <w:basedOn w:val="726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 w:customStyle="1">
    <w:name w:val="Верхний колонтитул Знак"/>
    <w:basedOn w:val="736"/>
    <w:link w:val="891"/>
    <w:uiPriority w:val="99"/>
    <w:pPr>
      <w:pBdr/>
      <w:spacing/>
      <w:ind/>
    </w:pPr>
  </w:style>
  <w:style w:type="paragraph" w:styleId="893">
    <w:name w:val="Footer"/>
    <w:basedOn w:val="726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 w:customStyle="1">
    <w:name w:val="Нижний колонтитул Знак"/>
    <w:basedOn w:val="736"/>
    <w:link w:val="893"/>
    <w:uiPriority w:val="99"/>
    <w:pPr>
      <w:pBdr/>
      <w:spacing/>
      <w:ind/>
    </w:pPr>
  </w:style>
  <w:style w:type="paragraph" w:styleId="895">
    <w:name w:val="Caption"/>
    <w:basedOn w:val="726"/>
    <w:next w:val="726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96">
    <w:name w:val="footnote text"/>
    <w:basedOn w:val="726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 w:customStyle="1">
    <w:name w:val="Текст сноски Знак"/>
    <w:basedOn w:val="736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26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 w:customStyle="1">
    <w:name w:val="Текст концевой сноски Знак"/>
    <w:basedOn w:val="736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FollowedHyperlink"/>
    <w:basedOn w:val="73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3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904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905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906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907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908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909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910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911">
    <w:name w:val="toc 9"/>
    <w:basedOn w:val="726"/>
    <w:next w:val="726"/>
    <w:uiPriority w:val="39"/>
    <w:unhideWhenUsed/>
    <w:pPr>
      <w:pBdr/>
      <w:spacing w:after="100"/>
      <w:ind w:left="1760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26"/>
    <w:next w:val="726"/>
    <w:uiPriority w:val="99"/>
    <w:unhideWhenUsed/>
    <w:pPr>
      <w:pBdr/>
      <w:spacing w:after="0"/>
      <w:ind/>
    </w:pPr>
  </w:style>
  <w:style w:type="paragraph" w:styleId="914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915">
    <w:name w:val="Hyperlink"/>
    <w:basedOn w:val="736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16" w:customStyle="1">
    <w:name w:val="Table Paragraph"/>
    <w:basedOn w:val="726"/>
    <w:uiPriority w:val="1"/>
    <w:qFormat/>
    <w:pPr>
      <w:pBdr/>
      <w:spacing/>
      <w:ind/>
      <w:jc w:val="center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2026-05-22T08:16:00Z</dcterms:created>
  <dcterms:modified xsi:type="dcterms:W3CDTF">2026-06-23T07:27:59Z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A0DD4A4C67E24729B8980FAEAC3FB564_13</vt:lpwstr>
  </property>
</Properties>
</file>