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П</w:t>
      </w:r>
      <w:r>
        <w:rPr>
          <w:rFonts w:eastAsia="Batang"/>
          <w:b/>
          <w:sz w:val="22"/>
          <w:szCs w:val="22"/>
        </w:rPr>
        <w:t xml:space="preserve">риложение к </w:t>
      </w:r>
      <w:r>
        <w:rPr>
          <w:rFonts w:eastAsia="Batang"/>
          <w:b/>
          <w:sz w:val="22"/>
          <w:szCs w:val="22"/>
        </w:rPr>
        <w:t xml:space="preserve"> закупочной сессии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shd w:val="clear" w:color="ffffff" w:fill="ffffff"/>
        <w:rPr>
          <w:rFonts w:eastAsia="Arial"/>
          <w:b/>
          <w:bCs/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  <w:sz w:val="22"/>
          <w:szCs w:val="22"/>
        </w:rPr>
        <w:t xml:space="preserve">                                                             ИКЗ </w:t>
      </w:r>
      <w:r>
        <w:rPr>
          <w:rFonts w:eastAsia="Tahoma"/>
          <w:color w:val="000000"/>
          <w:sz w:val="22"/>
          <w:szCs w:val="22"/>
        </w:rPr>
        <w:t xml:space="preserve"> </w:t>
      </w:r>
      <w:r>
        <w:rPr>
          <w:rFonts w:eastAsia="Tahoma"/>
          <w:b/>
          <w:bCs/>
          <w:color w:val="000000"/>
          <w:lang w:eastAsia="en-US"/>
        </w:rPr>
        <w:t xml:space="preserve">261773301215177330100100270000000244</w:t>
      </w:r>
      <w:r>
        <w:rPr>
          <w:rFonts w:eastAsia="Arial"/>
          <w:b/>
          <w:bCs/>
          <w:sz w:val="22"/>
          <w:szCs w:val="22"/>
          <w:lang w:eastAsia="en-US"/>
        </w:rPr>
      </w:r>
      <w:r>
        <w:rPr>
          <w:rFonts w:eastAsia="Arial"/>
          <w:b/>
          <w:bCs/>
          <w:sz w:val="22"/>
          <w:szCs w:val="22"/>
          <w:lang w:eastAsia="en-US"/>
        </w:rPr>
      </w:r>
    </w:p>
    <w:p>
      <w:pPr>
        <w:shd w:val="clear" w:color="ffffff" w:fill="ffffff"/>
        <w:rPr>
          <w:b/>
          <w:bCs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  <w:sz w:val="22"/>
          <w:szCs w:val="22"/>
        </w:rPr>
        <w:outlineLvl w:val="3"/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pStyle w:val="917"/>
        <w:ind w:left="25" w:right="203"/>
        <w:jc w:val="both"/>
        <w:spacing w:before="16" w:line="232" w:lineRule="auto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/>
          <w:bCs/>
          <w:lang w:val="ru-RU"/>
        </w:rPr>
        <w:t xml:space="preserve">        </w:t>
      </w:r>
      <w:r>
        <w:rPr>
          <w:rFonts w:ascii="Times New Roman" w:hAnsi="Times New Roman"/>
          <w:b w:val="0"/>
          <w:bCs w:val="0"/>
          <w:lang w:val="ru-RU"/>
        </w:rPr>
        <w:t xml:space="preserve">1.1. Поставщик обязуется осуществить поставку фиксатора для мышей (Далее – товар), а Заказчик обязуется принять и оплатить товар в порядке и на условиях, предусмотренных электронным </w:t>
      </w:r>
      <w:r>
        <w:rPr>
          <w:rFonts w:ascii="Times New Roman" w:hAnsi="Times New Roman"/>
          <w:b w:val="0"/>
          <w:bCs w:val="0"/>
          <w:lang w:val="ru-RU"/>
        </w:rPr>
        <w:t xml:space="preserve">К</w:t>
      </w:r>
      <w:r>
        <w:rPr>
          <w:rFonts w:ascii="Times New Roman" w:hAnsi="Times New Roman"/>
          <w:b w:val="0"/>
          <w:bCs w:val="0"/>
          <w:lang w:val="ru-RU"/>
        </w:rPr>
        <w:t xml:space="preserve">онтрактом.</w:t>
      </w:r>
      <w:r>
        <w:rPr>
          <w:rFonts w:ascii="Times New Roman" w:hAnsi="Times New Roman"/>
          <w:b w:val="0"/>
          <w:bCs w:val="0"/>
        </w:rPr>
      </w:r>
      <w:r>
        <w:rPr>
          <w:rFonts w:ascii="Times New Roman" w:hAnsi="Times New Roman"/>
          <w:b w:val="0"/>
          <w:bCs w:val="0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Контрактом.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.2. Поставщик гарантирует безопасность Товара в соответствии с требова</w:t>
      </w:r>
      <w:r>
        <w:rPr>
          <w:rFonts w:eastAsia="Calibri"/>
          <w:sz w:val="22"/>
          <w:szCs w:val="22"/>
          <w:lang w:eastAsia="en-US"/>
        </w:rPr>
        <w:t xml:space="preserve">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</w:t>
      </w:r>
      <w:r>
        <w:rPr>
          <w:rFonts w:eastAsia="Calibri"/>
          <w:sz w:val="22"/>
          <w:szCs w:val="22"/>
          <w:lang w:eastAsia="en-US"/>
        </w:rPr>
        <w:t xml:space="preserve">тосанитарным нормам.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.6.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.7.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.8.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/>
      <w:bookmarkStart w:id="0" w:name="Par162"/>
      <w:r/>
      <w:bookmarkEnd w:id="0"/>
      <w:r>
        <w:rPr>
          <w:rFonts w:eastAsia="Calibri"/>
          <w:sz w:val="22"/>
          <w:szCs w:val="22"/>
          <w:lang w:eastAsia="en-US"/>
        </w:rPr>
        <w:t xml:space="preserve">2</w:t>
      </w:r>
      <w:r>
        <w:rPr>
          <w:rFonts w:eastAsia="Calibri"/>
          <w:sz w:val="22"/>
          <w:szCs w:val="22"/>
          <w:lang w:eastAsia="en-US"/>
        </w:rPr>
        <w:t xml:space="preserve">.9.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3.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jc w:val="both"/>
        <w:shd w:val="clear" w:color="auto" w:fill="ffffff"/>
        <w:rPr>
          <w:b/>
          <w:bCs/>
          <w:color w:val="1a1a1a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    </w:t>
      </w:r>
      <w:r>
        <w:rPr>
          <w:sz w:val="22"/>
          <w:szCs w:val="22"/>
          <w:lang w:eastAsia="ru-RU"/>
        </w:rPr>
        <w:t xml:space="preserve">3.1. </w:t>
      </w:r>
      <w:r>
        <w:rPr>
          <w:iCs/>
          <w:sz w:val="22"/>
          <w:szCs w:val="22"/>
          <w:lang w:eastAsia="ru-RU"/>
        </w:rPr>
        <w:t xml:space="preserve">Товар Заказчику поставляется </w:t>
      </w:r>
      <w:r>
        <w:rPr>
          <w:iCs/>
          <w:sz w:val="22"/>
          <w:szCs w:val="22"/>
          <w:lang w:eastAsia="ru-RU"/>
        </w:rPr>
        <w:t xml:space="preserve">в течение 120 (сто двадцать) календарных дней с даты заключения контракта.</w:t>
      </w:r>
      <w:r>
        <w:rPr>
          <w:b/>
          <w:bCs/>
          <w:color w:val="1a1a1a"/>
          <w:sz w:val="22"/>
          <w:szCs w:val="22"/>
        </w:rPr>
      </w:r>
      <w:r>
        <w:rPr>
          <w:b/>
          <w:bCs/>
          <w:color w:val="1a1a1a"/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ru-RU"/>
        </w:rPr>
        <w:t xml:space="preserve">3.2. </w:t>
      </w:r>
      <w:r>
        <w:rPr>
          <w:sz w:val="22"/>
          <w:szCs w:val="22"/>
          <w:lang w:eastAsia="ru-RU"/>
        </w:rPr>
        <w:t xml:space="preserve">Поставка товара осуществляется в рабочие дни по адресу: г. Москва, переулок Обуха, дом 5, строение 2 (далее – место доставки).</w:t>
      </w:r>
      <w:r>
        <w:rPr>
          <w:iCs/>
          <w:sz w:val="22"/>
          <w:szCs w:val="22"/>
          <w:lang w:eastAsia="ru-RU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Пост</w:t>
      </w:r>
      <w:r>
        <w:rPr>
          <w:sz w:val="22"/>
          <w:szCs w:val="22"/>
        </w:rPr>
        <w:t xml:space="preserve">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счет-фактуры в соответствии с налоговым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сертификата соответствия или декларации о соответствии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3.5. Упаковка и маркировка товара должны соответствовать требованиям ГОСТ 17527-2020 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3.8.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4.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contextualSpacing/>
        <w:ind w:firstLine="709"/>
        <w:rPr>
          <w:rFonts w:eastAsia="Calibri"/>
          <w:sz w:val="22"/>
          <w:szCs w:val="22"/>
          <w:lang w:eastAsia="en-US"/>
        </w:rPr>
      </w:pPr>
      <w:r>
        <w:rPr>
          <w:rFonts w:eastAsia="Batang"/>
          <w:sz w:val="22"/>
          <w:szCs w:val="22"/>
        </w:rPr>
        <w:t xml:space="preserve"> </w:t>
      </w:r>
      <w:r>
        <w:rPr>
          <w:rFonts w:eastAsia="Batang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eastAsia="Batang"/>
          <w:b w:val="0"/>
          <w:bCs w:val="0"/>
          <w:sz w:val="22"/>
          <w:szCs w:val="22"/>
          <w:highlight w:val="white"/>
        </w:rPr>
        <w:t xml:space="preserve">4</w:t>
      </w:r>
      <w:r>
        <w:rPr>
          <w:rFonts w:eastAsia="Calibri"/>
          <w:sz w:val="22"/>
          <w:szCs w:val="22"/>
          <w:lang w:eastAsia="en-US"/>
        </w:rPr>
        <w:t xml:space="preserve">.1. Цена Контракта в соответствии со сведениями, изложенными в электронном контракте ЕАТ.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eastAsia="Calibri"/>
          <w:sz w:val="22"/>
          <w:szCs w:val="22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/>
      <w:bookmarkStart w:id="0" w:name="undefined"/>
      <w:r/>
      <w:bookmarkEnd w:id="0"/>
      <w:r>
        <w:rPr>
          <w:rFonts w:eastAsia="Calibri"/>
          <w:sz w:val="22"/>
          <w:szCs w:val="22"/>
          <w:lang w:eastAsia="en-US"/>
        </w:rPr>
        <w:t xml:space="preserve">4.3.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 и Контрактом.</w:t>
      </w:r>
      <w:bookmarkStart w:id="0" w:name="undefined"/>
      <w:r/>
      <w:bookmarkEnd w:id="0"/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highlight w:val="white"/>
        </w:rPr>
      </w:pPr>
      <w:r>
        <w:rPr>
          <w:rFonts w:eastAsia="Calibri"/>
          <w:sz w:val="22"/>
          <w:szCs w:val="22"/>
          <w:lang w:eastAsia="en-US"/>
        </w:rPr>
        <w:t xml:space="preserve">4.4. Цена Контракта может быть изменена, если по предложению Заказчика увеличивается предусмотренное Контрактом количество Товара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не более чем на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десять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процентов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или уменьшается предусмотренное Контрактом количество поставляемого Товара не более чем на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десять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 процентов. При этом по соглашению Сторон допускается и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зменение, с учетом положений бюджетного законодательства Российской Федерации, цены Контракта пропорционально дополнительному количеству Товара, исходя из установленной в Контракте цены единицы Товара, но не более чем на тридцать процентов цены Контракта. </w:t>
      </w:r>
      <w:r>
        <w:rPr>
          <w:rFonts w:eastAsia="Calibri"/>
          <w:sz w:val="22"/>
          <w:szCs w:val="22"/>
          <w:highlight w:val="white"/>
          <w:lang w:eastAsia="en-US"/>
        </w:rPr>
      </w:r>
      <w:r>
        <w:rPr>
          <w:rFonts w:eastAsia="Calibri"/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highlight w:val="white"/>
          <w:lang w:eastAsia="en-US"/>
        </w:rPr>
        <w:t xml:space="preserve">При уменьшении предусмотренного Контрактом количества Товара Стороны Контракта обязаны уменьшить цену Контракта исходя из цены единицы Товара. Цена единицы 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</w:t>
      </w:r>
      <w:r>
        <w:rPr>
          <w:rFonts w:eastAsia="Calibri"/>
          <w:sz w:val="22"/>
          <w:szCs w:val="22"/>
          <w:lang w:eastAsia="en-US"/>
        </w:rPr>
        <w:t xml:space="preserve">ены Контракта на предусмотренное в Контракте количество Товара.</w:t>
      </w:r>
      <w:bookmarkStart w:id="0" w:name="undefined"/>
      <w:r/>
      <w:bookmarkEnd w:id="0"/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4.6. Оплата по Контракту осуществляется в рублях Российской Федерации.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540"/>
        <w:jc w:val="both"/>
        <w:rPr>
          <w:rFonts w:eastAsiaTheme="minorHAnsi"/>
          <w:b/>
          <w:bCs/>
          <w:color w:val="000000" w:themeColor="text1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4.6.1. </w:t>
      </w:r>
      <w:r>
        <w:rPr>
          <w:rFonts w:eastAsiaTheme="minorHAnsi"/>
          <w:sz w:val="22"/>
          <w:szCs w:val="22"/>
          <w:lang w:eastAsia="en-US"/>
        </w:rPr>
        <w:t xml:space="preserve">Оплата по Контракту осуществляется за счет средств бюджетных учреждений, полученных Заказчиком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по Соглашению о предоставлении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из федерального бюджета гранта в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форме субсидий на осуществление государственной поддержки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программ развития научных це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  <w:t xml:space="preserve">нтров мирового уровня, выполняющих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  <w:t xml:space="preserve">исследования и разработки по приоритетным направлениям научно-технологического развития 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  <w:t xml:space="preserve">(от «06» мая 2026 г. № 075-15-2026-326, идентификатор соглашения </w:t>
      </w:r>
      <w:r>
        <w:rPr>
          <w:rFonts w:eastAsiaTheme="minorHAnsi"/>
          <w:b/>
          <w:bCs/>
          <w:color w:val="000000" w:themeColor="text1"/>
          <w:sz w:val="22"/>
          <w:szCs w:val="22"/>
          <w:highlight w:val="white"/>
          <w:lang w:eastAsia="en-US"/>
        </w:rPr>
        <w:t xml:space="preserve">0000000007526RCU0002</w:t>
      </w:r>
      <w:r>
        <w:rPr>
          <w:rFonts w:eastAsiaTheme="minorHAnsi"/>
          <w:b/>
          <w:bCs/>
          <w:color w:val="000000" w:themeColor="text1"/>
          <w:sz w:val="22"/>
          <w:szCs w:val="22"/>
          <w:highlight w:val="white"/>
          <w:lang w:eastAsia="en-US"/>
        </w:rPr>
        <w:t xml:space="preserve">. 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  <w:t xml:space="preserve">Код вида расходов – 244.</w:t>
      </w:r>
      <w:r>
        <w:rPr>
          <w:rFonts w:eastAsiaTheme="minorHAnsi"/>
          <w:b/>
          <w:bCs/>
          <w:color w:val="000000" w:themeColor="text1"/>
          <w:sz w:val="22"/>
          <w:szCs w:val="22"/>
          <w:lang w:eastAsia="en-US"/>
        </w:rPr>
      </w:r>
      <w:r>
        <w:rPr>
          <w:rFonts w:eastAsiaTheme="minorHAnsi"/>
          <w:b/>
          <w:bCs/>
          <w:color w:val="000000" w:themeColor="text1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4.7. Цена Контракта включает в себя стоимость товара, а также все расходы на страхование, транспортировку, погрузочно-разгрузочные работы, доставку товара по адресу, указ</w:t>
      </w:r>
      <w:r>
        <w:rPr>
          <w:rFonts w:eastAsia="Calibri"/>
          <w:sz w:val="22"/>
          <w:szCs w:val="22"/>
          <w:lang w:eastAsia="en-US"/>
        </w:rPr>
        <w:t xml:space="preserve">анному в Контракте, стоимость упаковки,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уплату налогов, пошлин, таможенных сборов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4.8. </w:t>
      </w:r>
      <w:r>
        <w:rPr>
          <w:sz w:val="22"/>
          <w:szCs w:val="22"/>
          <w:highlight w:val="white"/>
        </w:rPr>
        <w:t xml:space="preserve">Оплата Товара по Контракту производится Заказчиком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на основании надлежаще оформленных и подписанных Сторонами Акта приемки-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передачи товара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(в соответствии с п. 5.1.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), УПД, счета путем перечисления денежных средств на расчетный счет Поставщика в течение 7 (семи) рабочих дней с момента подписания Заказчиком Акта приемки-передачи товара. Авансовый платеж не предусмотрен.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4</w:t>
      </w:r>
      <w:r>
        <w:rPr>
          <w:sz w:val="22"/>
          <w:szCs w:val="22"/>
          <w:highlight w:val="white"/>
        </w:rPr>
        <w:t xml:space="preserve">.9. В случае ненадлежащего исполнения Поставщиком обязательств, предусмотренных Контрактом, в том числе нарушения с</w:t>
      </w:r>
      <w:r>
        <w:rPr>
          <w:sz w:val="22"/>
          <w:szCs w:val="22"/>
        </w:rPr>
        <w:t xml:space="preserve">рока поставки Товара по Контракту (этапу), Заказчик вправе произвести оплату поставленного по Контракту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4.10. Оплата по Контракту ос</w:t>
      </w:r>
      <w:r>
        <w:rPr>
          <w:sz w:val="22"/>
          <w:szCs w:val="22"/>
        </w:rPr>
        <w:t xml:space="preserve">ущес</w:t>
      </w:r>
      <w:r>
        <w:rPr>
          <w:sz w:val="22"/>
          <w:szCs w:val="22"/>
        </w:rPr>
        <w:t xml:space="preserve">твляется по безналичному расчету платежными поручениями путем перечисления Заказчиком денежных средств на расчетный счет Поставщика, указанный в электронном Контракте ЕАТ. В случае изменения расчетного счета Поставщик обязан в трехдневный срок с момента из</w:t>
      </w:r>
      <w:r>
        <w:rPr>
          <w:sz w:val="22"/>
          <w:szCs w:val="22"/>
        </w:rPr>
        <w:t xml:space="preserve">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Обязательства Заказчика по оплате считаются исполненными с момента списания </w:t>
      </w:r>
      <w:r>
        <w:rPr>
          <w:rFonts w:eastAsiaTheme="minorHAnsi"/>
          <w:sz w:val="22"/>
          <w:szCs w:val="22"/>
          <w:lang w:eastAsia="en-US"/>
        </w:rPr>
        <w:t xml:space="preserve">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4.11. Отказ Поставщика от исполнения своих обязательств возможен только в случае существенных нарушений условий Контракта Заказчиком.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 w:val="0"/>
          <w:bCs w:val="0"/>
          <w:sz w:val="22"/>
          <w:szCs w:val="22"/>
          <w:highlight w:val="white"/>
        </w:rPr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bCs/>
          <w:sz w:val="22"/>
          <w:szCs w:val="22"/>
        </w:rPr>
        <w:t xml:space="preserve">5. Порядок Приемки товара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оригиналы следующих документов: товарной накладной, товарно-транспортной накладной, счета, счета-фактуры (в со</w:t>
      </w:r>
      <w:r>
        <w:rPr>
          <w:sz w:val="22"/>
          <w:szCs w:val="22"/>
        </w:rPr>
        <w:t xml:space="preserve">ответствии с налоговым законодательством РФ), сертификата соответствия (декларации о соответствии), обязательные для данного вида товара, </w:t>
      </w:r>
      <w:r>
        <w:rPr>
          <w:sz w:val="22"/>
          <w:szCs w:val="22"/>
        </w:rPr>
        <w:t xml:space="preserve">заводской паспорт с отметкой о гарантийных обязательствах </w:t>
      </w:r>
      <w:r>
        <w:rPr>
          <w:sz w:val="22"/>
          <w:szCs w:val="22"/>
        </w:rPr>
        <w:t xml:space="preserve">и иные документы, подтверждающие качество Товара, оформленные в соответствии с законодательством Российской Федера</w:t>
      </w:r>
      <w:r>
        <w:rPr>
          <w:b w:val="0"/>
          <w:bCs w:val="0"/>
          <w:sz w:val="22"/>
          <w:szCs w:val="22"/>
        </w:rPr>
        <w:t xml:space="preserve">ции.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</w:rPr>
        <w:t xml:space="preserve">5.1.1. 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риемка Товара оформляется Актом приемки. Акт приемки оформляется по форме приложения к настоящему договору, а также по форме ОКУД 0510452 (Приказ Минфина РФ от 15.04.2021 г. № 61н). Заказчик вправе под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писать Акт приемки по форме ОКУД 0510452 в одностороннем порядке, за исключением случаев выявления качественных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ли количественных расхождений поставленного товара (оказанных услуг, выполненных работ) с условиями договора, приемка осуществляется с участием представителя Поставщика, а при его отсутствии при приемке подписанный со стороны Заказчика Акт приемки по форме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ОКУД 0510452 направляется Поставщику на подписание. Если Поставщик в течение 3 дней не направит Заказчику подписанный Акт приемки по форме ОКУД 0510452 с качественными или количественными расхождениями, такой Акт приемки считается подписанным Поставщиком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5.1.2. В документе о приемке, к которому могут прилагаться документы, которые считаются его </w:t>
      </w:r>
      <w:r>
        <w:rPr>
          <w:sz w:val="22"/>
          <w:szCs w:val="22"/>
          <w:lang w:eastAsia="en-US"/>
        </w:rPr>
        <w:t xml:space="preserve">неотъемлемой частью на упаковке, бирках, этикетках Поставщик указывает обозначения и сведения, идентифицирующие товар в системе "Честный знак" в случаях, предусмотренных законодательством, устанавливающим обязательную маркировку для данной товарной группы.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Если в ходе приемки товара при считывании кода маркировки в системе «Честный знак» будет указано на «Сомнительный товар», отсутствие товарного знака, </w:t>
      </w:r>
      <w:r>
        <w:rPr>
          <w:sz w:val="22"/>
          <w:szCs w:val="22"/>
        </w:rPr>
        <w:t xml:space="preserve">маркировки </w:t>
      </w:r>
      <w:r>
        <w:rPr>
          <w:sz w:val="22"/>
          <w:szCs w:val="22"/>
          <w:lang w:eastAsia="en-US"/>
        </w:rPr>
        <w:t xml:space="preserve">и иной информации </w:t>
      </w:r>
      <w:r>
        <w:rPr>
          <w:sz w:val="22"/>
          <w:szCs w:val="22"/>
        </w:rPr>
        <w:t xml:space="preserve">или несоответствии кодов в случаях, предусмотренных законодательством, устанавливающим обязательную маркировку для данной товарной </w:t>
      </w:r>
      <w:r>
        <w:rPr>
          <w:sz w:val="22"/>
          <w:szCs w:val="22"/>
        </w:rPr>
        <w:t xml:space="preserve">группы, </w:t>
      </w:r>
      <w:r>
        <w:rPr>
          <w:sz w:val="22"/>
          <w:szCs w:val="22"/>
          <w:lang w:eastAsia="en-US"/>
        </w:rPr>
        <w:t xml:space="preserve"> Заказчик</w:t>
      </w:r>
      <w:r>
        <w:rPr>
          <w:sz w:val="22"/>
          <w:szCs w:val="22"/>
          <w:lang w:eastAsia="en-US"/>
        </w:rPr>
        <w:t xml:space="preserve"> вправе отказаться от приемки такого товара.</w:t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</w:t>
      </w:r>
      <w:r>
        <w:rPr>
          <w:sz w:val="22"/>
          <w:szCs w:val="22"/>
        </w:rPr>
        <w:t xml:space="preserve">. В случае если Поставщик некорректно оформил счет, товарную накладную или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Контрактом, в части их соответствия условиям Контракта Зака</w:t>
      </w:r>
      <w:r>
        <w:rPr>
          <w:sz w:val="22"/>
          <w:szCs w:val="22"/>
        </w:rPr>
        <w:t xml:space="preserve">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товарос</w:t>
      </w:r>
      <w:r>
        <w:rPr>
          <w:sz w:val="22"/>
          <w:szCs w:val="22"/>
        </w:rPr>
        <w:t xml:space="preserve">опроводительных документов, в том ч</w:t>
      </w:r>
      <w:r>
        <w:rPr>
          <w:sz w:val="22"/>
          <w:szCs w:val="22"/>
        </w:rPr>
        <w:t xml:space="preserve">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</w:t>
      </w:r>
      <w:r>
        <w:rPr>
          <w:sz w:val="22"/>
          <w:szCs w:val="22"/>
        </w:rPr>
        <w:t xml:space="preserve">ются в виде заключения, которое должно быть объективным, обоснованным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</w:t>
      </w:r>
      <w:r>
        <w:rPr>
          <w:sz w:val="22"/>
          <w:szCs w:val="22"/>
        </w:rPr>
        <w:t xml:space="preserve">соответствии фактически поставленных товаров условиям настоящего Контракта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товарной накладной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Контрактом,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указанной в товарной накладной, Контракте 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3.3 Контракта);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</w:t>
      </w:r>
      <w:r>
        <w:rPr>
          <w:sz w:val="22"/>
          <w:szCs w:val="22"/>
        </w:rPr>
        <w:t xml:space="preserve">о кодекса Российской Федерации. Осмотр и проверка Товара на соответствие условиям Контракта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 Заказчик в течение 5</w:t>
      </w:r>
      <w:r>
        <w:rPr>
          <w:sz w:val="22"/>
          <w:szCs w:val="22"/>
        </w:rPr>
        <w:t xml:space="preserve"> рабочих дней со дня получения от Поставщика документов, предусмотренных пунктом 3.3. Контракта,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Поставщик в установленный в мотивированном отказе от п</w:t>
      </w:r>
      <w:r>
        <w:rPr>
          <w:sz w:val="22"/>
          <w:szCs w:val="22"/>
        </w:rPr>
        <w:t xml:space="preserve">одписания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</w:t>
      </w:r>
      <w:r>
        <w:rPr>
          <w:sz w:val="22"/>
          <w:szCs w:val="22"/>
        </w:rPr>
        <w:t xml:space="preserve">требование о расторжении Контракта по соглашению сторон (и (или) принять решение об одностороннем отказе от исполнения Контракта) в случае, если устранение нарушений потребует больших временных затрат, в связи с чем Заказчик утрачивает интерес к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sz w:val="22"/>
          <w:szCs w:val="22"/>
        </w:rPr>
        <w:t xml:space="preserve">5.18. Риск случайной гибели или повреждения Товара и право собственности на Товар переходит на Заказчика после подписания Сторонами товарной накладной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jc w:val="center"/>
        <w:rPr>
          <w:rFonts w:eastAsiaTheme="minorHAnsi"/>
          <w:sz w:val="22"/>
          <w:szCs w:val="22"/>
          <w:lang w:eastAsia="en-US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  <w:t xml:space="preserve">6. Взаимодействие Сторон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6.1. Поставщик обязан</w:t>
      </w:r>
      <w:r>
        <w:rPr>
          <w:rFonts w:eastAsiaTheme="minorHAnsi"/>
          <w:sz w:val="22"/>
          <w:szCs w:val="22"/>
          <w:lang w:eastAsia="en-US"/>
        </w:rPr>
        <w:t xml:space="preserve">: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  <w:t xml:space="preserve">6.1.1. поставить товар в строгом соответствии с условиями Контракта в полном объеме, надлежащего качества и в установленные сроки;</w:t>
      </w:r>
      <w:r>
        <w:rPr>
          <w:rFonts w:ascii="Times New Roman" w:hAnsi="Times New Roman" w:eastAsia="Times New Roman" w:cs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rPr>
          <w:rFonts w:eastAsia="Calibri"/>
          <w:sz w:val="22"/>
          <w:szCs w:val="22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          6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.1.1.1. передать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</w:t>
      </w:r>
      <w:r>
        <w:rPr>
          <w:rFonts w:eastAsia="Calibri"/>
          <w:sz w:val="22"/>
          <w:szCs w:val="22"/>
          <w:lang w:eastAsia="en-US"/>
        </w:rPr>
        <w:t xml:space="preserve">ля данной товарной группы;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6.1.2. оказать Услуги в строгом соответствии с условиями Контракта в полном объеме, надлежащего качества и в установленные сроки;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6.1.4. незамедлительно информировать Заказчика обо всех обстоятельствах, препятствующих исполнению Контракта;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/>
      <w:bookmarkStart w:id="0" w:name="undefined"/>
      <w:r/>
      <w:bookmarkStart w:id="0" w:name="undefined"/>
      <w:r/>
      <w:bookmarkEnd w:id="0"/>
      <w:r>
        <w:rPr>
          <w:rFonts w:eastAsiaTheme="minorHAnsi"/>
          <w:sz w:val="22"/>
          <w:szCs w:val="22"/>
          <w:lang w:eastAsia="en-US"/>
        </w:rPr>
        <w:t xml:space="preserve">6.1.5. обеспечивать гарантии на Оборудование в соответствии с </w:t>
      </w:r>
      <w:hyperlink w:tooltip="#Par140" w:anchor="Par140" w:history="1">
        <w:r>
          <w:rPr>
            <w:rFonts w:eastAsiaTheme="minorHAnsi"/>
            <w:sz w:val="22"/>
            <w:szCs w:val="22"/>
            <w:lang w:eastAsia="en-US"/>
          </w:rPr>
          <w:t xml:space="preserve">разделом </w:t>
        </w:r>
      </w:hyperlink>
      <w:r>
        <w:rPr>
          <w:rFonts w:eastAsiaTheme="minorHAnsi"/>
          <w:sz w:val="22"/>
          <w:szCs w:val="22"/>
          <w:lang w:eastAsia="en-US"/>
        </w:rPr>
        <w:t xml:space="preserve">Контракта;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6.1.6. при формировании документов о приемке (п.5.1 Контракта),   Поставщик обязан указывать идентификатор соглашения – </w:t>
      </w:r>
      <w:r>
        <w:rPr>
          <w:rFonts w:eastAsiaTheme="minorHAnsi"/>
          <w:b/>
          <w:bCs/>
          <w:sz w:val="22"/>
          <w:szCs w:val="22"/>
          <w:highlight w:val="green"/>
          <w:lang w:eastAsia="en-US"/>
        </w:rPr>
        <w:t xml:space="preserve">0000000007526RCU0002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.</w:t>
      </w:r>
      <w:r>
        <w:rPr>
          <w:rFonts w:eastAsiaTheme="minorHAnsi"/>
          <w:b/>
          <w:bCs/>
          <w:sz w:val="22"/>
          <w:szCs w:val="22"/>
          <w:lang w:eastAsia="en-US"/>
        </w:rPr>
      </w:r>
      <w:r>
        <w:rPr>
          <w:rFonts w:eastAsiaTheme="minorHAnsi"/>
          <w:b/>
          <w:bCs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6.2. Поставщик вправе:</w:t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6.2.2. требовать от Заказчика предоставления имеющейся у него информации, необходимой для исполнения обязательств по Контракту;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6.2.3. требовать от Заказчика своевременной оплаты поставленного товара и оказанных Услуг в порядке и на условиях, предусмотренных Контрактом;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 xml:space="preserve">6.3. Поставщик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выражает свое согласие на осуществление в отношении него обязательных проверок Министерством науки и высшего образования Российской Федерации, а также уполномоченным органом государственного финансового контроля в рамках настоящего Контракта.</w:t>
      </w:r>
      <w:r>
        <w:rPr>
          <w:rFonts w:eastAsiaTheme="minorHAnsi"/>
          <w:b/>
          <w:bCs/>
          <w:sz w:val="22"/>
          <w:szCs w:val="22"/>
          <w:lang w:eastAsia="en-US"/>
        </w:rPr>
      </w:r>
      <w:r>
        <w:rPr>
          <w:rFonts w:eastAsiaTheme="minorHAnsi"/>
          <w:b/>
          <w:bCs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</w:r>
      <w:r>
        <w:rPr>
          <w:rFonts w:eastAsiaTheme="minorHAnsi"/>
          <w:b/>
          <w:bCs/>
          <w:sz w:val="22"/>
          <w:szCs w:val="22"/>
          <w:lang w:eastAsia="en-US"/>
        </w:rPr>
      </w:r>
      <w:r>
        <w:rPr>
          <w:rFonts w:eastAsiaTheme="minorHAnsi"/>
          <w:b/>
          <w:bCs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6.</w:t>
      </w:r>
      <w:r>
        <w:rPr>
          <w:rFonts w:eastAsiaTheme="minorHAnsi"/>
          <w:b/>
          <w:sz w:val="22"/>
          <w:szCs w:val="22"/>
          <w:lang w:eastAsia="en-US"/>
        </w:rPr>
        <w:t xml:space="preserve">4</w:t>
      </w:r>
      <w:r>
        <w:rPr>
          <w:rFonts w:eastAsiaTheme="minorHAnsi"/>
          <w:b/>
          <w:sz w:val="22"/>
          <w:szCs w:val="22"/>
          <w:lang w:eastAsia="en-US"/>
        </w:rPr>
        <w:t xml:space="preserve">. Заказчик обязан:</w:t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4</w:t>
      </w:r>
      <w:r>
        <w:rPr>
          <w:rFonts w:eastAsiaTheme="minorHAnsi"/>
          <w:sz w:val="22"/>
          <w:szCs w:val="22"/>
          <w:lang w:eastAsia="en-US"/>
        </w:rPr>
        <w:t xml:space="preserve">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4</w:t>
      </w:r>
      <w:r>
        <w:rPr>
          <w:rFonts w:eastAsiaTheme="minorHAnsi"/>
          <w:sz w:val="22"/>
          <w:szCs w:val="22"/>
          <w:lang w:eastAsia="en-US"/>
        </w:rPr>
        <w:t xml:space="preserve">.3. своевременно принять и оплатить поставленный товар и надлежащим образом оказанные Услуги;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 xml:space="preserve">         </w:t>
      </w:r>
      <w:r>
        <w:rPr>
          <w:bCs/>
          <w:sz w:val="23"/>
          <w:szCs w:val="23"/>
          <w:highlight w:val="yellow"/>
          <w:lang w:eastAsia="en-US"/>
        </w:rPr>
        <w:t xml:space="preserve">6</w:t>
      </w:r>
      <w:r>
        <w:rPr>
          <w:bCs/>
          <w:sz w:val="23"/>
          <w:szCs w:val="23"/>
          <w:highlight w:val="yellow"/>
          <w:lang w:eastAsia="en-US"/>
        </w:rPr>
        <w:t xml:space="preserve">.</w:t>
      </w:r>
      <w:r>
        <w:rPr>
          <w:bCs/>
          <w:sz w:val="23"/>
          <w:szCs w:val="23"/>
          <w:highlight w:val="yellow"/>
          <w:lang w:eastAsia="en-US"/>
        </w:rPr>
        <w:t xml:space="preserve">4</w:t>
      </w:r>
      <w:r>
        <w:rPr>
          <w:bCs/>
          <w:sz w:val="23"/>
          <w:szCs w:val="23"/>
          <w:highlight w:val="yellow"/>
          <w:lang w:eastAsia="en-US"/>
        </w:rPr>
        <w:t xml:space="preserve">.</w:t>
      </w:r>
      <w:r>
        <w:rPr>
          <w:bCs/>
          <w:sz w:val="23"/>
          <w:szCs w:val="23"/>
          <w:highlight w:val="yellow"/>
          <w:lang w:eastAsia="en-US"/>
        </w:rPr>
        <w:t xml:space="preserve">4</w:t>
      </w:r>
      <w:r>
        <w:rPr>
          <w:bCs/>
          <w:sz w:val="23"/>
          <w:szCs w:val="23"/>
          <w:highlight w:val="yellow"/>
          <w:lang w:eastAsia="en-US"/>
        </w:rPr>
        <w:t xml:space="preserve">. утвердить сведения об операциях с целевыми средствами, необходимы</w:t>
      </w:r>
      <w:r>
        <w:rPr>
          <w:bCs/>
          <w:sz w:val="23"/>
          <w:szCs w:val="23"/>
          <w:highlight w:val="yellow"/>
          <w:lang w:eastAsia="en-US"/>
        </w:rPr>
        <w:t xml:space="preserve">е</w:t>
      </w:r>
      <w:r>
        <w:rPr>
          <w:bCs/>
          <w:sz w:val="23"/>
          <w:szCs w:val="23"/>
          <w:highlight w:val="yellow"/>
          <w:lang w:eastAsia="en-US"/>
        </w:rPr>
        <w:t xml:space="preserve"> для санкционирования расходов,</w:t>
      </w:r>
      <w:r>
        <w:rPr>
          <w:highlight w:val="yellow"/>
        </w:rPr>
        <w:t xml:space="preserve"> </w:t>
      </w:r>
      <w:r>
        <w:rPr>
          <w:bCs/>
          <w:sz w:val="23"/>
          <w:szCs w:val="23"/>
          <w:highlight w:val="yellow"/>
          <w:lang w:eastAsia="en-US"/>
        </w:rPr>
        <w:t xml:space="preserve">в случае, если средства по настоящему </w:t>
      </w:r>
      <w:r>
        <w:rPr>
          <w:bCs/>
          <w:sz w:val="23"/>
          <w:szCs w:val="23"/>
          <w:highlight w:val="yellow"/>
          <w:lang w:eastAsia="en-US"/>
        </w:rPr>
        <w:t xml:space="preserve">Контракт</w:t>
      </w:r>
      <w:r>
        <w:rPr>
          <w:bCs/>
          <w:sz w:val="23"/>
          <w:szCs w:val="23"/>
          <w:highlight w:val="yellow"/>
          <w:lang w:eastAsia="en-US"/>
        </w:rPr>
        <w:t xml:space="preserve">у</w:t>
      </w:r>
      <w:r>
        <w:rPr>
          <w:highlight w:val="yellow"/>
        </w:rPr>
        <w:t xml:space="preserve"> </w:t>
      </w:r>
      <w:r>
        <w:rPr>
          <w:bCs/>
          <w:sz w:val="23"/>
          <w:szCs w:val="23"/>
          <w:highlight w:val="yellow"/>
          <w:lang w:eastAsia="en-US"/>
        </w:rPr>
        <w:t xml:space="preserve">подлежат расширенному казначейскому сопровождению с применением экономического обоснования затрат.</w:t>
      </w:r>
      <w:r>
        <w:rPr>
          <w:bCs/>
          <w:sz w:val="23"/>
          <w:szCs w:val="23"/>
          <w:lang w:eastAsia="en-US"/>
        </w:rPr>
      </w:r>
      <w:r>
        <w:rPr>
          <w:bCs/>
          <w:sz w:val="23"/>
          <w:szCs w:val="23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6.</w:t>
      </w:r>
      <w:r>
        <w:rPr>
          <w:rFonts w:eastAsiaTheme="minorHAnsi"/>
          <w:b/>
          <w:sz w:val="22"/>
          <w:szCs w:val="22"/>
          <w:lang w:eastAsia="en-US"/>
        </w:rPr>
        <w:t xml:space="preserve">5</w:t>
      </w:r>
      <w:r>
        <w:rPr>
          <w:rFonts w:eastAsiaTheme="minorHAnsi"/>
          <w:b/>
          <w:sz w:val="22"/>
          <w:szCs w:val="22"/>
          <w:lang w:eastAsia="en-US"/>
        </w:rPr>
        <w:t xml:space="preserve">. Заказчик вправе</w:t>
      </w:r>
      <w:r>
        <w:rPr>
          <w:rFonts w:eastAsiaTheme="minorHAnsi"/>
          <w:sz w:val="22"/>
          <w:szCs w:val="22"/>
          <w:lang w:eastAsia="en-US"/>
        </w:rPr>
        <w:t xml:space="preserve">: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.1. требовать от Поставщика надлежащего исполнения обязательств, предусмотренных Контрактом;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.2. запрашивать у Поставщика информацию об исполнении им обязательств по Контракту;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.3. проверять в любое время ход исполнения Поставщиком обязательств по Контракту;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осуществлять контроль соответствия качества поставляемого товара</w:t>
      </w:r>
      <w:r>
        <w:rPr>
          <w:rFonts w:eastAsiaTheme="minorHAnsi"/>
          <w:sz w:val="22"/>
          <w:szCs w:val="22"/>
          <w:lang w:eastAsia="en-US"/>
        </w:rPr>
        <w:t xml:space="preserve"> и качества оказанных Услуг, сроков поставки товара и оказания Услуг требованиям Контракта;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.5. требовать от Поставщика устранения недостатков, допущенных при исполнении Контракта;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.6. отказаться от приемки некачественного Оборудования и ненадлежащим образом оказанных Услуг и потребовать безвозмездного устранения недостатков;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539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6.</w:t>
      </w: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>
      <w:pPr>
        <w:jc w:val="center"/>
        <w:rPr>
          <w:rFonts w:eastAsiaTheme="minorHAnsi"/>
          <w:b/>
          <w:sz w:val="22"/>
          <w:szCs w:val="22"/>
          <w:lang w:eastAsia="en-US"/>
        </w:rPr>
        <w:outlineLvl w:val="0"/>
      </w:pP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  <w:r>
        <w:rPr>
          <w:rFonts w:eastAsiaTheme="minorHAnsi"/>
          <w:b/>
          <w:sz w:val="22"/>
          <w:szCs w:val="22"/>
          <w:lang w:eastAsia="en-US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    7</w:t>
      </w:r>
      <w:r>
        <w:rPr>
          <w:rFonts w:eastAsia="Batang"/>
          <w:b/>
          <w:sz w:val="22"/>
          <w:szCs w:val="22"/>
        </w:rPr>
        <w:t xml:space="preserve">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и/или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7.6.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7.8.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7.9.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</w:t>
      </w:r>
      <w:r>
        <w:rPr>
          <w:sz w:val="22"/>
          <w:szCs w:val="22"/>
          <w:shd w:val="clear" w:color="auto" w:fill="ffffff"/>
        </w:rPr>
        <w:t xml:space="preserve">ательств, предусмотренных Контрактом,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sz w:val="22"/>
          <w:szCs w:val="22"/>
          <w:shd w:val="clear" w:color="auto" w:fill="ffffff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7.11. В случае просрочки исполнения поставщиком (под</w:t>
      </w:r>
      <w:r>
        <w:rPr>
          <w:sz w:val="22"/>
          <w:szCs w:val="22"/>
          <w:shd w:val="clear" w:color="auto" w:fill="ffffff"/>
        </w:rPr>
        <w:t xml:space="preserve">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</w:t>
      </w:r>
      <w:r>
        <w:rPr>
          <w:sz w:val="22"/>
          <w:szCs w:val="22"/>
          <w:shd w:val="clear" w:color="auto" w:fill="ffffff"/>
        </w:rPr>
        <w:t xml:space="preserve">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</w:t>
      </w:r>
      <w:r>
        <w:rPr>
          <w:sz w:val="22"/>
          <w:szCs w:val="22"/>
          <w:shd w:val="clear" w:color="auto" w:fill="ffffff"/>
        </w:rPr>
        <w:t xml:space="preserve">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</w:t>
      </w:r>
      <w:r>
        <w:rPr>
          <w:sz w:val="22"/>
          <w:szCs w:val="22"/>
          <w:shd w:val="clear" w:color="auto" w:fill="ffffff"/>
        </w:rPr>
        <w:t xml:space="preserve">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8.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8.4. </w:t>
      </w:r>
      <w:r>
        <w:rPr>
          <w:rFonts w:eastAsia="Batang"/>
          <w:sz w:val="22"/>
          <w:szCs w:val="22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9. Порядок разрешения споров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договора имеет право передать спор на разрешен</w:t>
      </w:r>
      <w:r>
        <w:rPr>
          <w:sz w:val="22"/>
          <w:szCs w:val="22"/>
        </w:rPr>
        <w:t xml:space="preserve">ие Арбитражного суда по истечении 10 рабочих дней со дня получения претензии (требования) другой Стороной. При невозможности разрешения споров путем переговоров или в претензионном порядке спорный вопрос передается на рассмотрение в Арбитражный суд, где он</w:t>
      </w:r>
      <w:r>
        <w:rPr>
          <w:rFonts w:eastAsia="Batang"/>
          <w:sz w:val="22"/>
          <w:szCs w:val="22"/>
        </w:rPr>
        <w:t xml:space="preserve"> разрешается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sz w:val="22"/>
          <w:szCs w:val="22"/>
        </w:rPr>
        <w:t xml:space="preserve">10. Прочие условия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</w:t>
      </w:r>
      <w:r>
        <w:rPr>
          <w:rFonts w:eastAsia="Batang"/>
          <w:sz w:val="22"/>
          <w:szCs w:val="22"/>
        </w:rPr>
        <w:t xml:space="preserve">. Казначейское сопровождение средств в валюте Российской Федерации, предоставление которых осуществляется с последующим подтверждением их использования в соответствии с условиями и (или) целями предоставления указанных средств (казначейское сопровождение).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 Казначейское сопровождение осуществляется в случаях и порядке, предусмотренных федеральным законом о федеральном бюджете на соответствующий финансовый год и нормативными правовыми актами, направленными на его реализацию.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10.3. При условии казначейского сопровождения Поставщик не вправе перечислять средства с лицевого счета, открытого в УФК по г. Москве: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капитал;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на свои счета, открытые в учреждении Центрального банка Российской Федерации или в кредитной организации (далее - банк), за исключением: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оплаты обязательств в соответствии с валютным законодательством Российской Федерации;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средств;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оплаты фактически поставленных товаров в случае, если поставщик не привлекает для поставки товаров иных юридических лиц, а также п</w:t>
      </w:r>
      <w:r>
        <w:rPr>
          <w:rFonts w:eastAsia="Batang"/>
          <w:sz w:val="22"/>
          <w:szCs w:val="22"/>
        </w:rPr>
        <w:t xml:space="preserve">ри условии представления документов, установленных порядком санкционирования, подтверждающих возникновение денежных обязательств, и (или) иных документов, предусмотренных государственными контрактами, контрактами (договорами) (далее - документы-основания);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- возмещения произведенных поставщиком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sz w:val="22"/>
          <w:szCs w:val="22"/>
        </w:rPr>
        <w:t xml:space="preserve">- оплаты обязательств по накладным расходам в соответствии с Порядком санкционирования</w:t>
      </w:r>
      <w:r>
        <w:rPr>
          <w:rFonts w:eastAsia="Batang"/>
          <w:b/>
          <w:bCs/>
          <w:sz w:val="22"/>
          <w:szCs w:val="22"/>
        </w:rPr>
        <w:t xml:space="preserve">.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10.4. Настоящий Договор вступает в силу с момента его подписания и действует </w:t>
      </w:r>
      <w:r>
        <w:rPr>
          <w:rFonts w:eastAsia="Batang"/>
          <w:sz w:val="22"/>
          <w:szCs w:val="22"/>
        </w:rPr>
        <w:t xml:space="preserve">до 31.12.2026 года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10.5. Настоящий Договор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10.6. В случае изменения у како</w:t>
      </w:r>
      <w:r>
        <w:rPr>
          <w:rFonts w:eastAsia="Batang"/>
          <w:sz w:val="22"/>
          <w:szCs w:val="22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10.7.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10.8.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11.3. В случае возникновения у Стороны подозрений, что произошло или может произойти нарушение каких-либ</w:t>
      </w:r>
      <w:r>
        <w:rPr>
          <w:rFonts w:ascii="Times New Roman" w:hAnsi="Times New Roman" w:cs="Times New Roman"/>
          <w:sz w:val="22"/>
          <w:szCs w:val="22"/>
        </w:rPr>
        <w:t xml:space="preserve">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</w:t>
      </w:r>
      <w:r>
        <w:rPr>
          <w:rFonts w:ascii="Times New Roman" w:hAnsi="Times New Roman" w:cs="Times New Roman"/>
          <w:sz w:val="22"/>
          <w:szCs w:val="22"/>
        </w:rPr>
        <w:t xml:space="preserve">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>
        <w:rPr>
          <w:rFonts w:ascii="Times New Roman" w:hAnsi="Times New Roman" w:cs="Times New Roman"/>
          <w:sz w:val="22"/>
          <w:szCs w:val="22"/>
        </w:rPr>
        <w:t xml:space="preserve"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</w:t>
      </w:r>
      <w:r>
        <w:rPr>
          <w:rFonts w:ascii="Times New Roman" w:hAnsi="Times New Roman" w:cs="Times New Roman"/>
          <w:sz w:val="22"/>
          <w:szCs w:val="22"/>
        </w:rPr>
        <w:t xml:space="preserve">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 В случае нарушения одной Стороной обязательств воздерживаться</w:t>
      </w:r>
      <w:r>
        <w:rPr>
          <w:sz w:val="22"/>
          <w:szCs w:val="22"/>
        </w:rPr>
        <w:t xml:space="preserve">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</w:t>
      </w:r>
      <w:r>
        <w:rPr>
          <w:sz w:val="22"/>
          <w:szCs w:val="22"/>
        </w:rPr>
        <w:t xml:space="preserve">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5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915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915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Юр</w:t>
      </w:r>
      <w:r>
        <w:rPr>
          <w:color w:val="000000" w:themeColor="text1"/>
          <w:sz w:val="22"/>
          <w:szCs w:val="22"/>
        </w:rPr>
        <w:t xml:space="preserve">идический адрес: 125367, г. Москва, Волоколамское шоссе, д. 80,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ОГРН 1027739766812 от 16.04.1993 г.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ИНН 7733012151, КПП 773301001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ОКПО 01897653, ОКТМО 45368000, ОКОПФ 75103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Банковские реквизиты: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УФК по г. Москве (ФГБНУ РЦНН л/с Лицевой счет </w:t>
      </w:r>
      <w:r>
        <w:rPr>
          <w:color w:val="000000" w:themeColor="text1"/>
          <w:sz w:val="22"/>
          <w:szCs w:val="22"/>
          <w:highlight w:val="yellow"/>
        </w:rPr>
        <w:t xml:space="preserve">711У9411001</w:t>
      </w:r>
      <w:r>
        <w:rPr>
          <w:color w:val="000000" w:themeColor="text1"/>
          <w:sz w:val="22"/>
          <w:szCs w:val="22"/>
        </w:rPr>
        <w:t xml:space="preserve">)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Казначейский счет (расчетн</w:t>
      </w:r>
      <w:r>
        <w:rPr>
          <w:sz w:val="22"/>
          <w:szCs w:val="22"/>
        </w:rPr>
        <w:t xml:space="preserve">ый счет) </w:t>
      </w:r>
      <w:r>
        <w:rPr>
          <w:sz w:val="22"/>
          <w:szCs w:val="22"/>
          <w:highlight w:val="yellow"/>
        </w:rPr>
        <w:t xml:space="preserve">03214643000000017301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КБК 00000 00000 00000 00510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rPr>
          <w:color w:val="000000"/>
          <w:spacing w:val="5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 </w:t>
      </w:r>
      <w:r>
        <w:rPr>
          <w:color w:val="000000"/>
          <w:spacing w:val="5"/>
          <w:sz w:val="22"/>
          <w:szCs w:val="22"/>
          <w:highlight w:val="white"/>
        </w:rPr>
        <w:t xml:space="preserve">ОКЦ № 1 ГУ БАНКА РОССИИ ПО ЦФО//УФК</w:t>
      </w:r>
      <w:r>
        <w:rPr>
          <w:color w:val="000000"/>
          <w:spacing w:val="5"/>
          <w:sz w:val="22"/>
          <w:szCs w:val="22"/>
          <w:highlight w:val="white"/>
        </w:rPr>
      </w:r>
      <w:r>
        <w:rPr>
          <w:color w:val="000000"/>
          <w:spacing w:val="5"/>
          <w:sz w:val="22"/>
          <w:szCs w:val="22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/>
          <w:spacing w:val="5"/>
          <w:sz w:val="22"/>
          <w:szCs w:val="22"/>
          <w:highlight w:val="white"/>
        </w:rPr>
        <w:t xml:space="preserve">ПО Г. МОСКВЕ г. Москва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ind w:left="57" w:right="57"/>
        <w:jc w:val="center"/>
        <w:spacing w:after="0" w:line="240" w:lineRule="auto"/>
        <w:rPr>
          <w:rFonts w:cs="Times New Roman"/>
          <w:b/>
          <w:szCs w:val="20"/>
          <w:lang w:val="ru-RU"/>
        </w:rPr>
      </w:pPr>
      <w:r>
        <w:rPr>
          <w:rFonts w:cs="Times New Roman"/>
          <w:b/>
          <w:szCs w:val="20"/>
          <w:lang w:val="ru-RU"/>
        </w:rPr>
        <w:t xml:space="preserve">Техническое задание на поставку </w:t>
      </w:r>
      <w:r>
        <w:rPr>
          <w:b/>
          <w:sz w:val="24"/>
          <w:lang w:val="ru-RU"/>
        </w:rPr>
        <w:t xml:space="preserve">на поставку оборудования для поведенческих исследований лабораторных животных</w:t>
      </w:r>
      <w:r>
        <w:rPr>
          <w:rFonts w:cs="Times New Roman"/>
          <w:b/>
          <w:szCs w:val="20"/>
          <w:lang w:val="ru-RU"/>
        </w:rPr>
      </w:r>
      <w:r>
        <w:rPr>
          <w:rFonts w:cs="Times New Roman"/>
          <w:b/>
          <w:szCs w:val="20"/>
          <w:lang w:val="ru-RU"/>
        </w:rPr>
      </w:r>
    </w:p>
    <w:p>
      <w:pPr>
        <w:contextualSpacing/>
        <w:ind w:left="57" w:right="57" w:firstLine="1474"/>
        <w:jc w:val="center"/>
        <w:spacing w:after="0" w:line="240" w:lineRule="auto"/>
        <w:rPr>
          <w:rFonts w:cs="Times New Roman"/>
          <w:b/>
          <w:szCs w:val="20"/>
          <w:lang w:val="ru-RU"/>
        </w:rPr>
      </w:pPr>
      <w:r>
        <w:rPr>
          <w:rFonts w:cs="Times New Roman"/>
          <w:b/>
          <w:szCs w:val="20"/>
          <w:lang w:val="ru-RU"/>
        </w:rPr>
      </w:r>
      <w:r>
        <w:rPr>
          <w:rFonts w:cs="Times New Roman"/>
          <w:b/>
          <w:szCs w:val="20"/>
          <w:lang w:val="ru-RU"/>
        </w:rPr>
      </w:r>
      <w:r>
        <w:rPr>
          <w:rFonts w:cs="Times New Roman"/>
          <w:b/>
          <w:szCs w:val="20"/>
          <w:lang w:val="ru-RU"/>
        </w:rPr>
      </w:r>
    </w:p>
    <w:p>
      <w:pPr>
        <w:contextualSpacing/>
        <w:ind w:left="57" w:right="57" w:firstLine="1474"/>
        <w:jc w:val="right"/>
        <w:spacing w:after="0" w:line="240" w:lineRule="auto"/>
        <w:rPr>
          <w:rFonts w:cs="Times New Roman"/>
          <w:szCs w:val="20"/>
          <w:lang w:val="ru-RU"/>
        </w:rPr>
      </w:pPr>
      <w:r>
        <w:rPr>
          <w:rFonts w:cs="Times New Roman"/>
          <w:szCs w:val="20"/>
          <w:lang w:val="ru-RU"/>
        </w:rPr>
        <w:t xml:space="preserve">Таблица 1: Технические характеристики товара, </w:t>
      </w:r>
      <w:r>
        <w:rPr>
          <w:rFonts w:cs="Times New Roman"/>
          <w:szCs w:val="20"/>
          <w:lang w:val="ru-RU"/>
        </w:rPr>
        <w:t xml:space="preserve">требуемого</w:t>
      </w:r>
      <w:r>
        <w:rPr>
          <w:rFonts w:cs="Times New Roman"/>
          <w:szCs w:val="20"/>
          <w:lang w:val="ru-RU"/>
        </w:rPr>
        <w:t xml:space="preserve"> к поставке</w:t>
      </w:r>
      <w:r>
        <w:rPr>
          <w:rFonts w:cs="Times New Roman"/>
          <w:szCs w:val="20"/>
          <w:lang w:val="ru-RU"/>
        </w:rPr>
      </w:r>
      <w:r>
        <w:rPr>
          <w:rFonts w:cs="Times New Roman"/>
          <w:szCs w:val="20"/>
          <w:lang w:val="ru-RU"/>
        </w:rPr>
      </w:r>
    </w:p>
    <w:p>
      <w:pPr>
        <w:contextualSpacing/>
        <w:ind w:left="57" w:right="57" w:firstLine="1474"/>
        <w:spacing w:after="0" w:line="240" w:lineRule="auto"/>
        <w:rPr>
          <w:rFonts w:cs="Times New Roman"/>
          <w:szCs w:val="20"/>
          <w:lang w:val="ru-RU"/>
        </w:rPr>
      </w:pPr>
      <w:r>
        <w:rPr>
          <w:rFonts w:cs="Times New Roman"/>
          <w:szCs w:val="20"/>
          <w:lang w:val="ru-RU"/>
        </w:rPr>
      </w:r>
      <w:r>
        <w:rPr>
          <w:rFonts w:cs="Times New Roman"/>
          <w:szCs w:val="20"/>
          <w:lang w:val="ru-RU"/>
        </w:rPr>
      </w:r>
      <w:r>
        <w:rPr>
          <w:rFonts w:cs="Times New Roman"/>
          <w:szCs w:val="20"/>
          <w:lang w:val="ru-RU"/>
        </w:rPr>
      </w:r>
    </w:p>
    <w:tbl>
      <w:tblPr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410"/>
        <w:gridCol w:w="1984"/>
        <w:gridCol w:w="1842"/>
        <w:gridCol w:w="709"/>
        <w:gridCol w:w="993"/>
      </w:tblGrid>
      <w:tr>
        <w:tblPrEx/>
        <w:trPr>
          <w:trHeight w:val="74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№ п/п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Требуемый</w:t>
            </w:r>
            <w:r>
              <w:rPr>
                <w:rFonts w:eastAsia="Times New Roman" w:cs="Times New Roman"/>
                <w:b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szCs w:val="20"/>
              </w:rPr>
              <w:t xml:space="preserve">параметр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Требуемое</w:t>
            </w:r>
            <w:r>
              <w:rPr>
                <w:rFonts w:eastAsia="Times New Roman" w:cs="Times New Roman"/>
                <w:b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szCs w:val="20"/>
              </w:rPr>
              <w:t xml:space="preserve">значение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Обоснование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Инструкция</w:t>
            </w:r>
            <w:r>
              <w:rPr>
                <w:rFonts w:eastAsia="Times New Roman" w:cs="Times New Roman"/>
                <w:b/>
                <w:szCs w:val="20"/>
              </w:rPr>
              <w:t xml:space="preserve"> по </w:t>
            </w:r>
            <w:r>
              <w:rPr>
                <w:rFonts w:eastAsia="Times New Roman" w:cs="Times New Roman"/>
                <w:b/>
                <w:szCs w:val="20"/>
              </w:rPr>
              <w:t xml:space="preserve">заполнению</w:t>
            </w:r>
            <w:r>
              <w:rPr>
                <w:rFonts w:eastAsia="Times New Roman" w:cs="Times New Roman"/>
                <w:b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szCs w:val="20"/>
              </w:rPr>
              <w:t xml:space="preserve">заявки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Кол-</w:t>
            </w:r>
            <w:r>
              <w:rPr>
                <w:rFonts w:eastAsia="Times New Roman" w:cs="Times New Roman"/>
                <w:b/>
                <w:szCs w:val="20"/>
              </w:rPr>
              <w:t xml:space="preserve">во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Ед. изм.</w:t>
            </w:r>
            <w:r>
              <w:rPr>
                <w:rFonts w:cs="Times New Roman"/>
                <w:b/>
                <w:szCs w:val="20"/>
              </w:rPr>
            </w:r>
            <w:r>
              <w:rPr>
                <w:rFonts w:cs="Times New Roman"/>
                <w:b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1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961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lang w:val="ru-RU"/>
              </w:rPr>
              <w:t xml:space="preserve">Устройство мягкой фиксации лабораторных мышей</w:t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1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  <w:t xml:space="preserve">штука</w:t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</w:tr>
      <w:tr>
        <w:tblPrEx/>
        <w:trPr>
          <w:trHeight w:val="144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</w:rPr>
            </w:pP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  <w:r>
              <w:rPr>
                <w:rFonts w:eastAsia="Times New Roman" w:cs="Times New Roman"/>
                <w:b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961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b/>
                <w:szCs w:val="20"/>
                <w:lang w:val="ru-RU"/>
              </w:rPr>
            </w:pPr>
            <w:r>
              <w:rPr>
                <w:rFonts w:cs="Times New Roman"/>
                <w:b/>
                <w:szCs w:val="20"/>
                <w:lang w:val="ru-RU"/>
              </w:rPr>
            </w:r>
            <w:r>
              <w:rPr>
                <w:rFonts w:cs="Times New Roman"/>
                <w:b/>
                <w:szCs w:val="20"/>
                <w:lang w:val="ru-RU"/>
              </w:rPr>
            </w:r>
            <w:r>
              <w:rPr>
                <w:rFonts w:cs="Times New Roman"/>
                <w:b/>
                <w:szCs w:val="20"/>
                <w:lang w:val="ru-RU"/>
              </w:rPr>
            </w:r>
          </w:p>
          <w:p>
            <w:pPr>
              <w:ind w:left="57" w:right="57"/>
              <w:spacing w:after="0" w:line="240" w:lineRule="auto"/>
              <w:rPr>
                <w:rFonts w:cs="Times New Roman"/>
                <w:bCs/>
                <w:szCs w:val="20"/>
                <w:lang w:val="ru-RU"/>
              </w:rPr>
            </w:pPr>
            <w:r>
              <w:rPr>
                <w:rFonts w:cs="Times New Roman"/>
                <w:b/>
                <w:szCs w:val="20"/>
                <w:lang w:val="ru-RU"/>
              </w:rPr>
              <w:t xml:space="preserve">Код по КТРУ</w:t>
            </w:r>
            <w:r>
              <w:rPr>
                <w:rFonts w:cs="Times New Roman"/>
                <w:bCs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Cs/>
                <w:szCs w:val="20"/>
                <w:lang w:val="ru-RU"/>
              </w:rPr>
              <w:t xml:space="preserve">отсутствует</w:t>
            </w:r>
            <w:r>
              <w:rPr>
                <w:rFonts w:cs="Times New Roman"/>
                <w:bCs/>
                <w:szCs w:val="20"/>
                <w:lang w:val="ru-RU"/>
              </w:rPr>
            </w:r>
            <w:r>
              <w:rPr>
                <w:rFonts w:cs="Times New Roman"/>
                <w:bCs/>
                <w:szCs w:val="20"/>
                <w:lang w:val="ru-RU"/>
              </w:rPr>
            </w:r>
          </w:p>
          <w:p>
            <w:pPr>
              <w:ind w:left="57" w:right="57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281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945" w:type="dxa"/>
            <w:textDirection w:val="lrTb"/>
            <w:noWrap w:val="false"/>
          </w:tcPr>
          <w:p>
            <w:pPr>
              <w:pStyle w:val="1_513"/>
              <w:numPr>
                <w:ilvl w:val="0"/>
                <w:numId w:val="0"/>
              </w:numPr>
              <w:ind w:left="33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Оборудование предназначено для проведения стандартизированных поведенческих тестов на лабораторных </w:t>
            </w:r>
            <w:r>
              <w:rPr>
                <w:szCs w:val="20"/>
                <w:lang w:val="ru-RU"/>
              </w:rPr>
              <w:t xml:space="preserve">мышах</w:t>
            </w:r>
            <w:r>
              <w:rPr>
                <w:szCs w:val="20"/>
                <w:lang w:val="ru-RU"/>
              </w:rPr>
              <w:t xml:space="preserve">.</w:t>
            </w: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  <w:p>
            <w:pPr>
              <w:pStyle w:val="1_513"/>
              <w:numPr>
                <w:ilvl w:val="0"/>
                <w:numId w:val="0"/>
              </w:numPr>
              <w:ind w:left="33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Конструкция должна обеспечивать устойчивость, безопасность животного, возможность санитарной обработки и повторяемость условий эксперимента.</w:t>
            </w: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  <w:p>
            <w:pPr>
              <w:pStyle w:val="1_513"/>
              <w:numPr>
                <w:ilvl w:val="0"/>
                <w:numId w:val="0"/>
              </w:numPr>
              <w:ind w:left="33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Материалы элементов, непосредственно контактирующих с животными, должны быть устойчивы к применяемым средствам очистки и дезинфекции.</w:t>
            </w: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  <w:p>
            <w:pPr>
              <w:pStyle w:val="1_513"/>
              <w:numPr>
                <w:ilvl w:val="0"/>
                <w:numId w:val="0"/>
              </w:numPr>
              <w:ind w:left="33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Съемные элементы должны устанавливаться без применения специального инструмента, если иное прямо не предусмотрено конструкцией.</w:t>
            </w: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  <w:p>
            <w:pPr>
              <w:pStyle w:val="1_513"/>
              <w:numPr>
                <w:ilvl w:val="0"/>
                <w:numId w:val="0"/>
              </w:numPr>
              <w:ind w:left="33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Поставляемое оборудование должно быть новым, не бывшим в эксплуатации, комплектным и готовым к использованию.</w:t>
            </w:r>
            <w:r>
              <w:rPr>
                <w:szCs w:val="20"/>
                <w:lang w:val="ru-RU"/>
              </w:rPr>
            </w:r>
            <w:r>
              <w:rPr>
                <w:szCs w:val="20"/>
                <w:lang w:val="ru-RU"/>
              </w:rPr>
            </w:r>
          </w:p>
          <w:p>
            <w:pPr>
              <w:pStyle w:val="1_513"/>
              <w:numPr>
                <w:ilvl w:val="0"/>
                <w:numId w:val="0"/>
              </w:numPr>
              <w:ind w:left="33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В комплект поставки должны входить паспорт изделия и гарантийные документы.</w:t>
            </w:r>
            <w:r>
              <w:rPr>
                <w:rFonts w:eastAsia="Times New Roman" w:cs="Times New Roman"/>
                <w:b/>
                <w:szCs w:val="20"/>
                <w:lang w:val="ru-RU"/>
              </w:rPr>
              <w:t xml:space="preserve"> </w:t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1422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Назначение / конструкция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Предназначено для контролируемой фиксации животного при проведении стандартных экспериментальных процедур.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eastAsia="Times New Roman" w:cs="Times New Roman"/>
                <w:szCs w:val="20"/>
                <w:lang w:val="ru-RU"/>
              </w:rPr>
            </w:pPr>
            <w:r>
              <w:rPr>
                <w:rFonts w:eastAsia="Times New Roman" w:cs="Times New Roman"/>
                <w:szCs w:val="20"/>
                <w:lang w:val="ru-RU"/>
              </w:rPr>
            </w:r>
            <w:r>
              <w:rPr>
                <w:rFonts w:eastAsia="Times New Roman" w:cs="Times New Roman"/>
                <w:szCs w:val="20"/>
                <w:lang w:val="ru-RU"/>
              </w:rPr>
            </w:r>
            <w:r>
              <w:rPr>
                <w:rFonts w:eastAsia="Times New Roman"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413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r>
              <w:rPr>
                <w:b/>
              </w:rPr>
              <w:t xml:space="preserve">Материал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Прозрачный</w:t>
            </w:r>
            <w:r>
              <w:rPr>
                <w:lang w:val="ru-RU"/>
              </w:rPr>
              <w:t xml:space="preserve"> акриловый или аналогичный жесткий прозрачный материал с гладкими поверхностями.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r>
              <w:rPr>
                <w:b/>
              </w:rPr>
              <w:t xml:space="preserve">Размеры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r>
              <w:t xml:space="preserve">9×3×2</w:t>
            </w:r>
            <w:r>
              <w:t xml:space="preserve">,7</w:t>
            </w:r>
            <w:r>
              <w:t xml:space="preserve"> </w:t>
            </w:r>
            <w:r>
              <w:t xml:space="preserve">см</w:t>
            </w:r>
            <w:r>
              <w:t xml:space="preserve">.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r>
              <w:rPr>
                <w:b/>
              </w:rPr>
              <w:t xml:space="preserve">Функциональные требования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Фиксация должна осуществляться мягкой регулируемой системой с двумя подвижными ограничителями, позволяющей </w:t>
            </w:r>
            <w:r>
              <w:rPr>
                <w:lang w:val="ru-RU"/>
              </w:rPr>
              <w:t xml:space="preserve">адаптировать изделие к размеру животного без </w:t>
            </w:r>
            <w:r>
              <w:rPr>
                <w:lang w:val="ru-RU"/>
              </w:rPr>
              <w:t xml:space="preserve">травмирования</w:t>
            </w:r>
            <w:r>
              <w:rPr>
                <w:lang w:val="ru-RU"/>
              </w:rPr>
              <w:t xml:space="preserve"> и чрезмерного давления.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r>
              <w:rPr>
                <w:b/>
              </w:rPr>
              <w:t xml:space="preserve">Комплектация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410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Комплект: устройство фиксации, паспорт, </w:t>
            </w:r>
            <w:r>
              <w:rPr>
                <w:lang w:val="ru-RU"/>
              </w:rPr>
              <w:t xml:space="preserve">С</w:t>
            </w:r>
            <w:r>
              <w:rPr>
                <w:lang w:val="ru-RU"/>
              </w:rPr>
              <w:t xml:space="preserve">гарантийные</w:t>
            </w:r>
            <w:r>
              <w:rPr>
                <w:lang w:val="ru-RU"/>
              </w:rPr>
              <w:t xml:space="preserve"> документы.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  <w:r>
              <w:rPr>
                <w:rFonts w:cs="Times New Roman"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709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1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Times New Roman" w:cs="Times New Roman"/>
                <w:b/>
                <w:szCs w:val="20"/>
                <w:lang w:val="ru-RU"/>
              </w:rPr>
            </w:pP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  <w:r>
              <w:rPr>
                <w:rFonts w:eastAsia="Times New Roman" w:cs="Times New Roman"/>
                <w:b/>
                <w:szCs w:val="20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51" w:type="dxa"/>
            <w:textDirection w:val="lrTb"/>
            <w:noWrap w:val="false"/>
          </w:tcPr>
          <w:p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Срок поставки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793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  <w:t xml:space="preserve">120 календарных дней</w:t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  <w:r>
              <w:rPr>
                <w:rFonts w:eastAsia="SimSun" w:cs="Times New Roman"/>
                <w:b/>
                <w:bCs/>
                <w:color w:val="000000"/>
                <w:szCs w:val="20"/>
                <w:lang w:val="ru-RU" w:eastAsia="zh-CN"/>
              </w:rPr>
            </w:r>
          </w:p>
        </w:tc>
      </w:tr>
    </w:tbl>
    <w:p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right="594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993" w:right="424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Mincho">
    <w:panose1 w:val="020205030504050903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 w:default="1">
    <w:name w:val="Normal"/>
    <w:rPr>
      <w:sz w:val="24"/>
      <w:szCs w:val="24"/>
      <w:lang w:eastAsia="ar-SA"/>
    </w:rPr>
  </w:style>
  <w:style w:type="paragraph" w:styleId="675">
    <w:name w:val="Heading 1"/>
    <w:basedOn w:val="674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76">
    <w:name w:val="Heading 2"/>
    <w:basedOn w:val="674"/>
    <w:next w:val="674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7">
    <w:name w:val="Heading 3"/>
    <w:basedOn w:val="674"/>
    <w:next w:val="674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8">
    <w:name w:val="Heading 4"/>
    <w:basedOn w:val="674"/>
    <w:next w:val="674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674"/>
    <w:next w:val="674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0">
    <w:name w:val="Heading 6"/>
    <w:basedOn w:val="674"/>
    <w:next w:val="674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674"/>
    <w:next w:val="6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674"/>
    <w:next w:val="674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674"/>
    <w:next w:val="674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2 Char"/>
    <w:basedOn w:val="684"/>
    <w:uiPriority w:val="9"/>
    <w:rPr>
      <w:rFonts w:ascii="Arial" w:hAnsi="Arial" w:eastAsia="Arial" w:cs="Arial"/>
      <w:sz w:val="34"/>
    </w:rPr>
  </w:style>
  <w:style w:type="character" w:styleId="688" w:customStyle="1">
    <w:name w:val="Heading 3 Char"/>
    <w:basedOn w:val="684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84"/>
    <w:uiPriority w:val="10"/>
    <w:rPr>
      <w:sz w:val="48"/>
      <w:szCs w:val="48"/>
    </w:rPr>
  </w:style>
  <w:style w:type="character" w:styleId="696" w:customStyle="1">
    <w:name w:val="Subtitle Char"/>
    <w:basedOn w:val="684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Header Char"/>
    <w:basedOn w:val="684"/>
    <w:uiPriority w:val="99"/>
  </w:style>
  <w:style w:type="character" w:styleId="700" w:customStyle="1">
    <w:name w:val="Caption Char"/>
    <w:uiPriority w:val="99"/>
  </w:style>
  <w:style w:type="character" w:styleId="701" w:customStyle="1">
    <w:name w:val="Footnote Text Char"/>
    <w:uiPriority w:val="99"/>
    <w:rPr>
      <w:sz w:val="18"/>
    </w:rPr>
  </w:style>
  <w:style w:type="character" w:styleId="702" w:customStyle="1">
    <w:name w:val="Endnote Text Char"/>
    <w:uiPriority w:val="99"/>
    <w:rPr>
      <w:sz w:val="20"/>
    </w:rPr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76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77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74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74"/>
    <w:next w:val="674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74"/>
    <w:next w:val="674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74"/>
    <w:next w:val="674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74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74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74"/>
    <w:next w:val="674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685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74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74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74"/>
    <w:next w:val="674"/>
    <w:uiPriority w:val="39"/>
    <w:unhideWhenUsed/>
    <w:pPr>
      <w:spacing w:after="57"/>
    </w:pPr>
  </w:style>
  <w:style w:type="paragraph" w:styleId="861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62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63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64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65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66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67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68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74"/>
    <w:next w:val="674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74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74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74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74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74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74"/>
    <w:pPr>
      <w:spacing w:before="280" w:after="280"/>
    </w:pPr>
  </w:style>
  <w:style w:type="paragraph" w:styleId="896" w:customStyle="1">
    <w:name w:val="Содержимое таблицы"/>
    <w:basedOn w:val="674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74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74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74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74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74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684"/>
    <w:link w:val="675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74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684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  <w:style w:type="paragraph" w:styleId="917" w:customStyle="1">
    <w:name w:val="Table Paragraph"/>
    <w:basedOn w:val="674"/>
    <w:uiPriority w:val="1"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</w:style>
  <w:style w:type="table" w:styleId="918" w:customStyle="1">
    <w:name w:val="Сетка таблицы13"/>
    <w:basedOn w:val="685"/>
    <w:next w:val="727"/>
    <w:uiPriority w:val="59"/>
    <w:rPr>
      <w:rFonts w:ascii="Arial" w:hAnsi="Arial" w:eastAsia="Arial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_513" w:customStyle="1">
    <w:name w:val="List Bullet"/>
    <w:basedOn w:val="641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39</cp:revision>
  <dcterms:created xsi:type="dcterms:W3CDTF">2025-02-03T06:54:00Z</dcterms:created>
  <dcterms:modified xsi:type="dcterms:W3CDTF">2026-08-31T13:15:05Z</dcterms:modified>
  <cp:version>730895</cp:version>
</cp:coreProperties>
</file>