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6"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</w:t>
      </w:r>
      <w:r>
        <w:rPr>
          <w:b/>
          <w:sz w:val="22"/>
          <w:szCs w:val="22"/>
        </w:rPr>
        <w:t xml:space="preserve">ОГОВОР </w:t>
      </w:r>
      <w:r>
        <w:rPr>
          <w:b/>
          <w:sz w:val="22"/>
          <w:szCs w:val="22"/>
        </w:rPr>
        <w:t xml:space="preserve">№</w:t>
      </w:r>
      <w:r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/2026</w:t>
      </w:r>
      <w:r>
        <w:rPr>
          <w:b/>
          <w:sz w:val="22"/>
          <w:szCs w:val="22"/>
        </w:rPr>
        <w:t xml:space="preserve">-Е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по </w:t>
      </w:r>
      <w:r>
        <w:rPr>
          <w:b/>
          <w:sz w:val="22"/>
          <w:szCs w:val="22"/>
        </w:rPr>
        <w:t xml:space="preserve">обязательн</w:t>
      </w:r>
      <w:r>
        <w:rPr>
          <w:b/>
          <w:sz w:val="22"/>
          <w:szCs w:val="22"/>
        </w:rPr>
        <w:t xml:space="preserve">ому</w:t>
      </w:r>
      <w:r>
        <w:rPr>
          <w:b/>
          <w:sz w:val="22"/>
          <w:szCs w:val="22"/>
        </w:rPr>
        <w:t xml:space="preserve"> страховани</w:t>
      </w:r>
      <w:r>
        <w:rPr>
          <w:b/>
          <w:sz w:val="22"/>
          <w:szCs w:val="22"/>
        </w:rPr>
        <w:t xml:space="preserve">ю</w:t>
      </w:r>
      <w:r>
        <w:rPr>
          <w:b/>
          <w:sz w:val="22"/>
          <w:szCs w:val="22"/>
        </w:rPr>
        <w:t xml:space="preserve"> гражданской ответственности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владельцев транспортных средств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rPr>
          <w:sz w:val="22"/>
          <w:szCs w:val="22"/>
          <w:highlight w:val="none"/>
        </w:rPr>
      </w:pPr>
      <w:r>
        <w:rPr>
          <w:bCs/>
          <w:sz w:val="22"/>
          <w:szCs w:val="22"/>
        </w:rPr>
        <w:t xml:space="preserve">г. </w:t>
      </w:r>
      <w:r>
        <w:rPr>
          <w:bCs/>
          <w:sz w:val="22"/>
          <w:szCs w:val="22"/>
        </w:rPr>
        <w:t xml:space="preserve">Екатеринбург</w:t>
      </w:r>
      <w:r>
        <w:rPr>
          <w:bCs/>
          <w:sz w:val="22"/>
          <w:szCs w:val="22"/>
        </w:rPr>
        <w:t xml:space="preserve">                                                   </w:t>
      </w:r>
      <w:r>
        <w:rPr>
          <w:bCs/>
          <w:sz w:val="22"/>
          <w:szCs w:val="22"/>
        </w:rPr>
        <w:t xml:space="preserve">                    </w:t>
      </w:r>
      <w:r>
        <w:rPr>
          <w:bCs/>
          <w:sz w:val="22"/>
          <w:szCs w:val="22"/>
        </w:rPr>
        <w:t xml:space="preserve">           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</w:t>
      </w:r>
      <w:r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  <w:t xml:space="preserve">   </w:t>
      </w:r>
      <w:r>
        <w:rPr>
          <w:bCs/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2026</w:t>
      </w:r>
      <w:r>
        <w:rPr>
          <w:sz w:val="22"/>
          <w:szCs w:val="22"/>
        </w:rPr>
        <w:t xml:space="preserve"> г.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  <w:shd w:val="clear" w:color="auto" w:fill="ffffff"/>
        </w:rPr>
      </w:pPr>
      <w:r>
        <w:rPr>
          <w:b/>
          <w:bCs/>
          <w:sz w:val="22"/>
          <w:szCs w:val="22"/>
          <w:shd w:val="clear" w:color="auto" w:fill="ffffff"/>
        </w:rPr>
        <w:t xml:space="preserve">Департамент по недропользованию по Уральскому федеральному округу</w:t>
      </w:r>
      <w:r>
        <w:rPr>
          <w:sz w:val="22"/>
          <w:szCs w:val="22"/>
          <w:shd w:val="clear" w:color="auto" w:fill="ffffff"/>
        </w:rPr>
        <w:t xml:space="preserve">, именуемое в </w:t>
      </w:r>
      <w:r>
        <w:rPr>
          <w:sz w:val="22"/>
          <w:szCs w:val="22"/>
          <w:shd w:val="clear" w:color="auto" w:fill="ffffff"/>
        </w:rPr>
        <w:t xml:space="preserve">дальнейшем </w:t>
      </w:r>
      <w:r>
        <w:rPr>
          <w:b/>
          <w:bCs/>
          <w:sz w:val="22"/>
          <w:szCs w:val="22"/>
          <w:shd w:val="clear" w:color="auto" w:fill="ffffff"/>
        </w:rPr>
        <w:t xml:space="preserve">«</w:t>
      </w:r>
      <w:r>
        <w:rPr>
          <w:b/>
          <w:bCs/>
          <w:sz w:val="22"/>
          <w:szCs w:val="22"/>
          <w:shd w:val="clear" w:color="auto" w:fill="ffffff"/>
        </w:rPr>
        <w:t xml:space="preserve">Страхователь</w:t>
      </w:r>
      <w:r>
        <w:rPr>
          <w:b/>
          <w:bCs/>
          <w:sz w:val="22"/>
          <w:szCs w:val="22"/>
          <w:shd w:val="clear" w:color="auto" w:fill="ffffff"/>
        </w:rPr>
        <w:t xml:space="preserve">»</w:t>
      </w:r>
      <w:r>
        <w:rPr>
          <w:sz w:val="22"/>
          <w:szCs w:val="22"/>
          <w:shd w:val="clear" w:color="auto" w:fill="ffffff"/>
        </w:rPr>
        <w:t xml:space="preserve">,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 xml:space="preserve">в лице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 xml:space="preserve">заместителя начальника Департамента – начальника отдела экономики, администрирования доходов, бюджетной отчетности и закупок</w:t>
      </w:r>
      <w:r>
        <w:rPr>
          <w:sz w:val="22"/>
          <w:szCs w:val="22"/>
          <w:shd w:val="clear" w:color="auto" w:fill="ffffff"/>
        </w:rPr>
        <w:t xml:space="preserve">, действующего на основании </w:t>
      </w:r>
      <w:r>
        <w:rPr>
          <w:sz w:val="22"/>
          <w:szCs w:val="22"/>
          <w:shd w:val="clear" w:color="auto" w:fill="ffffff"/>
        </w:rPr>
        <w:t xml:space="preserve">Доверенности № б/н от 14.01.2026 г., Мартюшевой Ксении Николаевны,</w:t>
      </w:r>
      <w:r>
        <w:rPr>
          <w:sz w:val="22"/>
          <w:szCs w:val="22"/>
          <w:shd w:val="clear" w:color="auto" w:fill="ffffff"/>
        </w:rPr>
        <w:t xml:space="preserve"> с одной стороны, и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______________________________________________________________________________________</w:t>
      </w:r>
      <w:r>
        <w:rPr>
          <w:sz w:val="22"/>
          <w:szCs w:val="22"/>
        </w:rPr>
        <w:t xml:space="preserve">именуемое в дальнейшем </w:t>
      </w:r>
      <w:r>
        <w:rPr>
          <w:b/>
          <w:bCs/>
          <w:sz w:val="22"/>
          <w:szCs w:val="22"/>
        </w:rPr>
        <w:t xml:space="preserve">«Страховщик»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другой стороны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вместе в дальнейшем по тексту </w:t>
      </w:r>
      <w:r>
        <w:rPr>
          <w:b/>
          <w:bCs/>
          <w:sz w:val="22"/>
          <w:szCs w:val="22"/>
        </w:rPr>
        <w:t xml:space="preserve">«Стороны»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основании п. 4 ч.1 ст.93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о нижеследующем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ПРЕДМЕТ ДОГОВОРА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1.1. Страховщик обязуется за обусловленную настоящим договором плату (страховую премию) при </w:t>
      </w:r>
      <w:r>
        <w:rPr>
          <w:sz w:val="22"/>
          <w:szCs w:val="22"/>
        </w:rPr>
        <w:t xml:space="preserve">наступлении предусмотренного в </w:t>
      </w:r>
      <w:r>
        <w:rPr>
          <w:sz w:val="22"/>
          <w:szCs w:val="22"/>
        </w:rPr>
        <w:t xml:space="preserve">Правилах обязательного страхования</w:t>
      </w:r>
      <w:r>
        <w:rPr>
          <w:sz w:val="22"/>
          <w:szCs w:val="22"/>
        </w:rPr>
        <w:t xml:space="preserve"> события (страхового случая) </w:t>
      </w:r>
      <w:r>
        <w:rPr>
          <w:sz w:val="22"/>
          <w:szCs w:val="22"/>
        </w:rPr>
        <w:t xml:space="preserve">осуществить</w:t>
      </w:r>
      <w:r>
        <w:rPr>
          <w:sz w:val="22"/>
          <w:szCs w:val="22"/>
        </w:rPr>
        <w:t xml:space="preserve"> потерпевшему (тре</w:t>
      </w:r>
      <w:r>
        <w:rPr>
          <w:sz w:val="22"/>
          <w:szCs w:val="22"/>
        </w:rPr>
        <w:t xml:space="preserve">тьему лицу) </w:t>
      </w:r>
      <w:r>
        <w:rPr>
          <w:sz w:val="22"/>
          <w:szCs w:val="22"/>
        </w:rPr>
        <w:t xml:space="preserve">страховую выплату в счет возмещения вреда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причиненного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жизни, здоровью </w:t>
      </w:r>
      <w:r>
        <w:rPr>
          <w:sz w:val="22"/>
          <w:szCs w:val="22"/>
        </w:rPr>
        <w:t xml:space="preserve">или имуществу </w:t>
      </w:r>
      <w:r>
        <w:rPr>
          <w:sz w:val="22"/>
          <w:szCs w:val="22"/>
        </w:rPr>
        <w:t xml:space="preserve">потерпевшего, </w:t>
      </w:r>
      <w:r>
        <w:rPr>
          <w:sz w:val="22"/>
          <w:szCs w:val="22"/>
        </w:rPr>
        <w:t xml:space="preserve">в пределах </w:t>
      </w:r>
      <w:r>
        <w:rPr>
          <w:sz w:val="22"/>
          <w:szCs w:val="22"/>
        </w:rPr>
        <w:t xml:space="preserve">определенной настоящим договором суммы (</w:t>
      </w:r>
      <w:r>
        <w:rPr>
          <w:sz w:val="22"/>
          <w:szCs w:val="22"/>
        </w:rPr>
        <w:t xml:space="preserve">страховой суммы</w:t>
      </w:r>
      <w:r>
        <w:rPr>
          <w:sz w:val="22"/>
          <w:szCs w:val="22"/>
        </w:rPr>
        <w:t xml:space="preserve">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1.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 Объем оказания услуг –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единиц </w:t>
      </w:r>
      <w:r>
        <w:rPr>
          <w:sz w:val="22"/>
          <w:szCs w:val="22"/>
        </w:rPr>
        <w:t xml:space="preserve">транспортных средств, подлежащих страхованию в соответств</w:t>
      </w:r>
      <w:r>
        <w:rPr>
          <w:sz w:val="22"/>
          <w:szCs w:val="22"/>
        </w:rPr>
        <w:t xml:space="preserve">ии со Спецификацией (Приложение</w:t>
      </w:r>
      <w:r>
        <w:rPr>
          <w:sz w:val="22"/>
          <w:szCs w:val="22"/>
        </w:rPr>
        <w:t xml:space="preserve"> № 1), являющейся неотъемлемой частью настоящего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ОБЪЕКТ СТРАХОВАНИЯ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sz w:val="22"/>
          <w:szCs w:val="22"/>
        </w:rPr>
        <w:t xml:space="preserve">Объектом страхования являются не противоречащие действующему законодательству РФ имущественные интересы, связанные с риско</w:t>
      </w:r>
      <w:r>
        <w:rPr>
          <w:sz w:val="22"/>
          <w:szCs w:val="22"/>
        </w:rPr>
        <w:t xml:space="preserve">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</w:t>
      </w:r>
      <w:r>
        <w:rPr>
          <w:sz w:val="22"/>
          <w:szCs w:val="22"/>
        </w:rPr>
        <w:t xml:space="preserve">транспортного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средств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территории РФ согласно </w:t>
      </w:r>
      <w:r>
        <w:rPr>
          <w:sz w:val="22"/>
          <w:szCs w:val="22"/>
        </w:rPr>
        <w:t xml:space="preserve">Заявлений</w:t>
      </w:r>
      <w:r>
        <w:rPr>
          <w:sz w:val="22"/>
          <w:szCs w:val="22"/>
        </w:rPr>
        <w:t xml:space="preserve"> о заключении договора обязатель</w:t>
      </w:r>
      <w:r>
        <w:rPr>
          <w:sz w:val="22"/>
          <w:szCs w:val="22"/>
        </w:rPr>
        <w:t xml:space="preserve">ного страхования гражданской ответственности владельцев транспортных с</w:t>
      </w:r>
      <w:r>
        <w:rPr>
          <w:sz w:val="22"/>
          <w:szCs w:val="22"/>
        </w:rPr>
        <w:t xml:space="preserve">редств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Собственник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транспортных средств является</w:t>
      </w:r>
      <w:r>
        <w:rPr>
          <w:sz w:val="22"/>
          <w:szCs w:val="22"/>
        </w:rPr>
        <w:t xml:space="preserve"> Департамент по недропользованию по Уральскому федеральному округу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СТРАХОВАЯ СУММА И СТРАХОВАЯ ПРЕМИЯ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numPr>
          <w:ilvl w:val="0"/>
          <w:numId w:val="11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 xml:space="preserve">Страховой сумм</w:t>
      </w:r>
      <w:r>
        <w:rPr>
          <w:sz w:val="22"/>
          <w:szCs w:val="22"/>
        </w:rPr>
        <w:t xml:space="preserve">ой является определенная Федеральным законом об обязательном страховании денежная сумма в валюте Российской Федерации, в пределах которой Страховщик при наступлении каждого страхового случая (независимо от их числа в течение срока действия </w:t>
      </w:r>
      <w:r>
        <w:rPr>
          <w:sz w:val="22"/>
          <w:szCs w:val="22"/>
        </w:rPr>
        <w:t xml:space="preserve">страхования по каждому полису об</w:t>
      </w:r>
      <w:r>
        <w:rPr>
          <w:sz w:val="22"/>
          <w:szCs w:val="22"/>
        </w:rPr>
        <w:t xml:space="preserve">язательного страхования гражданской ответственности владельцев транспортного средства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обязуется </w:t>
      </w:r>
      <w:r>
        <w:rPr>
          <w:sz w:val="22"/>
          <w:szCs w:val="22"/>
        </w:rPr>
        <w:t xml:space="preserve">возместить потерпевшим причиненный вред.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11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 xml:space="preserve">Страховая  сумма по каждому ТС, в пределах которой страховщик при наступлении каждого страхового  случ</w:t>
      </w:r>
      <w:r>
        <w:rPr>
          <w:sz w:val="22"/>
          <w:szCs w:val="22"/>
        </w:rPr>
        <w:t xml:space="preserve">ая  (н</w:t>
      </w:r>
      <w:r>
        <w:rPr>
          <w:sz w:val="22"/>
          <w:szCs w:val="22"/>
        </w:rPr>
        <w:t xml:space="preserve">езависимо  от  количества страховых случаев в течение срока   страхования   по   договору  обязательного  страхования)  обязуется возместить потерпевшим причиненный вред, установлена Федеральным законом от 25  апреля  2002  года  N  40-ФЗ  "Об обязательном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страховании гражданской ответственности владельцев транспортных средств" в редакции, действующей на дату заключения  настоящего договора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</w:t>
      </w:r>
      <w:r>
        <w:rPr>
          <w:sz w:val="22"/>
          <w:szCs w:val="22"/>
        </w:rPr>
        <w:t xml:space="preserve">Страховая премия по каждому транспортному средству определ</w:t>
      </w:r>
      <w:r>
        <w:rPr>
          <w:sz w:val="22"/>
          <w:szCs w:val="22"/>
        </w:rPr>
        <w:t xml:space="preserve">яется </w:t>
      </w:r>
      <w:r>
        <w:rPr>
          <w:sz w:val="22"/>
          <w:szCs w:val="22"/>
        </w:rPr>
        <w:t xml:space="preserve">в соответствии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твержденными Страховщиком</w:t>
      </w:r>
      <w:r>
        <w:rPr>
          <w:sz w:val="22"/>
          <w:szCs w:val="22"/>
        </w:rPr>
        <w:t xml:space="preserve">, на момент подписания данного договора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Базовыми ставками страховых тарифов и </w:t>
      </w:r>
      <w:r>
        <w:rPr>
          <w:sz w:val="22"/>
          <w:szCs w:val="22"/>
        </w:rPr>
        <w:t xml:space="preserve">Коэффициентами страховых тарифов 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твержденных, на момент подписания данного договора, 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казанием Банка России «О предельных размерах базовых ставок страховых тарифов и коэффициентах страховых тарифов, а так же порядке их применения страховщиками при определении страхо</w:t>
      </w:r>
      <w:r>
        <w:rPr>
          <w:sz w:val="22"/>
          <w:szCs w:val="22"/>
        </w:rPr>
        <w:t xml:space="preserve">вой премии по обязательному страхованию гражданской ответственности вла</w:t>
      </w:r>
      <w:r>
        <w:rPr>
          <w:sz w:val="22"/>
          <w:szCs w:val="22"/>
        </w:rPr>
        <w:t xml:space="preserve">дельцев т</w:t>
      </w:r>
      <w:r>
        <w:rPr>
          <w:sz w:val="22"/>
          <w:szCs w:val="22"/>
        </w:rPr>
        <w:t xml:space="preserve">ранспортных средств»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3.4. </w:t>
      </w:r>
      <w:r>
        <w:rPr>
          <w:sz w:val="22"/>
          <w:szCs w:val="22"/>
        </w:rPr>
        <w:t xml:space="preserve">Страховая премия по на</w:t>
      </w:r>
      <w:r>
        <w:rPr>
          <w:sz w:val="22"/>
          <w:szCs w:val="22"/>
        </w:rPr>
        <w:t xml:space="preserve">стоящему </w:t>
      </w:r>
      <w:r>
        <w:rPr>
          <w:sz w:val="22"/>
          <w:szCs w:val="22"/>
        </w:rPr>
        <w:t xml:space="preserve">договору </w:t>
      </w:r>
      <w:r>
        <w:rPr>
          <w:sz w:val="22"/>
          <w:szCs w:val="22"/>
        </w:rPr>
        <w:t xml:space="preserve">составляет </w:t>
      </w:r>
      <w:bookmarkStart w:id="0" w:name="_Hlk127195724"/>
      <w:r>
        <w:rPr>
          <w:b/>
          <w:bCs/>
          <w:sz w:val="22"/>
          <w:szCs w:val="22"/>
        </w:rPr>
        <w:t xml:space="preserve">_______</w:t>
      </w:r>
      <w:r>
        <w:rPr>
          <w:b/>
          <w:bCs/>
          <w:sz w:val="22"/>
          <w:szCs w:val="22"/>
        </w:rPr>
        <w:t xml:space="preserve">____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(</w:t>
      </w:r>
      <w:r>
        <w:rPr>
          <w:b/>
          <w:bCs/>
          <w:sz w:val="22"/>
          <w:szCs w:val="22"/>
        </w:rPr>
        <w:t xml:space="preserve">___________</w:t>
      </w:r>
      <w:r>
        <w:rPr>
          <w:b/>
          <w:bCs/>
          <w:sz w:val="22"/>
          <w:szCs w:val="22"/>
        </w:rPr>
        <w:t xml:space="preserve">)</w:t>
      </w:r>
      <w:r>
        <w:rPr>
          <w:b/>
          <w:bCs/>
          <w:sz w:val="22"/>
          <w:szCs w:val="22"/>
        </w:rPr>
        <w:t xml:space="preserve"> рубл</w:t>
      </w:r>
      <w:r>
        <w:rPr>
          <w:b/>
          <w:bCs/>
          <w:sz w:val="22"/>
          <w:szCs w:val="22"/>
        </w:rPr>
        <w:t xml:space="preserve">ей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___________ копеек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цена настоящего договора).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ind w:firstLine="720"/>
        <w:jc w:val="both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3.5. </w:t>
      </w:r>
      <w:r>
        <w:rPr>
          <w:sz w:val="22"/>
          <w:szCs w:val="22"/>
        </w:rPr>
        <w:t xml:space="preserve">Цена настоящего договора, которая определена на весь срок исполнения настоящего дого</w:t>
      </w:r>
      <w:r>
        <w:rPr>
          <w:sz w:val="22"/>
          <w:szCs w:val="22"/>
        </w:rPr>
        <w:t xml:space="preserve">вора, является твердой и не может изменяться в ходе его исполнения, за исключением случаев, предусмотренных статьей 95 Федерального закона от 05.04.2013 №44-ФЗ «О контрактной системе в сфере закупок товаров, работ, услуг для обеспечения государственных и м</w:t>
      </w:r>
      <w:r>
        <w:rPr>
          <w:sz w:val="22"/>
          <w:szCs w:val="22"/>
        </w:rPr>
        <w:t xml:space="preserve">униципальных нужд».</w:t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p>
      <w:pPr>
        <w:pStyle w:val="942"/>
        <w:ind w:firstLine="720"/>
        <w:jc w:val="both"/>
        <w:rPr>
          <w:color w:val="000000"/>
          <w:sz w:val="22"/>
          <w:szCs w:val="22"/>
        </w:rPr>
      </w:pPr>
      <w:r/>
      <w:bookmarkEnd w:id="0"/>
      <w:r>
        <w:rPr>
          <w:color w:val="000000"/>
          <w:sz w:val="22"/>
          <w:szCs w:val="22"/>
        </w:rPr>
        <w:t xml:space="preserve">3.</w:t>
      </w:r>
      <w:r>
        <w:rPr>
          <w:color w:val="000000"/>
          <w:sz w:val="22"/>
          <w:szCs w:val="22"/>
        </w:rPr>
        <w:t xml:space="preserve">6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Оплата по настоящему </w:t>
      </w:r>
      <w:r>
        <w:rPr>
          <w:color w:val="000000"/>
          <w:sz w:val="22"/>
          <w:szCs w:val="22"/>
        </w:rPr>
        <w:t xml:space="preserve">д</w:t>
      </w:r>
      <w:r>
        <w:rPr>
          <w:color w:val="000000"/>
          <w:sz w:val="22"/>
          <w:szCs w:val="22"/>
        </w:rPr>
        <w:t xml:space="preserve">оговору производится за счет средств фе</w:t>
      </w:r>
      <w:r>
        <w:rPr>
          <w:color w:val="000000"/>
          <w:sz w:val="22"/>
          <w:szCs w:val="22"/>
        </w:rPr>
        <w:t xml:space="preserve">дерального бюд</w:t>
      </w:r>
      <w:r>
        <w:rPr>
          <w:color w:val="000000"/>
          <w:sz w:val="22"/>
          <w:szCs w:val="22"/>
        </w:rPr>
        <w:t xml:space="preserve">жета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 рублях </w:t>
      </w:r>
      <w:r>
        <w:rPr>
          <w:color w:val="000000"/>
          <w:sz w:val="22"/>
          <w:szCs w:val="22"/>
        </w:rPr>
        <w:t xml:space="preserve">Российской Федерации.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42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Страховая премия по настоящему договору уплачивается Страхователем </w:t>
      </w:r>
      <w:r>
        <w:rPr>
          <w:sz w:val="22"/>
          <w:szCs w:val="22"/>
        </w:rPr>
        <w:t xml:space="preserve">единовременно </w:t>
      </w:r>
      <w:r>
        <w:rPr>
          <w:sz w:val="22"/>
          <w:szCs w:val="22"/>
        </w:rPr>
        <w:t xml:space="preserve">в размере 100% аванса </w:t>
      </w:r>
      <w:r>
        <w:rPr>
          <w:sz w:val="22"/>
          <w:szCs w:val="22"/>
        </w:rPr>
        <w:t xml:space="preserve">по безналичному расчету </w:t>
      </w:r>
      <w:r>
        <w:rPr>
          <w:sz w:val="22"/>
          <w:szCs w:val="22"/>
        </w:rPr>
        <w:t xml:space="preserve">в течение 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семи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рабочих</w:t>
      </w:r>
      <w:r>
        <w:rPr>
          <w:sz w:val="22"/>
          <w:szCs w:val="22"/>
        </w:rPr>
        <w:t xml:space="preserve"> дней с </w:t>
      </w:r>
      <w:r>
        <w:rPr>
          <w:sz w:val="22"/>
          <w:szCs w:val="22"/>
        </w:rPr>
        <w:t xml:space="preserve">даты выставления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чета</w:t>
      </w:r>
      <w:r>
        <w:rPr>
          <w:sz w:val="22"/>
          <w:szCs w:val="22"/>
        </w:rPr>
        <w:t xml:space="preserve"> на оплату</w:t>
      </w:r>
      <w:r>
        <w:rPr>
          <w:sz w:val="22"/>
          <w:szCs w:val="22"/>
        </w:rPr>
        <w:t xml:space="preserve"> на расчетный сч</w:t>
      </w:r>
      <w:r>
        <w:rPr>
          <w:sz w:val="22"/>
          <w:szCs w:val="22"/>
        </w:rPr>
        <w:t xml:space="preserve">ет Страховщика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ind w:firstLine="72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Датой уплаты страховой премии считается день перечисления страховой премии на расчетный счет Страховщика.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42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Страховой полис обязательного страхования выдается Страховщиком Страхователю, исполнившему обязанность по оплате страхов</w:t>
      </w:r>
      <w:r>
        <w:rPr>
          <w:sz w:val="22"/>
          <w:szCs w:val="22"/>
        </w:rPr>
        <w:t xml:space="preserve">ой премии, незамедлительно после осуществления указанных действий.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Страховщик в течение 5 (пяти) рабочих дней </w:t>
      </w:r>
      <w:r>
        <w:rPr>
          <w:sz w:val="22"/>
          <w:szCs w:val="22"/>
        </w:rPr>
        <w:t xml:space="preserve">после выдачи Страхового полиса</w:t>
      </w:r>
      <w:r>
        <w:rPr>
          <w:sz w:val="22"/>
          <w:szCs w:val="22"/>
        </w:rPr>
        <w:t xml:space="preserve"> Страхователю</w:t>
      </w:r>
      <w:r>
        <w:rPr>
          <w:sz w:val="22"/>
          <w:szCs w:val="22"/>
        </w:rPr>
        <w:t xml:space="preserve">, направляет в адрес Страхователя </w:t>
      </w:r>
      <w:r>
        <w:rPr>
          <w:sz w:val="22"/>
          <w:szCs w:val="22"/>
        </w:rPr>
        <w:t xml:space="preserve">подписан</w:t>
      </w:r>
      <w:r>
        <w:rPr>
          <w:sz w:val="22"/>
          <w:szCs w:val="22"/>
        </w:rPr>
        <w:t xml:space="preserve">ны</w:t>
      </w:r>
      <w:r>
        <w:rPr>
          <w:sz w:val="22"/>
          <w:szCs w:val="22"/>
        </w:rPr>
        <w:t xml:space="preserve">й</w:t>
      </w:r>
      <w:r>
        <w:rPr>
          <w:sz w:val="22"/>
          <w:szCs w:val="22"/>
        </w:rPr>
        <w:t xml:space="preserve"> со своей стороны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кт оказанных услуг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СТРАХОВЫЕ СЛУЧАИ И СТРАХ</w:t>
      </w:r>
      <w:r>
        <w:rPr>
          <w:b/>
          <w:sz w:val="22"/>
          <w:szCs w:val="22"/>
        </w:rPr>
        <w:t xml:space="preserve">ОВЫЕ ВЫПЛАТЫ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Страховым случаем по настоящему договору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</w:t>
      </w:r>
      <w:r>
        <w:rPr>
          <w:rFonts w:ascii="Times New Roman" w:hAnsi="Times New Roman" w:cs="Times New Roman"/>
          <w:sz w:val="22"/>
          <w:szCs w:val="22"/>
        </w:rPr>
        <w:t xml:space="preserve">зовании транспортного средст</w:t>
      </w:r>
      <w:r>
        <w:rPr>
          <w:rFonts w:ascii="Times New Roman" w:hAnsi="Times New Roman" w:cs="Times New Roman"/>
          <w:sz w:val="22"/>
          <w:szCs w:val="22"/>
        </w:rPr>
        <w:t xml:space="preserve">ва </w:t>
      </w:r>
      <w:r>
        <w:rPr>
          <w:rFonts w:ascii="Times New Roman" w:hAnsi="Times New Roman" w:cs="Times New Roman"/>
          <w:sz w:val="22"/>
          <w:szCs w:val="22"/>
        </w:rPr>
        <w:t xml:space="preserve">влекущее за собой в соответствии с настоящим договором обязанность Страховщика осуществить страховую выплату.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 По настоящему договору не возмещается вред, причиненный вследствие: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4.2.1. </w:t>
      </w:r>
      <w:r>
        <w:rPr>
          <w:rFonts w:ascii="Times New Roman" w:hAnsi="Times New Roman" w:cs="Times New Roman"/>
          <w:sz w:val="22"/>
          <w:szCs w:val="22"/>
        </w:rPr>
        <w:t xml:space="preserve">Н</w:t>
      </w:r>
      <w:r>
        <w:rPr>
          <w:rFonts w:ascii="Times New Roman" w:hAnsi="Times New Roman" w:cs="Times New Roman"/>
          <w:sz w:val="22"/>
          <w:szCs w:val="22"/>
        </w:rPr>
        <w:t xml:space="preserve">епреодолимой силы либо умысла потерпевшего;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4.2.2. </w:t>
      </w:r>
      <w:r>
        <w:rPr>
          <w:rFonts w:ascii="Times New Roman" w:hAnsi="Times New Roman" w:cs="Times New Roman"/>
          <w:sz w:val="22"/>
          <w:szCs w:val="22"/>
        </w:rPr>
        <w:t xml:space="preserve">В</w:t>
      </w:r>
      <w:r>
        <w:rPr>
          <w:rFonts w:ascii="Times New Roman" w:hAnsi="Times New Roman" w:cs="Times New Roman"/>
          <w:sz w:val="22"/>
          <w:szCs w:val="22"/>
        </w:rPr>
        <w:t xml:space="preserve">оздействия ядерног</w:t>
      </w:r>
      <w:r>
        <w:rPr>
          <w:rFonts w:ascii="Times New Roman" w:hAnsi="Times New Roman" w:cs="Times New Roman"/>
          <w:sz w:val="22"/>
          <w:szCs w:val="22"/>
        </w:rPr>
        <w:t xml:space="preserve">о взрыва, радиации или радиоактивного заражения;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4.2.3. </w:t>
      </w:r>
      <w:r>
        <w:rPr>
          <w:rFonts w:ascii="Times New Roman" w:hAnsi="Times New Roman" w:cs="Times New Roman"/>
          <w:sz w:val="22"/>
          <w:szCs w:val="22"/>
        </w:rPr>
        <w:t xml:space="preserve">В</w:t>
      </w:r>
      <w:r>
        <w:rPr>
          <w:rFonts w:ascii="Times New Roman" w:hAnsi="Times New Roman" w:cs="Times New Roman"/>
          <w:sz w:val="22"/>
          <w:szCs w:val="22"/>
        </w:rPr>
        <w:t xml:space="preserve">оенных действий, а также маневров или иных военных мероприятий;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4.2.2.</w:t>
      </w:r>
      <w:r>
        <w:rPr>
          <w:rFonts w:ascii="Times New Roman" w:hAnsi="Times New Roman" w:cs="Times New Roman"/>
          <w:sz w:val="22"/>
          <w:szCs w:val="22"/>
        </w:rPr>
        <w:t xml:space="preserve"> Г</w:t>
      </w:r>
      <w:r>
        <w:rPr>
          <w:rFonts w:ascii="Times New Roman" w:hAnsi="Times New Roman" w:cs="Times New Roman"/>
          <w:sz w:val="22"/>
          <w:szCs w:val="22"/>
        </w:rPr>
        <w:t xml:space="preserve">ражданской войны, народных волнений или забастовок.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4.3. </w:t>
      </w:r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о нас</w:t>
      </w:r>
      <w:r>
        <w:rPr>
          <w:rFonts w:ascii="Times New Roman" w:hAnsi="Times New Roman" w:cs="Times New Roman"/>
          <w:sz w:val="22"/>
          <w:szCs w:val="22"/>
        </w:rPr>
        <w:t xml:space="preserve">тоящему договору не возмещается </w:t>
      </w:r>
      <w:r>
        <w:rPr>
          <w:rFonts w:ascii="Times New Roman" w:hAnsi="Times New Roman" w:cs="Times New Roman"/>
          <w:sz w:val="22"/>
          <w:szCs w:val="22"/>
        </w:rPr>
        <w:t xml:space="preserve">вред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причиненный имуще</w:t>
      </w:r>
      <w:r>
        <w:rPr>
          <w:rFonts w:ascii="Times New Roman" w:hAnsi="Times New Roman" w:cs="Times New Roman"/>
          <w:sz w:val="22"/>
          <w:szCs w:val="22"/>
        </w:rPr>
        <w:t xml:space="preserve">ству, принадлежащему лицу, ответственному за причиненный вред.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Не относится к страховым случаям наступление гражданской ответственности владельцев транспортных средств вследствие: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4.4.1. </w:t>
      </w:r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ричинения вреда при использовании ин</w:t>
      </w:r>
      <w:r>
        <w:rPr>
          <w:rFonts w:ascii="Times New Roman" w:hAnsi="Times New Roman" w:cs="Times New Roman"/>
          <w:sz w:val="22"/>
          <w:szCs w:val="22"/>
        </w:rPr>
        <w:t xml:space="preserve">ого транспортного средства, чем-</w:t>
      </w:r>
      <w:r>
        <w:rPr>
          <w:rFonts w:ascii="Times New Roman" w:hAnsi="Times New Roman" w:cs="Times New Roman"/>
          <w:sz w:val="22"/>
          <w:szCs w:val="22"/>
        </w:rPr>
        <w:t xml:space="preserve">то, которое указано в настоящем договоре;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4.4.2. </w:t>
      </w:r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ричинения морального вреда или возникновения обязанности по возмещению упущенной выгоды;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4.4.3. </w:t>
      </w:r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ричинения вреда при использовании транспортных средств в ходе соревнований, испытаний или учебной езды в</w:t>
      </w:r>
      <w:r>
        <w:rPr>
          <w:rFonts w:ascii="Times New Roman" w:hAnsi="Times New Roman" w:cs="Times New Roman"/>
          <w:sz w:val="22"/>
          <w:szCs w:val="22"/>
        </w:rPr>
        <w:t xml:space="preserve"> специально отведенных для этого местах;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4.4.4. </w:t>
      </w:r>
      <w:r>
        <w:rPr>
          <w:rFonts w:ascii="Times New Roman" w:hAnsi="Times New Roman" w:cs="Times New Roman"/>
          <w:sz w:val="22"/>
          <w:szCs w:val="22"/>
        </w:rPr>
        <w:t xml:space="preserve">З</w:t>
      </w:r>
      <w:r>
        <w:rPr>
          <w:rFonts w:ascii="Times New Roman" w:hAnsi="Times New Roman" w:cs="Times New Roman"/>
          <w:sz w:val="22"/>
          <w:szCs w:val="22"/>
        </w:rPr>
        <w:t xml:space="preserve">агрязнения окружающей природной среды;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4.4.5. </w:t>
      </w:r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4.4.6. </w:t>
      </w:r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</w:t>
      </w:r>
      <w:r>
        <w:rPr>
          <w:rFonts w:ascii="Times New Roman" w:hAnsi="Times New Roman" w:cs="Times New Roman"/>
          <w:sz w:val="22"/>
          <w:szCs w:val="22"/>
        </w:rPr>
        <w:t xml:space="preserve">ательного социального страхования;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4.4.7. </w:t>
      </w:r>
      <w:r>
        <w:rPr>
          <w:rFonts w:ascii="Times New Roman" w:hAnsi="Times New Roman" w:cs="Times New Roman"/>
          <w:sz w:val="22"/>
          <w:szCs w:val="22"/>
        </w:rPr>
        <w:t xml:space="preserve">В</w:t>
      </w:r>
      <w:r>
        <w:rPr>
          <w:rFonts w:ascii="Times New Roman" w:hAnsi="Times New Roman" w:cs="Times New Roman"/>
          <w:sz w:val="22"/>
          <w:szCs w:val="22"/>
        </w:rPr>
        <w:t xml:space="preserve">озникновения обязанности по возмещению работодателю убытков, вызванных причинением вреда работнику;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4.4.8. </w:t>
      </w:r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4.4.9. </w:t>
      </w:r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ричинения вреда при погрузке груза на транспортное средство или его разгрузке;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4.4.10 </w:t>
      </w:r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овреждения или уничтожения антикварных и других уникальных предметов, зданий и сооружений, имеющих исто</w:t>
      </w:r>
      <w:r>
        <w:rPr>
          <w:rFonts w:ascii="Times New Roman" w:hAnsi="Times New Roman" w:cs="Times New Roman"/>
          <w:sz w:val="22"/>
          <w:szCs w:val="22"/>
        </w:rPr>
        <w:t xml:space="preserve">ри</w:t>
      </w:r>
      <w:r>
        <w:rPr>
          <w:rFonts w:ascii="Times New Roman" w:hAnsi="Times New Roman" w:cs="Times New Roman"/>
          <w:sz w:val="22"/>
          <w:szCs w:val="22"/>
        </w:rPr>
        <w:t xml:space="preserve">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4.4.11. </w:t>
      </w:r>
      <w:r>
        <w:rPr>
          <w:rFonts w:ascii="Times New Roman" w:hAnsi="Times New Roman" w:cs="Times New Roman"/>
          <w:sz w:val="22"/>
          <w:szCs w:val="22"/>
        </w:rPr>
        <w:t xml:space="preserve">В</w:t>
      </w:r>
      <w:r>
        <w:rPr>
          <w:rFonts w:ascii="Times New Roman" w:hAnsi="Times New Roman" w:cs="Times New Roman"/>
          <w:sz w:val="22"/>
          <w:szCs w:val="22"/>
        </w:rPr>
        <w:t xml:space="preserve">озникновения обязанности владельца транспортного средства возместить вред в части, превышающей размер ответственности, предусмотренный Федеральным законом «Об обязательном страховании гражданской ответственности владельцев транспортных средств»</w:t>
      </w:r>
      <w:r>
        <w:rPr>
          <w:rFonts w:ascii="Times New Roman" w:hAnsi="Times New Roman" w:cs="Times New Roman"/>
          <w:sz w:val="22"/>
          <w:szCs w:val="22"/>
        </w:rPr>
        <w:t xml:space="preserve">, и главой 59 Гражданского кодекса Российской Федерации (в случае если более высокий размер ответственности установлен федеральным законом или договором).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4.5.   Определение размера страховой выплаты и подлежащих возмещению убытков при причинении </w:t>
      </w:r>
      <w:r>
        <w:rPr>
          <w:sz w:val="22"/>
          <w:szCs w:val="22"/>
        </w:rPr>
        <w:t xml:space="preserve">вреда жизни</w:t>
      </w:r>
      <w:r>
        <w:rPr>
          <w:sz w:val="22"/>
          <w:szCs w:val="22"/>
        </w:rPr>
        <w:t xml:space="preserve">, здоровью или имуществу потерпевшего.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4.5.1. Размер страховой выплаты за причинение вреда жизни потерпевшего составляет: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475 тысяч рублей – лицам, имеющим право в соответствии с гражданским законодательством на возмещение вреда в случае смерти потерпев</w:t>
      </w:r>
      <w:r>
        <w:rPr>
          <w:sz w:val="22"/>
          <w:szCs w:val="22"/>
        </w:rPr>
        <w:t xml:space="preserve">шего (кормильца), при отсутствии таких лиц - супруг, родители, дети потерпевшего, граждане, у которых потерпевший находился на иждивении, если он не имел самостоятельного дохода (выгодоприобретатели);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не более 25 тысяч рублей на возмещение расходов на погребение – лицам, понесшим такие расходы.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4.5.2. Размер страховой выплаты, причитающейся потерпевшему в счет возмещения вреда, его здоровью, рассчитывается в соответствии с правилами главы 59 Гражданского кодекса Российской Федерации. При причинении вреда з</w:t>
      </w:r>
      <w:r>
        <w:rPr>
          <w:sz w:val="22"/>
          <w:szCs w:val="22"/>
        </w:rPr>
        <w:t xml:space="preserve">доровью потерпевшего в связи со страховым случаем возмещению подлежат утраченный потерпевшим заработок (доход), который он имел либо определенно мог иметь на день причинения ему вреда, а также дополнительно понесенные расходы, вызванные повреждением здоров</w:t>
      </w:r>
      <w:r>
        <w:rPr>
          <w:sz w:val="22"/>
          <w:szCs w:val="22"/>
        </w:rPr>
        <w:t xml:space="preserve">ья, в том числе расходы на лечение, дополнительное питание, приобретение лекарств, протезирование, посторонний уход, санаторно-курортное лечение, приобретение специальных транспортных средств, подготовку к другой профессии, если установлено, что потерпевши</w:t>
      </w:r>
      <w:r>
        <w:rPr>
          <w:sz w:val="22"/>
          <w:szCs w:val="22"/>
        </w:rPr>
        <w:t xml:space="preserve">й нуждается в этих видах помощи и ухода и не имеет права на их бесплатное получение.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</w:rPr>
        <w:t xml:space="preserve">Страховщик по сог</w:t>
      </w:r>
      <w:r>
        <w:rPr>
          <w:rFonts w:ascii="Times New Roman" w:hAnsi="Times New Roman" w:cs="Times New Roman"/>
          <w:sz w:val="22"/>
          <w:szCs w:val="22"/>
        </w:rPr>
        <w:t xml:space="preserve">ласованию с потерпевшим вправе </w:t>
      </w:r>
      <w:r>
        <w:rPr>
          <w:rFonts w:ascii="Times New Roman" w:hAnsi="Times New Roman" w:cs="Times New Roman"/>
          <w:sz w:val="22"/>
          <w:szCs w:val="22"/>
        </w:rPr>
        <w:t xml:space="preserve">произвести частичную страховую выплату на основании документов о предоставлении услуг и их оплате, необходимость в оказании которых была вызвана страховым случаем </w:t>
      </w:r>
      <w:r>
        <w:rPr>
          <w:rFonts w:ascii="Times New Roman" w:hAnsi="Times New Roman" w:cs="Times New Roman"/>
          <w:sz w:val="22"/>
          <w:szCs w:val="22"/>
        </w:rPr>
        <w:t xml:space="preserve">либо оплатить</w:t>
      </w:r>
      <w:r>
        <w:rPr>
          <w:rFonts w:ascii="Times New Roman" w:hAnsi="Times New Roman" w:cs="Times New Roman"/>
          <w:sz w:val="22"/>
          <w:szCs w:val="22"/>
        </w:rPr>
        <w:t xml:space="preserve"> эти услуги непосредственно оказавшему их медицинскому учреждению.</w:t>
      </w:r>
      <w:r>
        <w:rPr>
          <w:rFonts w:ascii="Times New Roman" w:hAnsi="Times New Roman" w:cs="Times New Roman"/>
          <w:sz w:val="22"/>
          <w:szCs w:val="22"/>
          <w:highlight w:val="yellow"/>
        </w:rPr>
      </w:r>
      <w:r>
        <w:rPr>
          <w:rFonts w:ascii="Times New Roman" w:hAnsi="Times New Roman" w:cs="Times New Roman"/>
          <w:sz w:val="22"/>
          <w:szCs w:val="22"/>
          <w:highlight w:val="yellow"/>
        </w:rPr>
      </w:r>
    </w:p>
    <w:p>
      <w:pPr>
        <w:pStyle w:val="943"/>
        <w:contextualSpacing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4.5.3. Размер подлежащих возмещению убытков при причинении вреда имуществу потерпевшего определяется: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contextualSpacing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В случае полной гибели имущества </w:t>
      </w:r>
      <w:r>
        <w:rPr>
          <w:sz w:val="22"/>
          <w:szCs w:val="22"/>
        </w:rPr>
        <w:t xml:space="preserve">потерпевшего (если ремонт поврежденного имущества невозможен </w:t>
      </w:r>
      <w:r>
        <w:rPr>
          <w:sz w:val="22"/>
          <w:szCs w:val="22"/>
        </w:rPr>
        <w:t xml:space="preserve">либо стоимость ремонта поврежденного имущества равна его стоимости или превышает его стоимость на дату наступления страхового случая) - в размере действительной стоимости имущества на день наступления страхового случая за вычетом стоимости годных остатков.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contextualSpacing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В случае повреждения имущества потерпевшего - в размере расходов, необходимых для приведения имущества в состояние, в котором оно находилось до наступления страхового случая (восстановительных р</w:t>
      </w:r>
      <w:r>
        <w:rPr>
          <w:sz w:val="22"/>
          <w:szCs w:val="22"/>
        </w:rPr>
        <w:t xml:space="preserve">асходов).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contextualSpacing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Восстановительные расходы оплачиваются исходя из средних сложившихся в регионе цен,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ри определении размера восстановительных расходов учитывается изно</w:t>
      </w:r>
      <w:r>
        <w:rPr>
          <w:sz w:val="22"/>
          <w:szCs w:val="22"/>
        </w:rPr>
        <w:t xml:space="preserve">с деталей, узлов и агрегатов. Размер расходов на запасные части определяется с учетом износа комплектующих изделий (деталей, узлов и агрегатов), подлежащих замене при восстановительном ремонте. При этом на указанные комплектующие изделия (детали, узлы и аг</w:t>
      </w:r>
      <w:r>
        <w:rPr>
          <w:sz w:val="22"/>
          <w:szCs w:val="22"/>
        </w:rPr>
        <w:t xml:space="preserve">регаты) не может начисляться износ свыше 50 процентов их стоимости.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5"/>
        <w:ind w:left="0" w:firstLine="720"/>
        <w:jc w:val="both"/>
        <w:spacing w:after="0" w:line="240" w:lineRule="auto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4.5.4. Страховая выплата по</w:t>
      </w:r>
      <w:r>
        <w:rPr>
          <w:sz w:val="22"/>
          <w:szCs w:val="22"/>
        </w:rPr>
        <w:t xml:space="preserve"> каждому страх</w:t>
      </w:r>
      <w:r>
        <w:rPr>
          <w:sz w:val="22"/>
          <w:szCs w:val="22"/>
        </w:rPr>
        <w:t xml:space="preserve">овому случаю не может превышать </w:t>
      </w:r>
      <w:r>
        <w:rPr>
          <w:sz w:val="22"/>
          <w:szCs w:val="22"/>
        </w:rPr>
        <w:t xml:space="preserve">установленную величину страховой суммы.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4.6. Франшиза </w:t>
      </w:r>
      <w:r>
        <w:rPr>
          <w:sz w:val="22"/>
          <w:szCs w:val="22"/>
        </w:rPr>
        <w:t xml:space="preserve">по настоящему договору страхования не предусмотрена.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4.7. Ответственность Страховщика при наступлении страхового случая определяется в соответствии с Правилами страхования и настоящим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4.8.</w:t>
      </w:r>
      <w:r>
        <w:rPr>
          <w:sz w:val="22"/>
          <w:szCs w:val="22"/>
        </w:rPr>
        <w:t xml:space="preserve"> После выплаты страхового возмещения страховая сумма по договору страхования не уменьшается на величину выплаченного страхового возмещения.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numPr>
          <w:ilvl w:val="0"/>
          <w:numId w:val="18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ПРАВА И ОБЯЗАННОСТИ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42"/>
        <w:ind w:left="10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5.1. Страховщик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5.1.1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Оформить на к</w:t>
      </w:r>
      <w:r>
        <w:rPr>
          <w:sz w:val="22"/>
          <w:szCs w:val="22"/>
        </w:rPr>
        <w:t xml:space="preserve">аждое транспортное средство, попадающее под действие настоящего договора, страховой полис обязательного страхования, </w:t>
      </w:r>
      <w:r>
        <w:rPr>
          <w:sz w:val="22"/>
          <w:szCs w:val="22"/>
        </w:rPr>
        <w:t xml:space="preserve">выдать</w:t>
      </w:r>
      <w:r>
        <w:rPr>
          <w:sz w:val="22"/>
          <w:szCs w:val="22"/>
        </w:rPr>
        <w:t xml:space="preserve"> 2 бланка извещения о дорожно-транспортном происшествии по форме, утверждаемой </w:t>
      </w:r>
      <w:r>
        <w:rPr>
          <w:sz w:val="22"/>
          <w:szCs w:val="22"/>
        </w:rPr>
        <w:t xml:space="preserve">Банком России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Страховой полис обязательного страхования выдается Страхователю непосредственн</w:t>
      </w:r>
      <w:r>
        <w:rPr>
          <w:sz w:val="22"/>
          <w:szCs w:val="22"/>
        </w:rPr>
        <w:t xml:space="preserve">о при уплате им страховой премии наличными деньгами, а в случае ее уплаты по безналичному расчету - не позднее рабочего дня, следующего за днем перечисления на расчетный счет страховщика страховой премии.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5.1.3. </w:t>
      </w:r>
      <w:r>
        <w:rPr>
          <w:sz w:val="22"/>
          <w:szCs w:val="22"/>
        </w:rPr>
        <w:t xml:space="preserve">Страх</w:t>
      </w:r>
      <w:r>
        <w:rPr>
          <w:sz w:val="22"/>
          <w:szCs w:val="22"/>
        </w:rPr>
        <w:t xml:space="preserve">овщик в течени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срока предусмотренного</w:t>
      </w:r>
      <w:r>
        <w:rPr>
          <w:sz w:val="22"/>
          <w:szCs w:val="22"/>
        </w:rPr>
        <w:t xml:space="preserve">, Правилами обязательного страхования,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со дня получения заявления о страховой выплате и приложенных документов обязан </w:t>
      </w:r>
      <w:r>
        <w:rPr>
          <w:sz w:val="22"/>
          <w:szCs w:val="22"/>
        </w:rPr>
        <w:t xml:space="preserve">составить акт о страховом случае, на основании которого принять решение об осуществлении страховой выплаты</w:t>
      </w:r>
      <w:r>
        <w:rPr>
          <w:sz w:val="22"/>
          <w:szCs w:val="22"/>
        </w:rPr>
        <w:t xml:space="preserve">, осуществить ее, </w:t>
      </w:r>
      <w:r>
        <w:rPr>
          <w:sz w:val="22"/>
          <w:szCs w:val="22"/>
        </w:rPr>
        <w:t xml:space="preserve">либо </w:t>
      </w:r>
      <w:r>
        <w:rPr>
          <w:sz w:val="22"/>
          <w:szCs w:val="22"/>
        </w:rPr>
        <w:t xml:space="preserve">н</w:t>
      </w:r>
      <w:r>
        <w:rPr>
          <w:sz w:val="22"/>
          <w:szCs w:val="22"/>
        </w:rPr>
        <w:t xml:space="preserve">аправить потерпевшему письменное извещение о полном или частичном отказе в ее осуществлении с указанием причин</w:t>
      </w:r>
      <w:r>
        <w:rPr>
          <w:sz w:val="22"/>
          <w:szCs w:val="22"/>
        </w:rPr>
        <w:t xml:space="preserve"> отказа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5.1.4. Произвести страховую выплату в течение </w:t>
      </w:r>
      <w:r>
        <w:rPr>
          <w:sz w:val="22"/>
          <w:szCs w:val="22"/>
        </w:rPr>
        <w:t xml:space="preserve">срока предусмотренного, Правилами обязательного страхования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20 календарных дней </w:t>
      </w:r>
      <w:r>
        <w:rPr>
          <w:sz w:val="22"/>
          <w:szCs w:val="22"/>
        </w:rPr>
        <w:t xml:space="preserve">со дня принятия решения об осуществлении страховой выплаты.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b/>
          <w:sz w:val="22"/>
          <w:szCs w:val="22"/>
        </w:rPr>
      </w:pPr>
      <w:r>
        <w:rPr>
          <w:sz w:val="22"/>
          <w:szCs w:val="22"/>
        </w:rPr>
        <w:t xml:space="preserve">5.1.5. Не разглашать сведения о Страхователе, за исключением случаев, предусмотренных действующим законодательством Российской Федерации.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5.1.6. Совершать другие действия, предусмотренные действующим законодательст</w:t>
      </w:r>
      <w:r>
        <w:rPr>
          <w:sz w:val="22"/>
          <w:szCs w:val="22"/>
        </w:rPr>
        <w:t xml:space="preserve">вом Российской Федерации, Правилами </w:t>
      </w:r>
      <w:r>
        <w:rPr>
          <w:sz w:val="22"/>
          <w:szCs w:val="22"/>
        </w:rPr>
        <w:t xml:space="preserve">обязательного страхования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настоящим договором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5.2. </w:t>
      </w:r>
      <w:r>
        <w:rPr>
          <w:rFonts w:ascii="Times New Roman" w:hAnsi="Times New Roman" w:cs="Times New Roman"/>
          <w:bCs/>
          <w:sz w:val="22"/>
          <w:szCs w:val="22"/>
        </w:rPr>
        <w:t xml:space="preserve">Страховщик вправе</w:t>
      </w:r>
      <w:r>
        <w:rPr>
          <w:rFonts w:ascii="Times New Roman" w:hAnsi="Times New Roman" w:cs="Times New Roman"/>
          <w:bCs/>
          <w:sz w:val="22"/>
          <w:szCs w:val="22"/>
        </w:rPr>
        <w:t xml:space="preserve">:</w:t>
      </w:r>
      <w:r>
        <w:rPr>
          <w:rFonts w:ascii="Times New Roman" w:hAnsi="Times New Roman" w:cs="Times New Roman"/>
          <w:b/>
          <w:sz w:val="22"/>
          <w:szCs w:val="22"/>
          <w:u w:val="single"/>
        </w:rPr>
      </w:r>
      <w:r>
        <w:rPr>
          <w:rFonts w:ascii="Times New Roman" w:hAnsi="Times New Roman" w:cs="Times New Roman"/>
          <w:b/>
          <w:sz w:val="22"/>
          <w:szCs w:val="22"/>
          <w:u w:val="single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5.2.1. </w:t>
      </w:r>
      <w:r>
        <w:rPr>
          <w:rFonts w:ascii="Times New Roman" w:hAnsi="Times New Roman" w:cs="Times New Roman"/>
          <w:sz w:val="22"/>
          <w:szCs w:val="22"/>
        </w:rPr>
        <w:t xml:space="preserve"> досрочно прекратить действие договора обязательного страхования: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 xml:space="preserve">в случае выявления ложных или непо</w:t>
      </w:r>
      <w:r>
        <w:rPr>
          <w:rFonts w:ascii="Times New Roman" w:hAnsi="Times New Roman" w:cs="Times New Roman"/>
          <w:sz w:val="22"/>
          <w:szCs w:val="22"/>
        </w:rPr>
        <w:t xml:space="preserve">лных сведений, представленных страхователем при заключении договора обязательного страхования, имеющих существенное значение для определения степени страхового риска;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 </w:t>
      </w:r>
      <w:r>
        <w:rPr>
          <w:rFonts w:ascii="Times New Roman" w:hAnsi="Times New Roman" w:cs="Times New Roman"/>
          <w:sz w:val="22"/>
          <w:szCs w:val="22"/>
        </w:rPr>
        <w:t xml:space="preserve">иных случаях, предусмотренных законодательством Российской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 При получении от Ст</w:t>
      </w:r>
      <w:r>
        <w:rPr>
          <w:sz w:val="22"/>
          <w:szCs w:val="22"/>
        </w:rPr>
        <w:t xml:space="preserve">рахователя заявления об изменении сведений, указанных в заявлении о заключении договора обязательного страхования и (или) представленных при заключении настоящего договора страхования, Страховщик вправе потребовать от Страхователя уплаты при необ</w:t>
      </w:r>
      <w:r>
        <w:rPr>
          <w:sz w:val="22"/>
          <w:szCs w:val="22"/>
        </w:rPr>
        <w:t xml:space="preserve">ходимости дополнительной страховой премии соразмерно увеличению степени риска и переоформить страховой полис обязательного страхования исходя из страховых тарифов</w:t>
      </w:r>
      <w:r>
        <w:rPr>
          <w:sz w:val="22"/>
          <w:szCs w:val="22"/>
        </w:rPr>
        <w:t xml:space="preserve"> и Коэффициентов страховых тарифов</w:t>
      </w:r>
      <w:r>
        <w:rPr>
          <w:sz w:val="22"/>
          <w:szCs w:val="22"/>
        </w:rPr>
        <w:t xml:space="preserve"> по обязательному страхованию.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5.2.3. Страховщик имеет право предъявить к причинившему вр</w:t>
      </w:r>
      <w:r>
        <w:rPr>
          <w:rFonts w:ascii="Times New Roman" w:hAnsi="Times New Roman" w:cs="Times New Roman"/>
          <w:sz w:val="22"/>
          <w:szCs w:val="22"/>
        </w:rPr>
        <w:t xml:space="preserve">ед лицу (страхователю или иному лицу, риск ответственности которого застрахован по договору обязательного страхования) регрессные требования в размере произведенной страховщиком страховой выплаты, а также расходов, понесенных п</w:t>
      </w:r>
      <w:r>
        <w:rPr>
          <w:rFonts w:ascii="Times New Roman" w:hAnsi="Times New Roman" w:cs="Times New Roman"/>
          <w:sz w:val="22"/>
          <w:szCs w:val="22"/>
        </w:rPr>
        <w:t xml:space="preserve">ри рассмотрении страхового случая, если: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 xml:space="preserve">вред жизни или здоровью потерпевшего был причинен вследствие умысла указанного лица;</w:t>
      </w:r>
      <w:r/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вред был причинен указанным лицом при управлении транспортным средством в состоянии опьянения (алкогольного, наркотического или иного);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указанное лицо не имело право управлять транспортным средством, при использовании которого им был причинен вред;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 указанное лицо скрылось с места дорожно-транспортного происшествия;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указанное лицо не включено в число водителей, допущенных к управлению этим транспортным средством, если в договоре обязательного страхования предусмотрено использование транспортного сре</w:t>
      </w:r>
      <w:r>
        <w:rPr>
          <w:rFonts w:ascii="Times New Roman" w:hAnsi="Times New Roman" w:cs="Times New Roman"/>
          <w:sz w:val="22"/>
          <w:szCs w:val="22"/>
        </w:rPr>
        <w:t xml:space="preserve">дства только водителями, указанными в страховом полисе обязательного страхования;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страхово</w:t>
      </w:r>
      <w:r>
        <w:rPr>
          <w:rFonts w:ascii="Times New Roman" w:hAnsi="Times New Roman" w:cs="Times New Roman"/>
          <w:sz w:val="22"/>
          <w:szCs w:val="22"/>
        </w:rPr>
        <w:t xml:space="preserve">й случай наступил при использовании указанным лицом транспортного средства в период, не предусмотренный договором обязательного страхования, если в договоре обязательного страхования предусмотрено использование транспортного средства в определенный период.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ind w:firstLine="720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-  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</w:t>
      </w:r>
      <w:r>
        <w:rPr>
          <w:sz w:val="22"/>
          <w:szCs w:val="22"/>
        </w:rPr>
        <w:t xml:space="preserve">вого такси, автобуса или грузового автомобиля, предназначенного и оборудованного для перевозок людей, с числом мест для сидения более 8 (кроме места для водителя), специализированного транспортного средства, предназначенного и оборудованног</w:t>
      </w:r>
      <w:r>
        <w:rPr>
          <w:sz w:val="22"/>
          <w:szCs w:val="22"/>
        </w:rPr>
        <w:t xml:space="preserve">о для перевозок опасных грузов.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5.3. Страхователь обязан: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5.3.1. Заполнить заявление о заключении договора обязательного страхования п</w:t>
      </w:r>
      <w:r>
        <w:rPr>
          <w:sz w:val="22"/>
          <w:szCs w:val="22"/>
        </w:rPr>
        <w:t xml:space="preserve">о форме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5.3.2. Предоставить Страховщику следующие документы или их копии: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4"/>
        <w:ind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 свидетельство о государственной регистрации юридического лица</w:t>
      </w:r>
      <w:r>
        <w:rPr>
          <w:rFonts w:ascii="Times New Roman" w:hAnsi="Times New Roman"/>
          <w:sz w:val="22"/>
          <w:szCs w:val="22"/>
        </w:rPr>
        <w:t xml:space="preserve">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44"/>
        <w:ind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 документ о реги</w:t>
      </w:r>
      <w:r>
        <w:rPr>
          <w:rFonts w:ascii="Times New Roman" w:hAnsi="Times New Roman"/>
          <w:sz w:val="22"/>
          <w:szCs w:val="22"/>
        </w:rPr>
        <w:t xml:space="preserve">страции транспортного средства, выданный органом, осуществляющим регистрацию транспортного средства (паспорт транспортного средства, свидетельство о регистрации транспортного средства, технический паспорт или технический талон либо аналогичные документы);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сведения о количестве и характере наступивших страховых случаев, об осуществленных и о предстоящих страховых выплатах, сроке страхования, рассматриваемых и неурегулированных требованиях потерпевших, касающихся страховых выплат, и ины</w:t>
      </w:r>
      <w:r>
        <w:rPr>
          <w:rFonts w:ascii="Times New Roman" w:hAnsi="Times New Roman" w:cs="Times New Roman"/>
          <w:sz w:val="22"/>
          <w:szCs w:val="22"/>
        </w:rPr>
        <w:t xml:space="preserve">е сведения о страховании в период действия договора обязательного страхования, представленные страховщиком, с которым был заключен последний договор обязательного страхования,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-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диагностическая карта, содержащая сведения о соответствии транспортного средс</w:t>
      </w:r>
      <w:r>
        <w:rPr>
          <w:rFonts w:ascii="Times New Roman" w:hAnsi="Times New Roman" w:cs="Times New Roman"/>
          <w:sz w:val="22"/>
          <w:szCs w:val="22"/>
        </w:rPr>
        <w:t xml:space="preserve">тва обязательным требованиям безопасности транспортных средств (за исключением случаев, если в соответствии с законодательством Российской Федерации в области технического осмотра транспортных средств транспортное средство не подлежит техническому осмотру </w:t>
      </w:r>
      <w:r>
        <w:rPr>
          <w:rFonts w:ascii="Times New Roman" w:hAnsi="Times New Roman" w:cs="Times New Roman"/>
          <w:sz w:val="22"/>
          <w:szCs w:val="22"/>
        </w:rPr>
        <w:t xml:space="preserve">или его проведение не требуется,</w:t>
      </w:r>
      <w:r>
        <w:rPr>
          <w:rFonts w:ascii="Times New Roman" w:hAnsi="Times New Roman" w:cs="Times New Roman"/>
          <w:sz w:val="22"/>
          <w:szCs w:val="22"/>
        </w:rPr>
        <w:t xml:space="preserve"> либо порядок и периодичность проведения технического осмотра устанавливаются Правительством Российской Федерации, либо периодичность проведения технического осмотра такого транспортного средства составляет 6 месяцев). Указанные положения в соответствии с </w:t>
      </w:r>
      <w:r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HYPERLINK "garantF1://70107720.560" 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 xml:space="preserve">частью 6 статьи 5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Федерального закона от 28 июля 2012 г. N 130-ФЗ распространяют свое действие на правоотношения, возникшие с 1 января 2012 г. До 1 августа 2015 г. наряду с диагностиче</w:t>
      </w:r>
      <w:r>
        <w:rPr>
          <w:rFonts w:ascii="Times New Roman" w:hAnsi="Times New Roman" w:cs="Times New Roman"/>
          <w:sz w:val="22"/>
          <w:szCs w:val="22"/>
        </w:rPr>
        <w:t xml:space="preserve">ской картой, содержащей сведения о соответствии транспортного средства обязательным требованиям безопасности транспортных средств, допускается предоставление документов, предусмотренных </w:t>
      </w:r>
      <w:r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HYPERLINK "garantF1://70107720.58" 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 xml:space="preserve">частью 8 статьи 5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указанного Федерального закона.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Страхователь несет ответственность за представление заведомо ложных сведений и (или) недействительных документов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5.3.3. Страхователь обязан сообщить Страховщику в течение 3 рабочих</w:t>
      </w:r>
      <w:r>
        <w:rPr>
          <w:sz w:val="22"/>
          <w:szCs w:val="22"/>
        </w:rPr>
        <w:t xml:space="preserve"> дней после государственной регистрации транспортного средства и получения государственного регистрационного знака его номер, если к моменту заключения настоящего договора транспортное средство не прошло государственную регистрацию в установленном порядке.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5.3.4. Уплатить страховую премию в размере, оговоренном в п. 3.3. настоящего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5.3.5. Страхователь обязан незамедлительно сообщать в письменной форме Страховщику об изменении сведений, указанных в заявлении о заключении договора обязательного стра</w:t>
      </w:r>
      <w:r>
        <w:rPr>
          <w:sz w:val="22"/>
          <w:szCs w:val="22"/>
        </w:rPr>
        <w:t xml:space="preserve">хования.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5.3.6. Довести до сведения лиц, допущенных к управлению транспортным средством, требования Правил </w:t>
      </w:r>
      <w:r>
        <w:rPr>
          <w:sz w:val="22"/>
          <w:szCs w:val="22"/>
        </w:rPr>
        <w:t xml:space="preserve">обязательного </w:t>
      </w:r>
      <w:r>
        <w:rPr>
          <w:sz w:val="22"/>
          <w:szCs w:val="22"/>
        </w:rPr>
        <w:t xml:space="preserve">страхования </w:t>
      </w:r>
      <w:r>
        <w:rPr>
          <w:sz w:val="22"/>
          <w:szCs w:val="22"/>
        </w:rPr>
        <w:t xml:space="preserve">и настоящего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5.3.7. Полномочный представитель Страхователя - юридического лица обязан представить Страховщику надлежащим образом оформленную доверенность на право ведения дел со Страховщиком с указанием банковских реквизитов Страхователя.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5.3.8. Представить Страховщику всю доступную ему информацию и документацию, позволяющую судить о причинах, характере и размере при</w:t>
      </w:r>
      <w:r>
        <w:rPr>
          <w:sz w:val="22"/>
          <w:szCs w:val="22"/>
        </w:rPr>
        <w:t xml:space="preserve">чиненного вреда.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5.3.9. В кратчайший срок, но не позднее 15-ти рабочих дней после дорожно-транспортного происшествия, направить Страховщику или его представителю в субъекте РФ, на терри</w:t>
      </w:r>
      <w:r>
        <w:rPr>
          <w:sz w:val="22"/>
          <w:szCs w:val="22"/>
        </w:rPr>
        <w:t xml:space="preserve">тории которого произошло дорожно-транспортное происшествие, любым доступным способом, обеспечивающим подтверждение отправки, заполненное участниками дорожно-транспортного происшествия «Извещение о ДТП» в соответствии с Правилами обязательного страхования.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2"/>
        <w:ind w:firstLine="720"/>
        <w:jc w:val="both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5.3.10. </w:t>
      </w:r>
      <w:r>
        <w:rPr>
          <w:sz w:val="22"/>
          <w:szCs w:val="22"/>
        </w:rPr>
        <w:t xml:space="preserve">Страхователь обязан по требованию страховщика предоставить </w:t>
      </w:r>
      <w:r>
        <w:rPr>
          <w:sz w:val="22"/>
          <w:szCs w:val="22"/>
        </w:rPr>
        <w:t xml:space="preserve">тра</w:t>
      </w:r>
      <w:r>
        <w:rPr>
          <w:sz w:val="22"/>
          <w:szCs w:val="22"/>
        </w:rPr>
        <w:t xml:space="preserve">нспортное средство,</w:t>
      </w:r>
      <w:r>
        <w:rPr>
          <w:sz w:val="22"/>
          <w:szCs w:val="22"/>
        </w:rPr>
        <w:t xml:space="preserve"> которым был причинен вред </w:t>
      </w:r>
      <w:r>
        <w:rPr>
          <w:sz w:val="22"/>
          <w:szCs w:val="22"/>
        </w:rPr>
        <w:t xml:space="preserve">для организации независимой экспертизы. Порядок и сроки организации независимой экспертизы осуществляются в соответствии с Правилами обязательного страхования.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5.4. Страхователь вправе: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5.4.1. </w:t>
      </w:r>
      <w:r>
        <w:rPr>
          <w:rFonts w:ascii="Times New Roman" w:hAnsi="Times New Roman" w:cs="Times New Roman"/>
          <w:sz w:val="22"/>
          <w:szCs w:val="22"/>
        </w:rPr>
        <w:t xml:space="preserve">досрочно прекратить действие договора обязательного страхования в следующих случаях: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отзыв лицензии страховщика в порядке, установленном законодательством Российской Федерации;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замена собственника транспортного средства;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- иные случаи, предусмотренные законодательством</w:t>
      </w:r>
      <w:r>
        <w:rPr>
          <w:sz w:val="22"/>
          <w:szCs w:val="22"/>
        </w:rPr>
        <w:t xml:space="preserve">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5.4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 xml:space="preserve">При утрате страхового полиса обязательного страхования Страхователь имеет право на получение их дубликат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бесплатно.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СРОК ДЕЙСТВИЯ ДОГОВОРА СТРАХОВАНИЯ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6.1. Настоящий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 вступает в силу </w:t>
      </w:r>
      <w:r>
        <w:rPr>
          <w:color w:val="000000"/>
          <w:sz w:val="22"/>
          <w:szCs w:val="22"/>
        </w:rPr>
        <w:t xml:space="preserve">с момента </w:t>
      </w:r>
      <w:r>
        <w:rPr>
          <w:color w:val="000000"/>
          <w:sz w:val="22"/>
          <w:szCs w:val="22"/>
        </w:rPr>
        <w:t xml:space="preserve">его </w:t>
      </w:r>
      <w:r>
        <w:rPr>
          <w:color w:val="000000"/>
          <w:sz w:val="22"/>
          <w:szCs w:val="22"/>
        </w:rPr>
        <w:t xml:space="preserve">подписания Сторонами и</w:t>
      </w:r>
      <w:r>
        <w:rPr>
          <w:sz w:val="22"/>
          <w:szCs w:val="22"/>
        </w:rPr>
        <w:t xml:space="preserve"> действует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о 3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10</w:t>
      </w:r>
      <w:r>
        <w:rPr>
          <w:sz w:val="22"/>
          <w:szCs w:val="22"/>
        </w:rPr>
        <w:t xml:space="preserve">.2027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</w:t>
      </w:r>
      <w:r>
        <w:rPr>
          <w:sz w:val="22"/>
          <w:szCs w:val="22"/>
        </w:rPr>
        <w:t xml:space="preserve">в части взаиморасчетов – до полного исполнения Сторонами своих обязательств.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>
        <w:rPr>
          <w:sz w:val="22"/>
          <w:szCs w:val="22"/>
        </w:rPr>
        <w:t xml:space="preserve">Дата начала и окончания срока страхования каждого транспортного средства указывается в страховых полисах обязательного страхования, выдаваемых </w:t>
      </w:r>
      <w:r>
        <w:rPr>
          <w:sz w:val="22"/>
          <w:szCs w:val="22"/>
        </w:rPr>
        <w:t xml:space="preserve">Страховщиком.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6.3. </w:t>
      </w:r>
      <w:r>
        <w:rPr>
          <w:sz w:val="22"/>
          <w:szCs w:val="22"/>
        </w:rPr>
        <w:t xml:space="preserve">Страховщик оформляет страховой полис обязательного страхования на каждое транспортное средство Страхователя, указанное в </w:t>
      </w:r>
      <w:r>
        <w:rPr>
          <w:sz w:val="22"/>
          <w:szCs w:val="22"/>
        </w:rPr>
        <w:t xml:space="preserve">Приложении №1</w:t>
      </w:r>
      <w:r>
        <w:rPr>
          <w:sz w:val="22"/>
          <w:szCs w:val="22"/>
        </w:rPr>
        <w:t xml:space="preserve">, являющемся неотъемлемой частью настоящего договора.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ИЗМЕНЕНИЕ ДОГОВОРА</w:t>
      </w:r>
      <w:r>
        <w:rPr>
          <w:b/>
          <w:sz w:val="22"/>
          <w:szCs w:val="22"/>
        </w:rPr>
        <w:t xml:space="preserve"> СТРАХОВАНИЯ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7.1. Все изменения по настоящему договору производятся на основании письменного заявления Страхователя.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7.2. </w:t>
      </w:r>
      <w:r>
        <w:rPr>
          <w:sz w:val="22"/>
          <w:szCs w:val="22"/>
        </w:rPr>
        <w:t xml:space="preserve">При получении от страхователя заявления об изменении сведений, указанных в заявлении о заключении договора обязательного страхования и (или) представленных при за</w:t>
      </w:r>
      <w:r>
        <w:rPr>
          <w:sz w:val="22"/>
          <w:szCs w:val="22"/>
        </w:rPr>
        <w:t xml:space="preserve">ключении договора обязательного страхования, страховщик вносит изменения путем записи в разделе страхового полиса обязательного страхования «Особые отметки» с указанием даты и времени внесения изменений, и з</w:t>
      </w:r>
      <w:r>
        <w:rPr>
          <w:sz w:val="22"/>
          <w:szCs w:val="22"/>
        </w:rPr>
        <w:t xml:space="preserve">аверения изменений подписью представителя страховщика и печатью страховщика или путем выдачи переоформленного (нового) страхового полиса обязательного страхования в течение 2 рабочих дней со дня возвращения страхователем ранее выданного страхового полиса. </w:t>
      </w: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7.3</w:t>
      </w:r>
      <w:r>
        <w:rPr>
          <w:sz w:val="22"/>
          <w:szCs w:val="22"/>
        </w:rPr>
        <w:t xml:space="preserve">. Отношения сторон, не предусмотренные настоя</w:t>
      </w:r>
      <w:r>
        <w:rPr>
          <w:sz w:val="22"/>
          <w:szCs w:val="22"/>
        </w:rPr>
        <w:t xml:space="preserve">щим договором, регулируются Правилами обязательного страхования и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ПРЕКРАЩЕНИЕ ДОГОВОРА СТРАХОВАНИЯ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rPr>
          <w:b/>
          <w:sz w:val="22"/>
          <w:szCs w:val="22"/>
        </w:rPr>
      </w:pP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1. Действие настоящего договора заканчивается в 24 часа 00 минут дня, который указан как день его окончания в </w:t>
      </w:r>
      <w:r>
        <w:rPr>
          <w:sz w:val="22"/>
          <w:szCs w:val="22"/>
        </w:rPr>
        <w:t xml:space="preserve">страховых полисах обязательного страхования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.2. Действие настоящего договора страхования досрочно прекращается в следующих случаях: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.2.1. смерть гражданина - страхователя или собственника;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.2.2.  ликвидация юридического лица - страхователя;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.2.3.  ликвидация страховщика;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.2.4. </w:t>
      </w:r>
      <w:r>
        <w:rPr>
          <w:rFonts w:ascii="Times New Roman" w:hAnsi="Times New Roman" w:cs="Times New Roman"/>
          <w:sz w:val="22"/>
          <w:szCs w:val="22"/>
        </w:rPr>
        <w:t xml:space="preserve">гибель (утрата) транспортного средства, указанного в страховом полисе обязательного страхования;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.2.5.  иные случаи, предусмотренные законодательством Российской Федерации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8.3. </w:t>
      </w:r>
      <w:r>
        <w:rPr>
          <w:rFonts w:ascii="Times New Roman" w:hAnsi="Times New Roman" w:cs="Times New Roman"/>
          <w:sz w:val="22"/>
          <w:szCs w:val="22"/>
        </w:rPr>
        <w:t xml:space="preserve">Возврат</w:t>
      </w:r>
      <w:r>
        <w:rPr>
          <w:rFonts w:ascii="Times New Roman" w:hAnsi="Times New Roman" w:cs="Times New Roman"/>
          <w:sz w:val="22"/>
          <w:szCs w:val="22"/>
        </w:rPr>
        <w:t xml:space="preserve"> страховой премии за неистекший срок действия договора </w:t>
      </w:r>
      <w:r>
        <w:rPr>
          <w:rFonts w:ascii="Times New Roman" w:hAnsi="Times New Roman" w:cs="Times New Roman"/>
          <w:sz w:val="22"/>
          <w:szCs w:val="22"/>
        </w:rPr>
        <w:t xml:space="preserve">осуществляется в соответствии с Правилами обязательного страхования.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6"/>
        <w:ind w:firstLine="720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</w:p>
    <w:p>
      <w:pPr>
        <w:pStyle w:val="916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ПОРЯДОК РАЗРЕШЕНИЯ СПОРОВ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9.1. При наличии разногласий между потерпевшим и страховщиком относительно исполнения последним своих обязательств по договору обязатель</w:t>
      </w:r>
      <w:r>
        <w:rPr>
          <w:sz w:val="22"/>
          <w:szCs w:val="22"/>
        </w:rPr>
        <w:t xml:space="preserve">ного страхования до предъявления к страховщику иска, вытекающего из неисполнения или ненадлежащего исполнения им обязательств по договору обязательного страхования, несогласия потерпевшего с размером осуществленной страховщиком страховой выплаты потерпевши</w:t>
      </w:r>
      <w:r>
        <w:rPr>
          <w:sz w:val="22"/>
          <w:szCs w:val="22"/>
        </w:rPr>
        <w:t xml:space="preserve">й направляет страховщику претензию с приложенными к ней документами, обосновывающими требование потерпевшего, которая подлежит рассмотрению страховщиком в срок, установленный статьей 16.1 Федерального закона "Об обязательном страховании гражданской ответст</w:t>
      </w:r>
      <w:r>
        <w:rPr>
          <w:sz w:val="22"/>
          <w:szCs w:val="22"/>
        </w:rPr>
        <w:t xml:space="preserve">венности владельцев транспортных средств".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К претензии должны быть при</w:t>
      </w:r>
      <w:r>
        <w:rPr>
          <w:sz w:val="22"/>
          <w:szCs w:val="22"/>
        </w:rPr>
        <w:t xml:space="preserve">ложены документы, соответствующие требованиям законодательства Российской Федерации к их оформлению и содержанию, подтверждающие обоснованность требований потерпевшего (заключение независимой технической экспертизы, независимой экспертизы (оценки) и т.п.).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Претензия должна содержать: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наименование страховщика, которому она направляется;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полное наименование, адрес места нахождения/фамилию, имя, отчество (при наличии), место жительства или п</w:t>
      </w:r>
      <w:r>
        <w:rPr>
          <w:sz w:val="22"/>
          <w:szCs w:val="22"/>
        </w:rPr>
        <w:t xml:space="preserve">очтовый адрес потерпевшего (или иного выгодоприобретателя), на который направляется ответ на претензию в случае несогласия страховщика с предъявляемыми требованиями;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требования к страховщику с описанием обстоятельств, послуживших основанием для подачи претензии со ссылками на положения нормативных правовых актов Российской Федерации;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банковские реквизиты потерпевшего (или иного выгодоприобретателя), на которые необходимо произвести страховую выплату в случае признания претензии страховщиком обоснованной, ил</w:t>
      </w:r>
      <w:r>
        <w:rPr>
          <w:sz w:val="22"/>
          <w:szCs w:val="22"/>
        </w:rPr>
        <w:t xml:space="preserve">и указание на получение денежных средств в кассе страховщика;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фамилию, имя, отчество (при наличии), должность (в случае направления претензии юридическим лицом) лица, подписавшего претензию, его подпись.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Потерпевший в приложении к претензии представляет оригиналы или заверенные надлежащим образом копии следующих документов (если какой-либо из перечисленных ниже документов не был представлен страховщику ранее при обращении с заявлением о страховом случае):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паспорта или иного документа, удостоверяющего личнос</w:t>
      </w:r>
      <w:r>
        <w:rPr>
          <w:sz w:val="22"/>
          <w:szCs w:val="22"/>
        </w:rPr>
        <w:t xml:space="preserve">ть заявителя; документов, подтверждающих право собственности потерпевшего на поврежденное имущество либо право на страховую выплату при повреждении имущества, находящегося в собственности другого лица;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справки о дорожно-транспортном происшествии, выданной </w:t>
      </w:r>
      <w:r>
        <w:rPr>
          <w:sz w:val="22"/>
          <w:szCs w:val="22"/>
        </w:rPr>
        <w:t xml:space="preserve">органом полиции, отвечающим за безопасность дорожного движения, протокола и постановления об административном правонарушении или определения об отказе в возбуждении дела об административном правонарушении. В случае оформления документов о дорожно-транспорт</w:t>
      </w:r>
      <w:r>
        <w:rPr>
          <w:sz w:val="22"/>
          <w:szCs w:val="22"/>
        </w:rPr>
        <w:t xml:space="preserve">ном происшествии без участия уполномоченных сотрудников полиции предоставляется извещение о дорожно-транспортном происшествии;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полиса обязательного </w:t>
      </w:r>
      <w:r>
        <w:rPr>
          <w:sz w:val="22"/>
          <w:szCs w:val="22"/>
        </w:rPr>
        <w:t xml:space="preserve">страхования потерпевшего (в случае оформления документов о дорожно-транспортном происшествии без участия уполномоченных сотрудников полиции), кроме случаев предъявления требования к страховщику, который застраховал гражданскую ответственность потерпевшего.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Претензия предоставляется или направляется страховщику по адресу места нахождения страховщика или представи</w:t>
      </w:r>
      <w:r>
        <w:rPr>
          <w:sz w:val="22"/>
          <w:szCs w:val="22"/>
        </w:rPr>
        <w:t xml:space="preserve">теля страховщика.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9.2. По результатам рассмотрения претензии страховщик обязан осуществить одно из следующих действий: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осуществить выплату потерпевшему (или иному выгодоприобретателю) по реквизитам, указанным в претензии;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направить отказ в удовлетворении претензии. Основаниями для отказа в удовлетворении претензии являются: направление претензии лицом, не являющимся потерпевшим и не предоставившим документ, подтверждающий его полномочия (например, доверенность);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непредставление оригиналов (заверенных надлеж</w:t>
      </w:r>
      <w:r>
        <w:rPr>
          <w:sz w:val="22"/>
          <w:szCs w:val="22"/>
        </w:rPr>
        <w:t xml:space="preserve">ащим образом копий) документов, обосновывающих требования потерпевшего;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в случае получения выплаты в безналичном порядке отсутствие в претензии указания на банковские реквизиты потерпевшего (или иного выгодоприобретателя);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иные основания, предусмотренные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Отказ в удовлетворении претензии направляется страховщиком по адресу, указанному потерпевшим в претензии.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страхования составлен и подписан в двух экземплярах, имеющих одинаковую силу. Один экземпляр </w:t>
      </w:r>
      <w:r>
        <w:rPr>
          <w:sz w:val="22"/>
          <w:szCs w:val="22"/>
        </w:rPr>
        <w:t xml:space="preserve">находится у Страхователя, другой - у Страховщика.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9.3. К настоящему Договору прилагаются и являются его неотъемлемой частью: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Приложение № 1</w:t>
      </w:r>
      <w:r>
        <w:rPr>
          <w:sz w:val="22"/>
          <w:szCs w:val="22"/>
        </w:rPr>
        <w:t xml:space="preserve"> - </w:t>
      </w:r>
      <w:r>
        <w:rPr>
          <w:sz w:val="22"/>
          <w:szCs w:val="22"/>
        </w:rPr>
        <w:t xml:space="preserve">Спецификация.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jc w:val="center"/>
        <w:tabs>
          <w:tab w:val="left" w:pos="765" w:leader="none"/>
          <w:tab w:val="center" w:pos="496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>
        <w:rPr>
          <w:b/>
          <w:sz w:val="22"/>
          <w:szCs w:val="22"/>
        </w:rPr>
        <w:t xml:space="preserve">РЕКВИЗИТЫ </w:t>
      </w:r>
      <w:r>
        <w:rPr>
          <w:b/>
          <w:sz w:val="22"/>
          <w:szCs w:val="22"/>
        </w:rPr>
        <w:t xml:space="preserve">И ПОДПИСИ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0" w:type="auto"/>
        <w:tblInd w:w="-356" w:type="dxa"/>
        <w:tblLayout w:type="autofit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821"/>
        <w:gridCol w:w="5528"/>
      </w:tblGrid>
      <w:tr>
        <w:tblPrEx/>
        <w:trPr>
          <w:cantSplit/>
          <w:trHeight w:val="81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1" w:type="dxa"/>
            <w:vAlign w:val="top"/>
            <w:textDirection w:val="lrTb"/>
            <w:noWrap w:val="false"/>
          </w:tcPr>
          <w:p>
            <w:pPr>
              <w:pStyle w:val="916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Страхователь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Департамент по недропользованию</w: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по Уральскому федеральному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округу</w: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Юридический адрес: 620014,</w: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Екатеринбург, ул. Вайнера, 55</w: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Телефон: +7 (343) 257-84-59</w: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E-mail: </w:t>
            </w:r>
            <w:r>
              <w:rPr>
                <w:iCs/>
                <w:sz w:val="22"/>
                <w:szCs w:val="22"/>
              </w:rPr>
              <w:fldChar w:fldCharType="begin"/>
            </w:r>
            <w:r>
              <w:rPr>
                <w:iCs/>
                <w:sz w:val="22"/>
                <w:szCs w:val="22"/>
                <w:lang w:val="en-US"/>
              </w:rPr>
              <w:instrText xml:space="preserve">HYPERLINK "mailto:ural@rosnedra.gov.ru"</w:instrText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rStyle w:val="966"/>
                <w:iCs/>
                <w:color w:val="000000"/>
                <w:sz w:val="22"/>
                <w:szCs w:val="22"/>
                <w:u w:val="none"/>
                <w:lang w:val="en-US"/>
              </w:rPr>
              <w:t xml:space="preserve">ural@rosnedra.gov.ru</w:t>
            </w:r>
            <w:r>
              <w:rPr>
                <w:iCs/>
                <w:sz w:val="22"/>
                <w:szCs w:val="22"/>
              </w:rPr>
              <w:fldChar w:fldCharType="end"/>
            </w:r>
            <w:r>
              <w:rPr>
                <w:iCs/>
                <w:sz w:val="22"/>
                <w:szCs w:val="22"/>
                <w:lang w:val="en-US"/>
              </w:rPr>
            </w:r>
            <w:r>
              <w:rPr>
                <w:iCs/>
                <w:sz w:val="22"/>
                <w:szCs w:val="22"/>
                <w:lang w:val="en-US"/>
              </w:rPr>
            </w:r>
          </w:p>
          <w:p>
            <w:pPr>
              <w:pStyle w:val="916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ИНН 6671153800 КПП 667101001</w: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Банковские реквизиты:</w: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</w:r>
          </w:p>
          <w:p>
            <w:pPr>
              <w:pStyle w:val="916"/>
              <w:jc w:val="left"/>
            </w:pPr>
            <w:r>
              <w:rPr>
                <w:sz w:val="22"/>
                <w:szCs w:val="22"/>
              </w:rPr>
              <w:t xml:space="preserve">Банковские реквизиты: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16"/>
              <w:jc w:val="left"/>
            </w:pPr>
            <w:r>
              <w:rPr>
                <w:sz w:val="22"/>
                <w:szCs w:val="22"/>
              </w:rPr>
              <w:t xml:space="preserve">ОКЦ № 1 СибГУ Банка России//УФК по Новосибирской области г. Новосибирск 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16"/>
              <w:jc w:val="left"/>
            </w:pPr>
            <w:r>
              <w:rPr>
                <w:sz w:val="22"/>
                <w:szCs w:val="22"/>
              </w:rPr>
              <w:t xml:space="preserve">Номер казначейского счета 03211643000000015113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16"/>
              <w:jc w:val="left"/>
            </w:pPr>
            <w:r>
              <w:rPr>
                <w:sz w:val="22"/>
                <w:szCs w:val="22"/>
              </w:rPr>
              <w:t xml:space="preserve">Номер единого казначейского счета 40102810445370000043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16"/>
              <w:jc w:val="left"/>
            </w:pPr>
            <w:r>
              <w:rPr>
                <w:sz w:val="22"/>
                <w:szCs w:val="22"/>
              </w:rPr>
              <w:t xml:space="preserve">БИК 015004950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16"/>
              <w:jc w:val="left"/>
            </w:pPr>
            <w:r>
              <w:rPr>
                <w:sz w:val="22"/>
                <w:szCs w:val="22"/>
              </w:rPr>
              <w:t xml:space="preserve">Лицевой счет 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1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03621777520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528" w:type="dxa"/>
            <w:vAlign w:val="top"/>
            <w:textDirection w:val="lrTb"/>
            <w:noWrap w:val="false"/>
          </w:tcPr>
          <w:p>
            <w:pPr>
              <w:pStyle w:val="963"/>
              <w:jc w:val="left"/>
              <w:spacing w:before="0" w:after="0" w:line="240" w:lineRule="auto"/>
              <w:shd w:val="clear" w:color="auto" w:fill="auto"/>
              <w:tabs>
                <w:tab w:val="left" w:pos="-284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Страховщик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b/>
                <w:bCs/>
                <w:spacing w:val="-5"/>
                <w:sz w:val="22"/>
                <w:szCs w:val="22"/>
                <w:lang w:val="en-US"/>
              </w:rPr>
            </w:pPr>
            <w:r>
              <w:rPr>
                <w:b/>
                <w:bCs/>
                <w:spacing w:val="-5"/>
                <w:sz w:val="22"/>
                <w:szCs w:val="22"/>
                <w:lang w:val="en-US"/>
              </w:rPr>
            </w:r>
            <w:r>
              <w:rPr>
                <w:b/>
                <w:bCs/>
                <w:spacing w:val="-5"/>
                <w:sz w:val="22"/>
                <w:szCs w:val="22"/>
                <w:lang w:val="en-US"/>
              </w:rPr>
            </w:r>
            <w:r>
              <w:rPr>
                <w:b/>
                <w:bCs/>
                <w:spacing w:val="-5"/>
                <w:sz w:val="22"/>
                <w:szCs w:val="22"/>
                <w:lang w:val="en-US"/>
              </w:rPr>
            </w:r>
          </w:p>
        </w:tc>
      </w:tr>
    </w:tbl>
    <w:p>
      <w:pPr>
        <w:pStyle w:val="916"/>
        <w:ind w:firstLine="720"/>
        <w:keepNext/>
        <w:tabs>
          <w:tab w:val="left" w:pos="7309" w:leader="none"/>
          <w:tab w:val="left" w:pos="9853" w:leader="none"/>
        </w:tabs>
        <w:rPr>
          <w:b/>
          <w:bCs/>
          <w:sz w:val="22"/>
          <w:szCs w:val="22"/>
          <w:lang w:val="en-US"/>
        </w:rPr>
        <w:outlineLvl w:val="5"/>
      </w:pPr>
      <w:r>
        <w:rPr>
          <w:b/>
          <w:bCs/>
          <w:sz w:val="22"/>
          <w:szCs w:val="22"/>
          <w:lang w:val="en-US"/>
        </w:rPr>
      </w:r>
      <w:r>
        <w:rPr>
          <w:b/>
          <w:bCs/>
          <w:sz w:val="22"/>
          <w:szCs w:val="22"/>
          <w:lang w:val="en-US"/>
        </w:rPr>
      </w:r>
      <w:r>
        <w:rPr>
          <w:b/>
          <w:bCs/>
          <w:sz w:val="22"/>
          <w:szCs w:val="22"/>
          <w:lang w:val="en-US"/>
        </w:rPr>
      </w:r>
    </w:p>
    <w:p>
      <w:pPr>
        <w:pStyle w:val="916"/>
        <w:ind w:firstLine="720"/>
        <w:keepNext/>
        <w:tabs>
          <w:tab w:val="left" w:pos="7309" w:leader="none"/>
          <w:tab w:val="left" w:pos="9853" w:leader="none"/>
        </w:tabs>
        <w:rPr>
          <w:b/>
          <w:bCs/>
          <w:sz w:val="22"/>
          <w:szCs w:val="22"/>
          <w:lang w:val="en-US"/>
        </w:rPr>
        <w:outlineLvl w:val="5"/>
      </w:pPr>
      <w:r>
        <w:rPr>
          <w:b/>
          <w:bCs/>
          <w:sz w:val="22"/>
          <w:szCs w:val="22"/>
          <w:lang w:val="en-US"/>
        </w:rPr>
      </w:r>
      <w:r>
        <w:rPr>
          <w:b/>
          <w:bCs/>
          <w:sz w:val="22"/>
          <w:szCs w:val="22"/>
          <w:lang w:val="en-US"/>
        </w:rPr>
      </w:r>
      <w:r>
        <w:rPr>
          <w:b/>
          <w:bCs/>
          <w:sz w:val="22"/>
          <w:szCs w:val="22"/>
          <w:lang w:val="en-US"/>
        </w:rPr>
      </w:r>
    </w:p>
    <w:p>
      <w:pPr>
        <w:pStyle w:val="916"/>
        <w:keepNext/>
        <w:tabs>
          <w:tab w:val="left" w:pos="7309" w:leader="none"/>
          <w:tab w:val="left" w:pos="9853" w:leader="none"/>
        </w:tabs>
        <w:rPr>
          <w:b/>
          <w:bCs/>
          <w:sz w:val="22"/>
          <w:szCs w:val="22"/>
          <w:lang w:val="en-US"/>
        </w:rPr>
        <w:outlineLvl w:val="5"/>
      </w:pPr>
      <w:r>
        <w:rPr>
          <w:b/>
          <w:bCs/>
          <w:sz w:val="22"/>
          <w:szCs w:val="22"/>
          <w:lang w:val="en-US"/>
        </w:rPr>
      </w:r>
      <w:r>
        <w:rPr>
          <w:b/>
          <w:bCs/>
          <w:sz w:val="22"/>
          <w:szCs w:val="22"/>
          <w:lang w:val="en-US"/>
        </w:rPr>
      </w:r>
      <w:r>
        <w:rPr>
          <w:b/>
          <w:bCs/>
          <w:sz w:val="22"/>
          <w:szCs w:val="22"/>
          <w:lang w:val="en-US"/>
        </w:rPr>
      </w:r>
    </w:p>
    <w:p>
      <w:pPr>
        <w:pStyle w:val="916"/>
        <w:ind w:firstLine="720"/>
        <w:keepNext/>
        <w:tabs>
          <w:tab w:val="left" w:pos="7309" w:leader="none"/>
          <w:tab w:val="left" w:pos="9853" w:leader="none"/>
        </w:tabs>
        <w:rPr>
          <w:b/>
          <w:bCs/>
          <w:sz w:val="22"/>
          <w:szCs w:val="22"/>
          <w:lang w:val="en-US"/>
        </w:rPr>
        <w:outlineLvl w:val="5"/>
      </w:pPr>
      <w:r>
        <w:rPr>
          <w:b/>
          <w:bCs/>
          <w:sz w:val="22"/>
          <w:szCs w:val="22"/>
          <w:lang w:val="en-US"/>
        </w:rPr>
      </w:r>
      <w:r>
        <w:rPr>
          <w:b/>
          <w:bCs/>
          <w:sz w:val="22"/>
          <w:szCs w:val="22"/>
          <w:lang w:val="en-US"/>
        </w:rPr>
      </w:r>
      <w:r>
        <w:rPr>
          <w:b/>
          <w:bCs/>
          <w:sz w:val="22"/>
          <w:szCs w:val="22"/>
          <w:lang w:val="en-US"/>
        </w:rPr>
      </w:r>
    </w:p>
    <w:tbl>
      <w:tblPr>
        <w:tblW w:w="10349" w:type="dxa"/>
        <w:tblInd w:w="-17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9"/>
        <w:gridCol w:w="5670"/>
      </w:tblGrid>
      <w:tr>
        <w:tblPrEx/>
        <w:trPr>
          <w:trHeight w:val="178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9" w:type="dxa"/>
            <w:vAlign w:val="top"/>
            <w:textDirection w:val="lrTb"/>
            <w:noWrap w:val="false"/>
          </w:tcPr>
          <w:p>
            <w:pPr>
              <w:pStyle w:val="916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Подпись </w:t>
            </w:r>
            <w:r>
              <w:rPr>
                <w:b/>
                <w:sz w:val="22"/>
                <w:szCs w:val="22"/>
              </w:rPr>
              <w:t xml:space="preserve">Страхователя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начальника Департамента – начальник отдела экономики, администрирования доходов, бюджетной отчетности и закупок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jc w:val="left"/>
              <w:tabs>
                <w:tab w:val="left" w:pos="284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__________________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Мартюшева К.Н.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left"/>
              <w:tabs>
                <w:tab w:val="left" w:pos="284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М.П.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16"/>
              <w:ind w:hanging="102"/>
              <w:tabs>
                <w:tab w:val="left" w:pos="1345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Подпись </w:t>
            </w:r>
            <w:r>
              <w:rPr>
                <w:b/>
                <w:bCs/>
                <w:sz w:val="22"/>
                <w:szCs w:val="22"/>
              </w:rPr>
              <w:t xml:space="preserve">Страховщика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916"/>
              <w:ind w:hanging="102"/>
              <w:tabs>
                <w:tab w:val="left" w:pos="134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6"/>
              <w:ind w:hanging="102"/>
              <w:tabs>
                <w:tab w:val="left" w:pos="134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6"/>
              <w:tabs>
                <w:tab w:val="left" w:pos="134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6"/>
              <w:tabs>
                <w:tab w:val="left" w:pos="134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6"/>
              <w:tabs>
                <w:tab w:val="left" w:pos="134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6"/>
              <w:tabs>
                <w:tab w:val="left" w:pos="3402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tabs>
                <w:tab w:val="left" w:pos="3402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______________/</w:t>
            </w:r>
            <w:r>
              <w:rPr>
                <w:sz w:val="22"/>
                <w:szCs w:val="22"/>
              </w:rPr>
              <w:t xml:space="preserve">_____________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tabs>
                <w:tab w:val="left" w:pos="3402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М.П.</w:t>
            </w:r>
            <w:r>
              <w:rPr>
                <w:sz w:val="22"/>
                <w:szCs w:val="22"/>
                <w:highlight w:val="none"/>
              </w:rPr>
            </w:r>
          </w:p>
        </w:tc>
      </w:tr>
    </w:tbl>
    <w:p>
      <w:pPr>
        <w:pStyle w:val="916"/>
        <w:rPr>
          <w:sz w:val="22"/>
          <w:szCs w:val="22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1907" w:h="16840" w:orient="portrait"/>
          <w:pgMar w:top="567" w:right="567" w:bottom="567" w:left="1134" w:header="567" w:footer="567" w:gutter="0"/>
          <w:cols w:num="1" w:sep="0" w:space="720" w:equalWidth="1"/>
          <w:docGrid w:linePitch="360"/>
          <w:titlePg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Приложение № 1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 </w:t>
      </w:r>
      <w:r>
        <w:rPr>
          <w:b/>
          <w:sz w:val="22"/>
          <w:szCs w:val="22"/>
        </w:rPr>
        <w:t xml:space="preserve">Договору </w:t>
      </w:r>
      <w:r>
        <w:rPr>
          <w:b/>
          <w:sz w:val="22"/>
          <w:szCs w:val="22"/>
        </w:rPr>
        <w:t xml:space="preserve">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/2026</w:t>
      </w:r>
      <w:r>
        <w:rPr>
          <w:b/>
          <w:sz w:val="22"/>
          <w:szCs w:val="22"/>
        </w:rPr>
        <w:t xml:space="preserve">-Е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по обязательному страхованию гра</w:t>
      </w:r>
      <w:r>
        <w:rPr>
          <w:bCs/>
          <w:sz w:val="22"/>
          <w:szCs w:val="22"/>
        </w:rPr>
        <w:t xml:space="preserve">жданской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16"/>
        <w:ind w:firstLine="72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ответственности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владельцев транспортных средств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16"/>
        <w:ind w:firstLine="7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 </w:t>
      </w:r>
      <w:r>
        <w:rPr>
          <w:b/>
          <w:sz w:val="22"/>
          <w:szCs w:val="22"/>
        </w:rPr>
        <w:t xml:space="preserve">«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                </w:t>
      </w:r>
      <w:r>
        <w:rPr>
          <w:b/>
          <w:sz w:val="22"/>
          <w:szCs w:val="22"/>
        </w:rPr>
        <w:t xml:space="preserve">2026</w:t>
      </w:r>
      <w:r>
        <w:rPr>
          <w:b/>
          <w:sz w:val="22"/>
          <w:szCs w:val="22"/>
        </w:rPr>
        <w:t xml:space="preserve"> г.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ind w:firstLine="720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15871" w:type="dxa"/>
        <w:tblInd w:w="11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7"/>
        <w:gridCol w:w="436"/>
        <w:gridCol w:w="1663"/>
        <w:gridCol w:w="2127"/>
        <w:gridCol w:w="1360"/>
        <w:gridCol w:w="1280"/>
        <w:gridCol w:w="691"/>
        <w:gridCol w:w="1026"/>
        <w:gridCol w:w="1154"/>
        <w:gridCol w:w="704"/>
        <w:gridCol w:w="566"/>
        <w:gridCol w:w="565"/>
        <w:gridCol w:w="565"/>
        <w:gridCol w:w="564"/>
        <w:gridCol w:w="702"/>
        <w:gridCol w:w="597"/>
        <w:gridCol w:w="1394"/>
      </w:tblGrid>
      <w:tr>
        <w:tblPrEx/>
        <w:trPr>
          <w:trHeight w:val="145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№ п/п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6" w:type="dxa"/>
            <w:vAlign w:val="center"/>
            <w:textDirection w:val="btLr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Категория ТС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63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Марка, модель ТС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VIN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6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Гос.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номер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8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Место регистрации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691" w:type="dxa"/>
            <w:vAlign w:val="center"/>
            <w:textDirection w:val="btLr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Мощность двигателя, л.с.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26" w:type="dxa"/>
            <w:vAlign w:val="center"/>
            <w:textDirection w:val="btLr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Дата начала срока страхования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btLr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Дата окончания срока страхования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ТБ, руб.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КТ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btLr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КБМ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КМ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КС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2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КО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9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КВС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9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ИТОГО, руб. 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63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Toyota Land Cruiser Prado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RUTBX8FJ9E0016252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6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595 ММ 196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8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Екатеринбург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691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2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2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9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9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63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Toyota Land Cruiser Prado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RUTBX8FJ9D0003141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6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972 АО 186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8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Ханты-Мансийск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691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26" w:type="dxa"/>
            <w:vAlign w:val="center"/>
            <w:textDirection w:val="lrTb"/>
            <w:noWrap w:val="false"/>
          </w:tcPr>
          <w:p>
            <w:pPr>
              <w:pStyle w:val="9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2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9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94" w:type="dxa"/>
            <w:vAlign w:val="center"/>
            <w:textDirection w:val="lrTb"/>
            <w:noWrap w:val="false"/>
          </w:tcPr>
          <w:p>
            <w:pPr>
              <w:pStyle w:val="916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63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Hyundai Sonata</w:t>
            </w:r>
            <w:r>
              <w:rPr>
                <w:color w:val="000000"/>
                <w:sz w:val="18"/>
                <w:szCs w:val="18"/>
                <w:lang w:val="en-US"/>
              </w:rPr>
            </w:r>
            <w:r>
              <w:rPr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X7MEM41HP8M037338</w:t>
            </w:r>
            <w:r>
              <w:rPr>
                <w:color w:val="000000"/>
                <w:sz w:val="18"/>
                <w:szCs w:val="18"/>
                <w:lang w:val="en-US"/>
              </w:rPr>
            </w:r>
            <w:r>
              <w:rPr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6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021 МР 196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8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Екатеринбург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691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137</w:t>
            </w:r>
            <w:r>
              <w:rPr>
                <w:color w:val="000000"/>
                <w:sz w:val="18"/>
                <w:szCs w:val="18"/>
                <w:lang w:val="en-US"/>
              </w:rPr>
            </w:r>
            <w:r>
              <w:rPr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2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2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9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94" w:type="dxa"/>
            <w:vAlign w:val="center"/>
            <w:textDirection w:val="lrTb"/>
            <w:noWrap w:val="false"/>
          </w:tcPr>
          <w:p>
            <w:pPr>
              <w:pStyle w:val="916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375"/>
        </w:trPr>
        <w:tc>
          <w:tcPr>
            <w:gridSpan w:val="16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Итого: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94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pStyle w:val="916"/>
        <w:keepNext/>
        <w:tabs>
          <w:tab w:val="left" w:pos="7309" w:leader="none"/>
          <w:tab w:val="left" w:pos="9853" w:leader="none"/>
        </w:tabs>
        <w:rPr>
          <w:b/>
          <w:bCs/>
          <w:sz w:val="22"/>
          <w:szCs w:val="22"/>
        </w:rPr>
        <w:outlineLvl w:val="5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16"/>
        <w:keepNext/>
        <w:tabs>
          <w:tab w:val="left" w:pos="7309" w:leader="none"/>
          <w:tab w:val="left" w:pos="9853" w:leader="none"/>
        </w:tabs>
        <w:rPr>
          <w:b/>
          <w:bCs/>
          <w:sz w:val="22"/>
          <w:szCs w:val="22"/>
        </w:rPr>
        <w:outlineLvl w:val="5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16"/>
        <w:ind w:firstLine="720"/>
        <w:keepNext/>
        <w:tabs>
          <w:tab w:val="left" w:pos="7309" w:leader="none"/>
          <w:tab w:val="left" w:pos="9853" w:leader="none"/>
        </w:tabs>
        <w:rPr>
          <w:b/>
          <w:bCs/>
          <w:sz w:val="22"/>
          <w:szCs w:val="22"/>
        </w:rPr>
        <w:outlineLvl w:val="5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16"/>
        <w:ind w:firstLine="720"/>
        <w:keepNext/>
        <w:tabs>
          <w:tab w:val="left" w:pos="7309" w:leader="none"/>
          <w:tab w:val="left" w:pos="9853" w:leader="none"/>
        </w:tabs>
        <w:rPr>
          <w:b/>
          <w:bCs/>
          <w:sz w:val="22"/>
          <w:szCs w:val="22"/>
        </w:rPr>
        <w:outlineLvl w:val="5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1513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11"/>
        <w:gridCol w:w="4962"/>
        <w:gridCol w:w="4962"/>
      </w:tblGrid>
      <w:tr>
        <w:tblPrEx/>
        <w:trPr>
          <w:trHeight w:val="217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11" w:type="dxa"/>
            <w:vAlign w:val="top"/>
            <w:textDirection w:val="lrTb"/>
            <w:noWrap w:val="false"/>
          </w:tcPr>
          <w:p>
            <w:pPr>
              <w:pStyle w:val="916"/>
              <w:ind w:firstLine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Подпись Страхователя: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16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начальника Департамента – начальник отдела экономики, администрирования доходов, бюджетной отчетности и закупок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tabs>
                <w:tab w:val="left" w:pos="284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________________/</w:t>
            </w:r>
            <w:r>
              <w:rPr>
                <w:sz w:val="22"/>
                <w:szCs w:val="22"/>
              </w:rPr>
              <w:t xml:space="preserve">Мартюшева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Н.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tabs>
                <w:tab w:val="left" w:pos="284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М.П.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16"/>
              <w:jc w:val="left"/>
              <w:tabs>
                <w:tab w:val="left" w:pos="1345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16"/>
              <w:jc w:val="left"/>
              <w:tabs>
                <w:tab w:val="left" w:pos="1345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Подпись Страховщика: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9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jc w:val="left"/>
              <w:tabs>
                <w:tab w:val="left" w:pos="3402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6"/>
              <w:jc w:val="left"/>
              <w:tabs>
                <w:tab w:val="left" w:pos="3402" w:leader="none"/>
              </w:tabs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________________/</w:t>
            </w:r>
            <w:r>
              <w:rPr>
                <w:sz w:val="22"/>
                <w:szCs w:val="22"/>
              </w:rPr>
              <w:t xml:space="preserve">______________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left"/>
              <w:tabs>
                <w:tab w:val="left" w:pos="3402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М.П.</w:t>
            </w:r>
            <w:r>
              <w:rPr>
                <w:sz w:val="22"/>
                <w:szCs w:val="22"/>
                <w:highlight w:val="none"/>
              </w:rPr>
            </w:r>
          </w:p>
        </w:tc>
      </w:tr>
    </w:tbl>
    <w:p>
      <w:r/>
      <w:r/>
    </w:p>
    <w:sectPr>
      <w:footnotePr/>
      <w:endnotePr/>
      <w:type w:val="nextPage"/>
      <w:pgSz w:w="16840" w:h="11907" w:orient="landscape"/>
      <w:pgMar w:top="1134" w:right="567" w:bottom="567" w:left="567" w:header="567" w:footer="56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7</w:t>
    </w:r>
    <w:r>
      <w:fldChar w:fldCharType="end"/>
    </w:r>
    <w:r/>
  </w:p>
  <w:p>
    <w:pPr>
      <w:pStyle w:val="937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rPr>
        <w:rStyle w:val="938"/>
      </w:rPr>
      <w:framePr w:wrap="around" w:vAnchor="text" w:hAnchor="margin" w:xAlign="right" w:y="1"/>
    </w:pPr>
    <w:r>
      <w:rPr>
        <w:rStyle w:val="938"/>
      </w:rPr>
      <w:fldChar w:fldCharType="begin"/>
    </w:r>
    <w:r>
      <w:rPr>
        <w:rStyle w:val="938"/>
      </w:rPr>
      <w:instrText xml:space="preserve">PAGE  </w:instrText>
    </w:r>
    <w:r>
      <w:rPr>
        <w:rStyle w:val="938"/>
      </w:rPr>
      <w:fldChar w:fldCharType="end"/>
    </w:r>
    <w:r>
      <w:rPr>
        <w:rStyle w:val="938"/>
      </w:rPr>
    </w:r>
    <w:r>
      <w:rPr>
        <w:rStyle w:val="938"/>
      </w:rPr>
    </w:r>
  </w:p>
  <w:p>
    <w:pPr>
      <w:pStyle w:val="937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jc w:val="right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720" w:hanging="360"/>
        <w:tabs>
          <w:tab w:val="num" w:pos="72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7" w:hanging="368"/>
        <w:tabs>
          <w:tab w:val="num" w:pos="107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3.%1. "/>
      <w:legacy w:legacy="1" w:legacyIndent="0" w:legacySpace="0"/>
      <w:lvlJc w:val="left"/>
      <w:pPr>
        <w:ind w:left="425" w:hanging="283"/>
      </w:pPr>
      <w:rPr>
        <w:rFonts w:ascii="Times New Roman" w:hAnsi="Times New Roman"/>
        <w:b w:val="0"/>
        <w:i w:val="0"/>
        <w:sz w:val="24"/>
        <w:szCs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2912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b w:val="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7" w:hanging="367"/>
        <w:tabs>
          <w:tab w:val="num" w:pos="72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2160" w:leader="none"/>
        </w:tabs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4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1065"/>
      </w:pPr>
    </w:lvl>
    <w:lvl w:ilvl="1">
      <w:start w:val="1"/>
      <w:numFmt w:val="decimal"/>
      <w:isLgl w:val="false"/>
      <w:suff w:val="tab"/>
      <w:lvlText w:val="%1.%2."/>
      <w:lvlJc w:val="left"/>
      <w:pPr>
        <w:ind w:left="1632" w:hanging="106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99" w:hanging="106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66" w:hanging="106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</w:lvl>
    <w:lvl w:ilvl="1">
      <w:start w:val="3"/>
      <w:numFmt w:val="decimal"/>
      <w:isLgl w:val="false"/>
      <w:suff w:val="tab"/>
      <w:lvlText w:val="%2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78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7" w:hanging="367"/>
        <w:tabs>
          <w:tab w:val="num" w:pos="72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2160" w:leader="none"/>
        </w:tabs>
      </w:pPr>
    </w:lvl>
  </w:abstractNum>
  <w:num w:numId="1">
    <w:abstractNumId w:val="13"/>
  </w:num>
  <w:num w:numId="2">
    <w:abstractNumId w:val="15"/>
  </w:num>
  <w:num w:numId="3">
    <w:abstractNumId w:val="3"/>
    <w:lvlOverride w:ilvl="0">
      <w:startOverride w:val="1"/>
    </w:lvlOverride>
  </w:num>
  <w:num w:numId="4">
    <w:abstractNumId w:val="12"/>
  </w:num>
  <w:num w:numId="5">
    <w:abstractNumId w:val="0"/>
  </w:num>
  <w:num w:numId="6">
    <w:abstractNumId w:val="17"/>
  </w:num>
  <w:num w:numId="7">
    <w:abstractNumId w:val="6"/>
  </w:num>
  <w:num w:numId="8">
    <w:abstractNumId w:val="14"/>
  </w:num>
  <w:num w:numId="9">
    <w:abstractNumId w:val="2"/>
  </w:num>
  <w:num w:numId="10">
    <w:abstractNumId w:val="10"/>
  </w:num>
  <w:num w:numId="11">
    <w:abstractNumId w:val="4"/>
  </w:num>
  <w:num w:numId="12">
    <w:abstractNumId w:val="16"/>
  </w:num>
  <w:num w:numId="13">
    <w:abstractNumId w:val="1"/>
  </w:num>
  <w:num w:numId="14">
    <w:abstractNumId w:val="5"/>
  </w:num>
  <w:num w:numId="15">
    <w:abstractNumId w:val="9"/>
  </w:num>
  <w:num w:numId="16">
    <w:abstractNumId w:val="7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6"/>
    <w:next w:val="916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link w:val="738"/>
    <w:uiPriority w:val="9"/>
    <w:rPr>
      <w:rFonts w:ascii="Arial" w:hAnsi="Arial" w:eastAsia="Arial" w:cs="Arial"/>
      <w:sz w:val="40"/>
      <w:szCs w:val="40"/>
    </w:rPr>
  </w:style>
  <w:style w:type="paragraph" w:styleId="740">
    <w:name w:val="Heading 2"/>
    <w:basedOn w:val="916"/>
    <w:next w:val="916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link w:val="74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16"/>
    <w:next w:val="916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16"/>
    <w:next w:val="916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6"/>
    <w:next w:val="916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6"/>
    <w:next w:val="916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6"/>
    <w:next w:val="916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6"/>
    <w:next w:val="916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6"/>
    <w:next w:val="916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916"/>
    <w:uiPriority w:val="34"/>
    <w:qFormat/>
    <w:pPr>
      <w:contextualSpacing/>
      <w:ind w:left="720"/>
    </w:pPr>
  </w:style>
  <w:style w:type="paragraph" w:styleId="757">
    <w:name w:val="No Spacing"/>
    <w:uiPriority w:val="1"/>
    <w:qFormat/>
    <w:pPr>
      <w:spacing w:before="0" w:after="0" w:line="240" w:lineRule="auto"/>
    </w:pPr>
  </w:style>
  <w:style w:type="paragraph" w:styleId="758">
    <w:name w:val="Title"/>
    <w:basedOn w:val="916"/>
    <w:next w:val="916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>
    <w:name w:val="Title Char"/>
    <w:link w:val="758"/>
    <w:uiPriority w:val="10"/>
    <w:rPr>
      <w:sz w:val="48"/>
      <w:szCs w:val="48"/>
    </w:rPr>
  </w:style>
  <w:style w:type="paragraph" w:styleId="760">
    <w:name w:val="Subtitle"/>
    <w:basedOn w:val="916"/>
    <w:next w:val="916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link w:val="760"/>
    <w:uiPriority w:val="11"/>
    <w:rPr>
      <w:sz w:val="24"/>
      <w:szCs w:val="24"/>
    </w:rPr>
  </w:style>
  <w:style w:type="paragraph" w:styleId="762">
    <w:name w:val="Quote"/>
    <w:basedOn w:val="916"/>
    <w:next w:val="916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6"/>
    <w:next w:val="916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paragraph" w:styleId="766">
    <w:name w:val="Header"/>
    <w:basedOn w:val="916"/>
    <w:link w:val="7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7">
    <w:name w:val="Header Char"/>
    <w:link w:val="766"/>
    <w:uiPriority w:val="99"/>
  </w:style>
  <w:style w:type="paragraph" w:styleId="768">
    <w:name w:val="Footer"/>
    <w:basedOn w:val="916"/>
    <w:link w:val="7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>
    <w:name w:val="Footer Char"/>
    <w:link w:val="768"/>
    <w:uiPriority w:val="99"/>
  </w:style>
  <w:style w:type="paragraph" w:styleId="770">
    <w:name w:val="Caption"/>
    <w:basedOn w:val="916"/>
    <w:next w:val="916"/>
    <w:link w:val="7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1">
    <w:name w:val="Caption Char"/>
    <w:link w:val="770"/>
    <w:uiPriority w:val="35"/>
    <w:rPr>
      <w:b/>
      <w:bCs/>
      <w:color w:val="4f81bd" w:themeColor="accent1"/>
      <w:sz w:val="18"/>
      <w:szCs w:val="18"/>
    </w:rPr>
  </w:style>
  <w:style w:type="table" w:styleId="77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8">
    <w:name w:val="Hyperlink"/>
    <w:uiPriority w:val="99"/>
    <w:unhideWhenUsed/>
    <w:rPr>
      <w:color w:val="0000ff" w:themeColor="hyperlink"/>
      <w:u w:val="single"/>
    </w:rPr>
  </w:style>
  <w:style w:type="paragraph" w:styleId="899">
    <w:name w:val="footnote text"/>
    <w:basedOn w:val="916"/>
    <w:link w:val="900"/>
    <w:uiPriority w:val="99"/>
    <w:semiHidden/>
    <w:unhideWhenUsed/>
    <w:pPr>
      <w:spacing w:after="40" w:line="240" w:lineRule="auto"/>
    </w:pPr>
    <w:rPr>
      <w:sz w:val="18"/>
    </w:rPr>
  </w:style>
  <w:style w:type="character" w:styleId="900">
    <w:name w:val="Footnote Text Char"/>
    <w:link w:val="899"/>
    <w:uiPriority w:val="99"/>
    <w:rPr>
      <w:sz w:val="18"/>
    </w:rPr>
  </w:style>
  <w:style w:type="character" w:styleId="901">
    <w:name w:val="footnote reference"/>
    <w:uiPriority w:val="99"/>
    <w:unhideWhenUsed/>
    <w:rPr>
      <w:vertAlign w:val="superscript"/>
    </w:rPr>
  </w:style>
  <w:style w:type="paragraph" w:styleId="902">
    <w:name w:val="endnote text"/>
    <w:basedOn w:val="916"/>
    <w:link w:val="903"/>
    <w:uiPriority w:val="99"/>
    <w:semiHidden/>
    <w:unhideWhenUsed/>
    <w:pPr>
      <w:spacing w:after="0" w:line="240" w:lineRule="auto"/>
    </w:pPr>
    <w:rPr>
      <w:sz w:val="20"/>
    </w:rPr>
  </w:style>
  <w:style w:type="character" w:styleId="903">
    <w:name w:val="Endnote Text Char"/>
    <w:link w:val="902"/>
    <w:uiPriority w:val="99"/>
    <w:rPr>
      <w:sz w:val="20"/>
    </w:rPr>
  </w:style>
  <w:style w:type="character" w:styleId="904">
    <w:name w:val="endnote reference"/>
    <w:uiPriority w:val="99"/>
    <w:semiHidden/>
    <w:unhideWhenUsed/>
    <w:rPr>
      <w:vertAlign w:val="superscript"/>
    </w:rPr>
  </w:style>
  <w:style w:type="paragraph" w:styleId="905">
    <w:name w:val="toc 1"/>
    <w:basedOn w:val="916"/>
    <w:next w:val="916"/>
    <w:uiPriority w:val="39"/>
    <w:unhideWhenUsed/>
    <w:pPr>
      <w:ind w:left="0" w:right="0" w:firstLine="0"/>
      <w:spacing w:after="57"/>
    </w:pPr>
  </w:style>
  <w:style w:type="paragraph" w:styleId="906">
    <w:name w:val="toc 2"/>
    <w:basedOn w:val="916"/>
    <w:next w:val="916"/>
    <w:uiPriority w:val="39"/>
    <w:unhideWhenUsed/>
    <w:pPr>
      <w:ind w:left="283" w:right="0" w:firstLine="0"/>
      <w:spacing w:after="57"/>
    </w:pPr>
  </w:style>
  <w:style w:type="paragraph" w:styleId="907">
    <w:name w:val="toc 3"/>
    <w:basedOn w:val="916"/>
    <w:next w:val="916"/>
    <w:uiPriority w:val="39"/>
    <w:unhideWhenUsed/>
    <w:pPr>
      <w:ind w:left="567" w:right="0" w:firstLine="0"/>
      <w:spacing w:after="57"/>
    </w:pPr>
  </w:style>
  <w:style w:type="paragraph" w:styleId="908">
    <w:name w:val="toc 4"/>
    <w:basedOn w:val="916"/>
    <w:next w:val="916"/>
    <w:uiPriority w:val="39"/>
    <w:unhideWhenUsed/>
    <w:pPr>
      <w:ind w:left="850" w:right="0" w:firstLine="0"/>
      <w:spacing w:after="57"/>
    </w:pPr>
  </w:style>
  <w:style w:type="paragraph" w:styleId="909">
    <w:name w:val="toc 5"/>
    <w:basedOn w:val="916"/>
    <w:next w:val="916"/>
    <w:uiPriority w:val="39"/>
    <w:unhideWhenUsed/>
    <w:pPr>
      <w:ind w:left="1134" w:right="0" w:firstLine="0"/>
      <w:spacing w:after="57"/>
    </w:pPr>
  </w:style>
  <w:style w:type="paragraph" w:styleId="910">
    <w:name w:val="toc 6"/>
    <w:basedOn w:val="916"/>
    <w:next w:val="916"/>
    <w:uiPriority w:val="39"/>
    <w:unhideWhenUsed/>
    <w:pPr>
      <w:ind w:left="1417" w:right="0" w:firstLine="0"/>
      <w:spacing w:after="57"/>
    </w:pPr>
  </w:style>
  <w:style w:type="paragraph" w:styleId="911">
    <w:name w:val="toc 7"/>
    <w:basedOn w:val="916"/>
    <w:next w:val="916"/>
    <w:uiPriority w:val="39"/>
    <w:unhideWhenUsed/>
    <w:pPr>
      <w:ind w:left="1701" w:right="0" w:firstLine="0"/>
      <w:spacing w:after="57"/>
    </w:pPr>
  </w:style>
  <w:style w:type="paragraph" w:styleId="912">
    <w:name w:val="toc 8"/>
    <w:basedOn w:val="916"/>
    <w:next w:val="916"/>
    <w:uiPriority w:val="39"/>
    <w:unhideWhenUsed/>
    <w:pPr>
      <w:ind w:left="1984" w:right="0" w:firstLine="0"/>
      <w:spacing w:after="57"/>
    </w:pPr>
  </w:style>
  <w:style w:type="paragraph" w:styleId="913">
    <w:name w:val="toc 9"/>
    <w:basedOn w:val="916"/>
    <w:next w:val="916"/>
    <w:uiPriority w:val="39"/>
    <w:unhideWhenUsed/>
    <w:pPr>
      <w:ind w:left="2268" w:right="0" w:firstLine="0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916"/>
    <w:next w:val="916"/>
    <w:uiPriority w:val="99"/>
    <w:unhideWhenUsed/>
    <w:pPr>
      <w:spacing w:after="0" w:afterAutospacing="0"/>
    </w:pPr>
  </w:style>
  <w:style w:type="paragraph" w:styleId="916" w:default="1">
    <w:name w:val="Normal"/>
    <w:next w:val="916"/>
    <w:link w:val="916"/>
    <w:qFormat/>
    <w:pPr>
      <w:jc w:val="both"/>
    </w:pPr>
    <w:rPr>
      <w:lang w:val="ru-RU" w:eastAsia="ru-RU" w:bidi="ar-SA"/>
    </w:rPr>
  </w:style>
  <w:style w:type="paragraph" w:styleId="917">
    <w:name w:val="Заголовок 1"/>
    <w:basedOn w:val="916"/>
    <w:next w:val="916"/>
    <w:link w:val="916"/>
    <w:qFormat/>
    <w:pPr>
      <w:jc w:val="center"/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918">
    <w:name w:val="Заголовок 2"/>
    <w:basedOn w:val="916"/>
    <w:next w:val="916"/>
    <w:link w:val="916"/>
    <w:qFormat/>
    <w:pPr>
      <w:jc w:val="center"/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919">
    <w:name w:val="Заголовок 3"/>
    <w:basedOn w:val="916"/>
    <w:next w:val="916"/>
    <w:link w:val="916"/>
    <w:qFormat/>
    <w:pPr>
      <w:ind w:left="567"/>
      <w:keepNext/>
      <w:spacing w:before="240" w:after="60"/>
      <w:widowControl w:val="off"/>
      <w:outlineLvl w:val="2"/>
    </w:pPr>
    <w:rPr>
      <w:b/>
      <w:i/>
      <w:sz w:val="24"/>
    </w:rPr>
  </w:style>
  <w:style w:type="paragraph" w:styleId="920">
    <w:name w:val="Заголовок 4"/>
    <w:basedOn w:val="916"/>
    <w:next w:val="916"/>
    <w:link w:val="916"/>
    <w:qFormat/>
    <w:pPr>
      <w:jc w:val="center"/>
      <w:keepNext/>
      <w:spacing w:before="120" w:after="60"/>
      <w:outlineLvl w:val="3"/>
    </w:pPr>
    <w:rPr>
      <w:b/>
      <w:sz w:val="24"/>
    </w:rPr>
  </w:style>
  <w:style w:type="paragraph" w:styleId="921">
    <w:name w:val="Заголовок 5"/>
    <w:basedOn w:val="916"/>
    <w:next w:val="916"/>
    <w:link w:val="916"/>
    <w:qFormat/>
    <w:pPr>
      <w:ind w:left="567"/>
      <w:spacing w:before="60" w:after="60"/>
      <w:outlineLvl w:val="4"/>
    </w:pPr>
    <w:rPr>
      <w:b/>
    </w:rPr>
  </w:style>
  <w:style w:type="paragraph" w:styleId="922">
    <w:name w:val="Заголовок 6"/>
    <w:basedOn w:val="916"/>
    <w:next w:val="916"/>
    <w:link w:val="916"/>
    <w:qFormat/>
    <w:pPr>
      <w:keepNext/>
      <w:tabs>
        <w:tab w:val="right" w:pos="9071" w:leader="none"/>
      </w:tabs>
      <w:outlineLvl w:val="5"/>
    </w:pPr>
    <w:rPr>
      <w:b/>
      <w:sz w:val="24"/>
    </w:rPr>
  </w:style>
  <w:style w:type="paragraph" w:styleId="923">
    <w:name w:val="Заголовок 7"/>
    <w:basedOn w:val="916"/>
    <w:next w:val="916"/>
    <w:link w:val="916"/>
    <w:qFormat/>
    <w:pPr>
      <w:ind w:firstLine="709"/>
      <w:jc w:val="center"/>
      <w:keepNext/>
      <w:outlineLvl w:val="6"/>
    </w:pPr>
    <w:rPr>
      <w:b/>
      <w:spacing w:val="40"/>
      <w:sz w:val="24"/>
    </w:rPr>
  </w:style>
  <w:style w:type="character" w:styleId="924">
    <w:name w:val="Основной шрифт абзаца"/>
    <w:next w:val="924"/>
    <w:link w:val="916"/>
    <w:uiPriority w:val="1"/>
    <w:unhideWhenUsed/>
  </w:style>
  <w:style w:type="table" w:styleId="925">
    <w:name w:val="Обычная таблица"/>
    <w:next w:val="925"/>
    <w:link w:val="916"/>
    <w:uiPriority w:val="99"/>
    <w:semiHidden/>
    <w:unhideWhenUsed/>
    <w:tblPr/>
  </w:style>
  <w:style w:type="numbering" w:styleId="926">
    <w:name w:val="Нет списка"/>
    <w:next w:val="926"/>
    <w:link w:val="916"/>
    <w:uiPriority w:val="99"/>
    <w:semiHidden/>
    <w:unhideWhenUsed/>
  </w:style>
  <w:style w:type="paragraph" w:styleId="927">
    <w:name w:val="абзац"/>
    <w:basedOn w:val="916"/>
    <w:next w:val="927"/>
    <w:link w:val="916"/>
    <w:pPr>
      <w:ind w:firstLine="567"/>
    </w:pPr>
  </w:style>
  <w:style w:type="paragraph" w:styleId="928">
    <w:name w:val="Нумерованный список 3"/>
    <w:basedOn w:val="916"/>
    <w:next w:val="927"/>
    <w:link w:val="916"/>
    <w:pPr>
      <w:ind w:left="567"/>
      <w:spacing w:before="120" w:after="120"/>
      <w:widowControl w:val="off"/>
    </w:pPr>
    <w:rPr>
      <w:b/>
      <w:i/>
      <w:sz w:val="24"/>
    </w:rPr>
  </w:style>
  <w:style w:type="paragraph" w:styleId="929">
    <w:name w:val="Список 2"/>
    <w:basedOn w:val="927"/>
    <w:next w:val="929"/>
    <w:link w:val="916"/>
  </w:style>
  <w:style w:type="paragraph" w:styleId="930">
    <w:name w:val="Список 3"/>
    <w:basedOn w:val="927"/>
    <w:next w:val="930"/>
    <w:link w:val="916"/>
    <w:pPr>
      <w:ind w:left="850" w:hanging="283"/>
    </w:pPr>
  </w:style>
  <w:style w:type="paragraph" w:styleId="931">
    <w:name w:val="Нижний колонтитул"/>
    <w:basedOn w:val="916"/>
    <w:next w:val="931"/>
    <w:link w:val="960"/>
    <w:uiPriority w:val="99"/>
    <w:pPr>
      <w:tabs>
        <w:tab w:val="center" w:pos="4153" w:leader="none"/>
        <w:tab w:val="right" w:pos="8306" w:leader="none"/>
      </w:tabs>
      <w:pBdr>
        <w:top w:val="single" w:color="000000" w:sz="6" w:space="1"/>
      </w:pBdr>
    </w:pPr>
  </w:style>
  <w:style w:type="paragraph" w:styleId="932">
    <w:name w:val="Маркированный список"/>
    <w:basedOn w:val="916"/>
    <w:next w:val="932"/>
    <w:link w:val="916"/>
    <w:pPr>
      <w:ind w:left="283" w:hanging="283"/>
    </w:pPr>
  </w:style>
  <w:style w:type="paragraph" w:styleId="933">
    <w:name w:val="Основной текст"/>
    <w:basedOn w:val="916"/>
    <w:next w:val="933"/>
    <w:link w:val="916"/>
    <w:rPr>
      <w:b/>
      <w:i/>
    </w:rPr>
  </w:style>
  <w:style w:type="paragraph" w:styleId="934">
    <w:name w:val="Основной текст с отступом"/>
    <w:basedOn w:val="916"/>
    <w:next w:val="934"/>
    <w:link w:val="916"/>
    <w:pPr>
      <w:ind w:firstLine="709"/>
    </w:pPr>
  </w:style>
  <w:style w:type="paragraph" w:styleId="935">
    <w:name w:val="Основной текст 2"/>
    <w:basedOn w:val="916"/>
    <w:next w:val="935"/>
    <w:link w:val="916"/>
    <w:pPr>
      <w:ind w:right="-1"/>
    </w:pPr>
  </w:style>
  <w:style w:type="paragraph" w:styleId="936">
    <w:name w:val="Основной текст 3"/>
    <w:basedOn w:val="916"/>
    <w:next w:val="936"/>
    <w:link w:val="916"/>
    <w:pPr>
      <w:ind w:right="4676"/>
      <w:jc w:val="left"/>
    </w:pPr>
    <w:rPr>
      <w:b/>
    </w:rPr>
  </w:style>
  <w:style w:type="paragraph" w:styleId="937">
    <w:name w:val="Верхний колонтитул"/>
    <w:basedOn w:val="916"/>
    <w:next w:val="937"/>
    <w:link w:val="964"/>
    <w:uiPriority w:val="99"/>
    <w:pPr>
      <w:tabs>
        <w:tab w:val="center" w:pos="4677" w:leader="none"/>
        <w:tab w:val="right" w:pos="9355" w:leader="none"/>
      </w:tabs>
    </w:pPr>
  </w:style>
  <w:style w:type="character" w:styleId="938">
    <w:name w:val="Номер страницы"/>
    <w:basedOn w:val="924"/>
    <w:next w:val="938"/>
    <w:link w:val="916"/>
  </w:style>
  <w:style w:type="table" w:styleId="939">
    <w:name w:val="Сетка таблицы"/>
    <w:basedOn w:val="925"/>
    <w:next w:val="939"/>
    <w:link w:val="916"/>
    <w:uiPriority w:val="59"/>
    <w:tblPr/>
  </w:style>
  <w:style w:type="paragraph" w:styleId="940">
    <w:name w:val="Текст выноски"/>
    <w:basedOn w:val="916"/>
    <w:next w:val="940"/>
    <w:link w:val="916"/>
    <w:semiHidden/>
    <w:rPr>
      <w:rFonts w:ascii="Tahoma" w:hAnsi="Tahoma" w:cs="Tahoma"/>
      <w:sz w:val="16"/>
      <w:szCs w:val="16"/>
    </w:rPr>
  </w:style>
  <w:style w:type="paragraph" w:styleId="941">
    <w:name w:val="Обычный (веб)"/>
    <w:basedOn w:val="916"/>
    <w:next w:val="941"/>
    <w:link w:val="916"/>
    <w:pPr>
      <w:jc w:val="left"/>
      <w:spacing w:before="100" w:beforeAutospacing="1" w:after="100" w:afterAutospacing="1"/>
    </w:pPr>
    <w:rPr>
      <w:sz w:val="24"/>
      <w:szCs w:val="24"/>
    </w:rPr>
  </w:style>
  <w:style w:type="paragraph" w:styleId="942">
    <w:name w:val="Название"/>
    <w:basedOn w:val="916"/>
    <w:next w:val="942"/>
    <w:link w:val="959"/>
    <w:qFormat/>
    <w:pPr>
      <w:jc w:val="center"/>
    </w:pPr>
    <w:rPr>
      <w:sz w:val="72"/>
    </w:rPr>
  </w:style>
  <w:style w:type="paragraph" w:styleId="943">
    <w:name w:val="ConsPlusNormal"/>
    <w:next w:val="943"/>
    <w:link w:val="916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944">
    <w:name w:val="ConsNormal"/>
    <w:next w:val="944"/>
    <w:link w:val="916"/>
    <w:pPr>
      <w:ind w:right="19772" w:firstLine="720"/>
      <w:widowControl w:val="off"/>
    </w:pPr>
    <w:rPr>
      <w:rFonts w:ascii="Arial" w:hAnsi="Arial"/>
      <w:lang w:val="ru-RU" w:eastAsia="ru-RU" w:bidi="ar-SA"/>
    </w:rPr>
  </w:style>
  <w:style w:type="paragraph" w:styleId="945">
    <w:name w:val="Основной текст с отступом 2"/>
    <w:basedOn w:val="916"/>
    <w:next w:val="945"/>
    <w:link w:val="946"/>
    <w:pPr>
      <w:ind w:left="283"/>
      <w:jc w:val="left"/>
      <w:spacing w:after="120" w:line="480" w:lineRule="auto"/>
    </w:pPr>
    <w:rPr>
      <w:sz w:val="24"/>
      <w:szCs w:val="24"/>
    </w:rPr>
  </w:style>
  <w:style w:type="character" w:styleId="946">
    <w:name w:val="Основной текст с отступом 2 Знак"/>
    <w:next w:val="946"/>
    <w:link w:val="945"/>
    <w:rPr>
      <w:sz w:val="24"/>
      <w:szCs w:val="24"/>
    </w:rPr>
  </w:style>
  <w:style w:type="character" w:styleId="947">
    <w:name w:val="Гипертекстовая ссылка"/>
    <w:next w:val="947"/>
    <w:link w:val="916"/>
    <w:uiPriority w:val="99"/>
    <w:rPr>
      <w:rFonts w:cs="Times New Roman"/>
      <w:color w:val="106bbe"/>
    </w:rPr>
  </w:style>
  <w:style w:type="paragraph" w:styleId="948">
    <w:name w:val="Стандартный HTML"/>
    <w:basedOn w:val="916"/>
    <w:next w:val="948"/>
    <w:link w:val="949"/>
    <w:uiPriority w:val="99"/>
    <w:unhideWhenUsed/>
    <w:pPr>
      <w:jc w:val="left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49">
    <w:name w:val="Стандартный HTML Знак"/>
    <w:next w:val="949"/>
    <w:link w:val="948"/>
    <w:uiPriority w:val="99"/>
    <w:rPr>
      <w:rFonts w:ascii="Courier New" w:hAnsi="Courier New" w:cs="Courier New"/>
    </w:rPr>
  </w:style>
  <w:style w:type="character" w:styleId="950">
    <w:name w:val="blk"/>
    <w:next w:val="950"/>
    <w:link w:val="916"/>
  </w:style>
  <w:style w:type="character" w:styleId="951">
    <w:name w:val="r"/>
    <w:next w:val="951"/>
    <w:link w:val="916"/>
  </w:style>
  <w:style w:type="character" w:styleId="952">
    <w:name w:val="Знак примечания"/>
    <w:next w:val="952"/>
    <w:link w:val="916"/>
    <w:rPr>
      <w:sz w:val="16"/>
      <w:szCs w:val="16"/>
    </w:rPr>
  </w:style>
  <w:style w:type="paragraph" w:styleId="953">
    <w:name w:val="Текст примечания"/>
    <w:basedOn w:val="916"/>
    <w:next w:val="953"/>
    <w:link w:val="954"/>
  </w:style>
  <w:style w:type="character" w:styleId="954">
    <w:name w:val="Текст примечания Знак"/>
    <w:basedOn w:val="924"/>
    <w:next w:val="954"/>
    <w:link w:val="953"/>
  </w:style>
  <w:style w:type="paragraph" w:styleId="955">
    <w:name w:val="Тема примечания"/>
    <w:basedOn w:val="953"/>
    <w:next w:val="953"/>
    <w:link w:val="956"/>
    <w:rPr>
      <w:b/>
      <w:bCs/>
    </w:rPr>
  </w:style>
  <w:style w:type="character" w:styleId="956">
    <w:name w:val="Тема примечания Знак"/>
    <w:next w:val="956"/>
    <w:link w:val="955"/>
    <w:rPr>
      <w:b/>
      <w:bCs/>
    </w:rPr>
  </w:style>
  <w:style w:type="paragraph" w:styleId="957">
    <w:name w:val="Рецензия"/>
    <w:next w:val="957"/>
    <w:link w:val="916"/>
    <w:hidden/>
    <w:uiPriority w:val="99"/>
    <w:semiHidden/>
    <w:rPr>
      <w:lang w:val="ru-RU" w:eastAsia="ru-RU" w:bidi="ar-SA"/>
    </w:rPr>
  </w:style>
  <w:style w:type="paragraph" w:styleId="958">
    <w:name w:val="Обычный1"/>
    <w:next w:val="958"/>
    <w:link w:val="916"/>
    <w:rPr>
      <w:lang w:val="ru-RU" w:eastAsia="ru-RU" w:bidi="ar-SA"/>
    </w:rPr>
  </w:style>
  <w:style w:type="character" w:styleId="959">
    <w:name w:val="Название Знак"/>
    <w:next w:val="959"/>
    <w:link w:val="942"/>
    <w:rPr>
      <w:sz w:val="72"/>
    </w:rPr>
  </w:style>
  <w:style w:type="character" w:styleId="960">
    <w:name w:val="Нижний колонтитул Знак"/>
    <w:basedOn w:val="924"/>
    <w:next w:val="960"/>
    <w:link w:val="931"/>
    <w:uiPriority w:val="99"/>
  </w:style>
  <w:style w:type="paragraph" w:styleId="961">
    <w:name w:val="Абзац списка"/>
    <w:basedOn w:val="916"/>
    <w:next w:val="961"/>
    <w:link w:val="916"/>
    <w:uiPriority w:val="34"/>
    <w:qFormat/>
    <w:pPr>
      <w:contextualSpacing/>
      <w:ind w:left="720"/>
      <w:jc w:val="left"/>
      <w:widowControl w:val="off"/>
    </w:pPr>
    <w:rPr>
      <w:rFonts w:eastAsia="Times New Roman"/>
    </w:rPr>
  </w:style>
  <w:style w:type="character" w:styleId="962">
    <w:name w:val="Основной текст_"/>
    <w:next w:val="962"/>
    <w:link w:val="963"/>
    <w:rPr>
      <w:sz w:val="21"/>
      <w:szCs w:val="21"/>
      <w:shd w:val="clear" w:color="auto" w:fill="ffffff"/>
    </w:rPr>
  </w:style>
  <w:style w:type="paragraph" w:styleId="963">
    <w:name w:val="Основной текст1"/>
    <w:basedOn w:val="916"/>
    <w:next w:val="963"/>
    <w:link w:val="962"/>
    <w:pPr>
      <w:spacing w:before="60" w:after="240" w:line="0" w:lineRule="atLeast"/>
      <w:shd w:val="clear" w:color="auto" w:fill="ffffff"/>
      <w:widowControl w:val="off"/>
    </w:pPr>
    <w:rPr>
      <w:sz w:val="21"/>
      <w:szCs w:val="21"/>
    </w:rPr>
  </w:style>
  <w:style w:type="character" w:styleId="964">
    <w:name w:val="Верхний колонтитул Знак"/>
    <w:next w:val="964"/>
    <w:link w:val="937"/>
    <w:uiPriority w:val="99"/>
  </w:style>
  <w:style w:type="character" w:styleId="965">
    <w:name w:val="Заголовок Знак"/>
    <w:next w:val="965"/>
    <w:link w:val="916"/>
    <w:rPr>
      <w:sz w:val="72"/>
    </w:rPr>
  </w:style>
  <w:style w:type="character" w:styleId="966">
    <w:name w:val="Гиперссылка"/>
    <w:next w:val="966"/>
    <w:link w:val="916"/>
    <w:unhideWhenUsed/>
    <w:rPr>
      <w:color w:val="0563c1"/>
      <w:u w:val="single"/>
    </w:rPr>
  </w:style>
  <w:style w:type="character" w:styleId="967">
    <w:name w:val="Неразрешенное упоминание"/>
    <w:next w:val="967"/>
    <w:link w:val="916"/>
    <w:uiPriority w:val="99"/>
    <w:semiHidden/>
    <w:unhideWhenUsed/>
    <w:rPr>
      <w:color w:val="605e5c"/>
      <w:shd w:val="clear" w:color="auto" w:fill="e1dfdd"/>
    </w:rPr>
  </w:style>
  <w:style w:type="character" w:styleId="968" w:default="1">
    <w:name w:val="Default Paragraph Font"/>
    <w:uiPriority w:val="1"/>
    <w:semiHidden/>
    <w:unhideWhenUsed/>
  </w:style>
  <w:style w:type="numbering" w:styleId="969" w:default="1">
    <w:name w:val="No List"/>
    <w:uiPriority w:val="99"/>
    <w:semiHidden/>
    <w:unhideWhenUsed/>
  </w:style>
  <w:style w:type="table" w:styleId="97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Energogarant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СТРАХОВЩИК_________________</dc:title>
  <dc:creator>СТРАХОВАТЕЛЬ__________________</dc:creator>
  <cp:lastModifiedBy>e.frank@ekb.uralnedra</cp:lastModifiedBy>
  <cp:revision>26</cp:revision>
  <dcterms:created xsi:type="dcterms:W3CDTF">2024-03-04T12:29:00Z</dcterms:created>
  <dcterms:modified xsi:type="dcterms:W3CDTF">2026-08-31T04:59:25Z</dcterms:modified>
  <cp:version>1048576</cp:version>
</cp:coreProperties>
</file>