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40BD" w14:textId="77777777" w:rsidR="00C337E4" w:rsidRPr="00C337E4" w:rsidRDefault="00C337E4" w:rsidP="00C337E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337E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Описание объекта закупки </w:t>
      </w:r>
    </w:p>
    <w:p w14:paraId="123E3BB0" w14:textId="77777777" w:rsidR="00C337E4" w:rsidRPr="00C337E4" w:rsidRDefault="00C337E4" w:rsidP="00C337E4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84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417"/>
        <w:gridCol w:w="5103"/>
        <w:gridCol w:w="851"/>
        <w:gridCol w:w="708"/>
        <w:gridCol w:w="4111"/>
      </w:tblGrid>
      <w:tr w:rsidR="00C337E4" w:rsidRPr="00C337E4" w14:paraId="27961E60" w14:textId="77777777" w:rsidTr="00C337E4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84806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19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Код КТРУ/ОКПД2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E0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  <w:p w14:paraId="149FBA3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товара</w:t>
            </w:r>
          </w:p>
          <w:p w14:paraId="4EB856E7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C43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766C31" w14:textId="77777777" w:rsidR="00C337E4" w:rsidRPr="00C337E4" w:rsidRDefault="00C337E4" w:rsidP="00C337E4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6F215117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30CF8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337E4">
              <w:rPr>
                <w:rFonts w:ascii="Times New Roman" w:eastAsia="Times New Roman" w:hAnsi="Times New Roman"/>
                <w:b/>
                <w:sz w:val="18"/>
                <w:szCs w:val="18"/>
              </w:rPr>
              <w:t>Обоснование необходимости использования дополнительной информации или не применения КТРУ</w:t>
            </w:r>
          </w:p>
        </w:tc>
      </w:tr>
      <w:tr w:rsidR="00C337E4" w:rsidRPr="00C337E4" w14:paraId="49F814A0" w14:textId="77777777" w:rsidTr="00C337E4">
        <w:trPr>
          <w:trHeight w:val="27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027F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8FC3" w14:textId="76EFF34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C93" w14:textId="77777777" w:rsidR="00C337E4" w:rsidRPr="00C337E4" w:rsidRDefault="00C337E4" w:rsidP="00C337E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Анти-АВ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29F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Для типирования групп крови по системе АВ0, в реакции прямой агглютинации на плоскости.  </w:t>
            </w:r>
          </w:p>
          <w:p w14:paraId="7736866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Смесь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моноклональных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 класса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IgM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, секретируемых мышиными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гибридомами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анти-А и Анти-В. </w:t>
            </w:r>
          </w:p>
          <w:p w14:paraId="01D01AA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Титр в реакции агглютинации на плоскости с эритроцитами группы А(II) – не менее 1:32, </w:t>
            </w:r>
          </w:p>
          <w:p w14:paraId="279B59B4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с эритроцитами группы В(III) не 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менее  –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1:32. </w:t>
            </w:r>
          </w:p>
          <w:p w14:paraId="0DCD0A7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20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B74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F3E7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B8AF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24D92289" w14:textId="77777777" w:rsidTr="00C337E4">
        <w:trPr>
          <w:trHeight w:val="1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0C20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04D7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5E14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Анти-А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2B64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OLE_LINK1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Прозрачная жидкость красного цвета. </w:t>
            </w:r>
          </w:p>
          <w:p w14:paraId="67235432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Титр в реакции агглютинации на плоскости с эритроцитами группы А(II) не менее – 1:32.</w:t>
            </w:r>
          </w:p>
          <w:p w14:paraId="5161FD32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Реагент включает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антитела с различной активностью в отношении слабых и сильных форм антигена</w:t>
            </w:r>
            <w:bookmarkEnd w:id="0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373B4ABF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Надежно выявляет антигены А1, А2.</w:t>
            </w:r>
          </w:p>
          <w:p w14:paraId="78AF443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20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1971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030F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056E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6C4AECF0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685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15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467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Анти-В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16E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Прозрачная жидкость синего цвета. </w:t>
            </w:r>
          </w:p>
          <w:p w14:paraId="335C8D26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Титр в реакции агглютинации на плоскости с эритроцитами группы В(III) не менее – 1:32.</w:t>
            </w:r>
          </w:p>
          <w:p w14:paraId="009FA98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20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2E6F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0701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9CEC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57DB0919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9FE9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6B4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8EB1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Rh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(D)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D1B9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антитела человека класса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IgM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7BF59399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Определяет D антиген в реакции прямой гемагглютинации на плоскости, в пробирочном тесте, отличается высокой скоростью агглютинации на плоскости. </w:t>
            </w:r>
          </w:p>
          <w:p w14:paraId="172C5C48" w14:textId="77777777" w:rsidR="00C337E4" w:rsidRPr="00C337E4" w:rsidRDefault="00C337E4" w:rsidP="00C337E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Не требуется контроля с растворителем. Титр не менее 1:512 в реакции агглютинации в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микроплате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с 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D(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+) эритроцитами.</w:t>
            </w:r>
          </w:p>
          <w:p w14:paraId="1BDCE7D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18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C0A2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9B1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D6E6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2317CDD0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F23B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755C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F8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Анти-Е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82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антитела человека класса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IgM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6C8F6D5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Предназначен для выявления </w:t>
            </w:r>
            <w:proofErr w:type="spellStart"/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rh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”(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Е) антигена системы резус. </w:t>
            </w:r>
          </w:p>
          <w:p w14:paraId="55638C2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Титр в реакции агглютинации в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микроплате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с эритроцитами (Е+) не менее 1:32. </w:t>
            </w:r>
          </w:p>
          <w:p w14:paraId="6703DE3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Гемагглютинирующая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активность не более 60 сек. на плоскости. </w:t>
            </w:r>
          </w:p>
          <w:p w14:paraId="1A7123C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18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22F4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5F3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64AB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171753B5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684C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D3E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0FF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Анти-С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BFC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антитела человека класса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IgM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380DC3EF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Предназначен для выявления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rh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’(C) антигена системы резус. </w:t>
            </w:r>
          </w:p>
          <w:p w14:paraId="032284F7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Титр в реакции агглютинации в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микроплате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с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(С+) положительными эритроцитами не менее – 1:16.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Гемагглютинирующая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активность не более 60 сек. на плоскости. </w:t>
            </w:r>
          </w:p>
          <w:p w14:paraId="5E53A2B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18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08B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73D8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0D05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3468E613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06E4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540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7BCC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Анти-е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08E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антитела человека класса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IgM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18B4ED1F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Выявляет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hr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''(е) антиген системы резус человека. </w:t>
            </w:r>
          </w:p>
          <w:p w14:paraId="6FF96D04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Титр не менее 1:16 в реакции агглютинации в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микроплате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с e-положительными эритроцитами.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Гемагглютинирующая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активность не более 60 сек. на плоскости.  </w:t>
            </w:r>
          </w:p>
          <w:p w14:paraId="4ED8197B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на дату поставки не менее 18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43B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3F64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EA6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5466B694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158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0A9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F7A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Анти-c групповое типирование эритроцитов ИВД, антитела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6D5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Моноклональные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антитела человека класса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IgM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1B5F850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Выявляет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hr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'(с) антиген системы резус человека. </w:t>
            </w:r>
          </w:p>
          <w:p w14:paraId="3A7ECA9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Титр в реакции агглютинации в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микроплате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не менее 1:16 с с-положительными эритроцитами.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Гемагглютинирующая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активность не более 60 сек. на плоскости.</w:t>
            </w:r>
          </w:p>
          <w:p w14:paraId="2D2EB80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Остаточный срок годности на дату поставки не менее 18 месяцев.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C993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FA18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7ED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3D1D5814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308C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2A1A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hyperlink r:id="rId6" w:tgtFrame="_blank" w:history="1">
              <w:r w:rsidRPr="00C337E4">
                <w:rPr>
                  <w:rFonts w:ascii="Times New Roman" w:eastAsia="Times New Roman" w:hAnsi="Times New Roman"/>
                  <w:sz w:val="20"/>
                  <w:szCs w:val="20"/>
                </w:rPr>
                <w:t>21.20.23.110-0000154</w:t>
              </w:r>
            </w:hyperlink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69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Активированное частичное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тромбопластиновое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время ИВД, набор, анализ образования сгустка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D3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выполняемых тестов-560 Шт. </w:t>
            </w:r>
          </w:p>
          <w:p w14:paraId="35563344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Назначение: для анализаторов открытого типа, для ручной постановки анализа.</w:t>
            </w:r>
          </w:p>
          <w:p w14:paraId="46F9819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Дополнительные характеристики:</w:t>
            </w:r>
          </w:p>
          <w:p w14:paraId="6CED0EB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АЧТВ-реагент на основе лиофильно высушенной смеси фосфолипидов сои и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эллаговой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кислоты:≥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7  флакон</w:t>
            </w:r>
          </w:p>
          <w:p w14:paraId="5D5A574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Объём флакона:4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  <w:t>мл</w:t>
            </w:r>
          </w:p>
          <w:p w14:paraId="6DD3F02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Раствор кальция хлористого 0,025 М: ≥3 флакон</w:t>
            </w:r>
          </w:p>
          <w:p w14:paraId="76AFDC94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Объём флакона: 10мл</w:t>
            </w:r>
          </w:p>
          <w:p w14:paraId="53AE1BC4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стабильность (АЧТВ) при (18-25) °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С:≥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1дней</w:t>
            </w:r>
          </w:p>
          <w:p w14:paraId="596C0DB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стабильность (АЧТВ) при (2-8) °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С:≥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14 дней</w:t>
            </w:r>
          </w:p>
          <w:p w14:paraId="2157D5D7" w14:textId="0B929F79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не менее 19 </w:t>
            </w:r>
            <w:proofErr w:type="spellStart"/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месяцев:Наличие</w:t>
            </w:r>
            <w:proofErr w:type="spellEnd"/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C33" w14:textId="3AE59C9B" w:rsidR="00C337E4" w:rsidRPr="00C337E4" w:rsidRDefault="00BF482A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B3A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3CB9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Характеристики, указанные в КТРУ, не позволяют идентифицировать 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товар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который необходим заказчику, что может привести к поставке не соответствующего товара потребностям заказчика для выполнения определенных функций и оказания некачественной медицинской помощи.</w:t>
            </w:r>
          </w:p>
        </w:tc>
      </w:tr>
      <w:tr w:rsidR="00C337E4" w:rsidRPr="00C337E4" w14:paraId="4D69842F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CD0F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178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hyperlink r:id="rId7" w:tgtFrame="_blank" w:history="1">
              <w:r w:rsidRPr="00C337E4">
                <w:rPr>
                  <w:rFonts w:ascii="Times New Roman" w:eastAsia="Times New Roman" w:hAnsi="Times New Roman"/>
                  <w:sz w:val="20"/>
                  <w:szCs w:val="20"/>
                </w:rPr>
                <w:t>21.20.23.110-00001006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53F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Фибриноген (фактор I) ИВД, набор, анализ образования сгустка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7E2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Количество выполняемых тестов:320шт.</w:t>
            </w:r>
          </w:p>
          <w:p w14:paraId="5C5B74D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Назначение: для анализаторов открытого типа</w:t>
            </w:r>
          </w:p>
          <w:p w14:paraId="3B9D4221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Дополнительные характеристики:</w:t>
            </w:r>
          </w:p>
          <w:p w14:paraId="1AFEBB6A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Тромбин: ≥8флакон</w:t>
            </w:r>
          </w:p>
          <w:p w14:paraId="396899AA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Объём флакона:2мл</w:t>
            </w:r>
          </w:p>
          <w:p w14:paraId="7CDBE58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Плазма-калибратор: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  <w:t>≥1флакон</w:t>
            </w:r>
          </w:p>
          <w:p w14:paraId="1B012C8F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Объём флакона:1мл</w:t>
            </w:r>
          </w:p>
          <w:p w14:paraId="17172C9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Буфер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имидазоловый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(концентрат 1:19</w:t>
            </w:r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):≥</w:t>
            </w:r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1флакон</w:t>
            </w:r>
          </w:p>
          <w:p w14:paraId="6F15562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Объём флакона:5мл</w:t>
            </w:r>
          </w:p>
          <w:p w14:paraId="2096AE5F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стабильность тромбина при (18-25) °С: ≥30дней</w:t>
            </w:r>
          </w:p>
          <w:p w14:paraId="4FAC3FC3" w14:textId="3CB0C324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Остаточный срок годности не менее 19 </w:t>
            </w:r>
            <w:proofErr w:type="spellStart"/>
            <w:proofErr w:type="gram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месяцев:Наличие</w:t>
            </w:r>
            <w:proofErr w:type="spellEnd"/>
            <w:proofErr w:type="gram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0019" w14:textId="6B7AE494" w:rsidR="00C337E4" w:rsidRPr="00C337E4" w:rsidRDefault="00BF482A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3E7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674A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Характеристики, указанные в КТРУ, не позволяют идентифицировать товар, который необходим заказчику, что может привести к поставке не соответствующего товара потребностям заказчика для выполнения определенных функций и оказания некачественной медицинской помощи.</w:t>
            </w:r>
          </w:p>
        </w:tc>
      </w:tr>
      <w:tr w:rsidR="00C337E4" w:rsidRPr="00C337E4" w14:paraId="56117332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D41E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2F6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hyperlink r:id="rId8" w:tgtFrame="_blank" w:history="1">
              <w:r w:rsidRPr="00C337E4">
                <w:rPr>
                  <w:rFonts w:ascii="Times New Roman" w:eastAsia="Times New Roman" w:hAnsi="Times New Roman"/>
                  <w:sz w:val="20"/>
                  <w:szCs w:val="20"/>
                </w:rPr>
                <w:t>21.20.23.110-00003724</w:t>
              </w:r>
              <w:r w:rsidRPr="00C337E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2599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Протромбиновое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 время (ПВ) ИВД, реагент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3B31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Количество выполняемых тестов:800Шт. </w:t>
            </w:r>
          </w:p>
          <w:p w14:paraId="7655B41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Назначение: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для анализаторов открытого типа</w:t>
            </w:r>
          </w:p>
          <w:p w14:paraId="50EBE3A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Дополнительные характеристики:</w:t>
            </w:r>
          </w:p>
          <w:p w14:paraId="04884D5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Готовая к употреблению лиофильно высушенная смесь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тромбопластина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с кальцием хлористым: 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≥ 10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флакон</w:t>
            </w:r>
          </w:p>
          <w:p w14:paraId="7C0CB343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Объём флакона: 8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мл</w:t>
            </w:r>
          </w:p>
          <w:p w14:paraId="0E46005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Аттестация по МИЧ: Наличие</w:t>
            </w:r>
          </w:p>
          <w:p w14:paraId="2E86B0F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Стабильность после вскрытия флакона при (18-25) °</w:t>
            </w:r>
            <w:proofErr w:type="gram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С:≥</w:t>
            </w:r>
            <w:proofErr w:type="gram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2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день</w:t>
            </w:r>
          </w:p>
          <w:p w14:paraId="0040AF0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Стабильность после вскрытия флакона при (2-8) °</w:t>
            </w:r>
            <w:proofErr w:type="gram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С:≥</w:t>
            </w:r>
            <w:proofErr w:type="gram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14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день</w:t>
            </w:r>
          </w:p>
          <w:p w14:paraId="4C87869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Стабильность после вскрытия флакона при (-18…-20) °С: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≥3 месяц</w:t>
            </w:r>
          </w:p>
          <w:p w14:paraId="06425F84" w14:textId="4AA4F2F0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Остаточный срок годности не менее 19 </w:t>
            </w:r>
            <w:proofErr w:type="spellStart"/>
            <w:proofErr w:type="gram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месяцев:Наличие</w:t>
            </w:r>
            <w:proofErr w:type="spellEnd"/>
            <w:proofErr w:type="gramEnd"/>
            <w:r w:rsidRPr="00C337E4">
              <w:rPr>
                <w:rFonts w:ascii="Times New Roman" w:eastAsia="Times New Roman" w:hAnsi="Times New Roman"/>
                <w:i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0FF6" w14:textId="37844065" w:rsidR="00C337E4" w:rsidRPr="00C337E4" w:rsidRDefault="00BF482A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3560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1A7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Характеристики, указанные в КТРУ, не позволяют идентифицировать товар, который необходим заказчику, что может привести к поставке не соответствующего товара потребностям заказчика для выполнения определенных функций и оказания некачественной медицинской помощи.</w:t>
            </w:r>
          </w:p>
        </w:tc>
      </w:tr>
      <w:tr w:rsidR="00C337E4" w:rsidRPr="00C337E4" w14:paraId="23438794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24FF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0B1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>21.20.23.111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B910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 xml:space="preserve">Микрокюветы к 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>коагулометру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 xml:space="preserve"> с шариками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6E9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Возможность применения для анализаторов свёртывания крови АПГ2-02, АПГ2-02П, АПГ4-02П, АПГ2-03-П, АПГ2-03-Пх, АПГ4-03-П, АПГ4-03-Пх, АПГ4-01 (Минилаб-704) и АПГ2-01 (Минилаб-701) после 2005 года выпуска: Наличие.</w:t>
            </w:r>
          </w:p>
          <w:p w14:paraId="1B6426D1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1.3 Комплектация шариками для размешивания пробы (мешалками): Наличие.</w:t>
            </w:r>
          </w:p>
          <w:p w14:paraId="6C31EDD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 Основные параметры:</w:t>
            </w:r>
          </w:p>
          <w:p w14:paraId="527E9A7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2.1 Тип медицинского изделия: Одноразовая измерительная кювета.</w:t>
            </w:r>
          </w:p>
          <w:p w14:paraId="5DF7973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2.2 Материал кюветы: Полипропилен.</w:t>
            </w:r>
          </w:p>
          <w:p w14:paraId="7E714C0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2.3 Объём кюветы: 250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мкл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.</w:t>
            </w:r>
          </w:p>
          <w:p w14:paraId="5B7FB9EF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2.4 Обеспечиваемый объём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биопробы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: 50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мкл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.</w:t>
            </w:r>
          </w:p>
          <w:p w14:paraId="4E0CE19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2.5 Характеристика мешалки: Стальной шарик.</w:t>
            </w:r>
          </w:p>
          <w:p w14:paraId="5F380B11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2.6 Длинна кюветы 2 см.</w:t>
            </w:r>
          </w:p>
          <w:p w14:paraId="040D6C83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2.7 Ширина (вверх) 9мм.</w:t>
            </w:r>
          </w:p>
          <w:p w14:paraId="12088F3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2.8 Ширина (низ) 5 мм.</w:t>
            </w:r>
          </w:p>
          <w:p w14:paraId="6D6A2E14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3. Комплект поставки:</w:t>
            </w:r>
          </w:p>
          <w:p w14:paraId="1D76A8F5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3.1 Кюветы 1000 шт.</w:t>
            </w:r>
          </w:p>
          <w:p w14:paraId="6C3C83D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3.2 Шарики 1000 шт.</w:t>
            </w:r>
          </w:p>
          <w:p w14:paraId="689B8C5A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3.9 Паспорт качества 1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353C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FEC9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4381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6AFBB1D4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F8D4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277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32.50.50.000-00002389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D56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Стекло предметное и (или) слайд для микроскопии ИВД, одноразового использования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AA9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Длина: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76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мм</w:t>
            </w:r>
          </w:p>
          <w:p w14:paraId="1BF04917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Ширина: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26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мм</w:t>
            </w:r>
          </w:p>
          <w:p w14:paraId="6C30BB17" w14:textId="1A1D2AFF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Толщина: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</w:r>
            <w:r w:rsidR="003809C4" w:rsidRPr="003809C4">
              <w:rPr>
                <w:rFonts w:ascii="Times New Roman" w:eastAsia="Times New Roman" w:hAnsi="Times New Roman"/>
                <w:iCs/>
                <w:sz w:val="20"/>
                <w:szCs w:val="20"/>
              </w:rPr>
              <w:t>1,5-2 (мм)</w:t>
            </w:r>
          </w:p>
          <w:p w14:paraId="248642FD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Адгезивное покрытие: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Нет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 xml:space="preserve"> </w:t>
            </w:r>
          </w:p>
          <w:p w14:paraId="4DC4B17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Возможность печати: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Нет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 xml:space="preserve"> </w:t>
            </w:r>
          </w:p>
          <w:p w14:paraId="0DD8D5A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Зона для маркировки: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Нет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 xml:space="preserve"> </w:t>
            </w:r>
          </w:p>
          <w:p w14:paraId="5288728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Исполнение: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Гладкое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 xml:space="preserve"> </w:t>
            </w:r>
          </w:p>
          <w:p w14:paraId="579F8F1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Тип кромки: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Обрезная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 xml:space="preserve"> </w:t>
            </w:r>
          </w:p>
          <w:p w14:paraId="1F417FEF" w14:textId="6E0EB5C3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Количество в упаковке: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</w:r>
            <w:r w:rsidR="003809C4" w:rsidRPr="003809C4">
              <w:rPr>
                <w:rFonts w:ascii="Times New Roman" w:eastAsia="Times New Roman" w:hAnsi="Times New Roman"/>
                <w:iCs/>
                <w:sz w:val="20"/>
                <w:szCs w:val="20"/>
              </w:rPr>
              <w:t>≤100, &gt;100</w:t>
            </w:r>
          </w:p>
          <w:p w14:paraId="2ED5C31A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Дополнительные характеристики:</w:t>
            </w:r>
          </w:p>
          <w:p w14:paraId="59AA76AA" w14:textId="59EB015D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Остаточный срок годности (не менее указанного): 12 мес</w:t>
            </w:r>
            <w:r w:rsidR="003809C4">
              <w:rPr>
                <w:rFonts w:ascii="Times New Roman" w:eastAsia="Times New Roman" w:hAnsi="Times New Roman"/>
                <w:iCs/>
                <w:sz w:val="20"/>
                <w:szCs w:val="20"/>
              </w:rPr>
              <w:t>.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</w:r>
          </w:p>
          <w:p w14:paraId="7B9736C3" w14:textId="6A8A6253" w:rsidR="00C337E4" w:rsidRPr="00C337E4" w:rsidRDefault="00C337E4" w:rsidP="003809C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354" w14:textId="567E987A" w:rsidR="00C337E4" w:rsidRPr="00C337E4" w:rsidRDefault="009E78AC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FD89" w14:textId="401D3CB9" w:rsidR="00C337E4" w:rsidRPr="00C337E4" w:rsidRDefault="009E78AC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  <w:r w:rsidR="00C337E4" w:rsidRPr="00C337E4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986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Характеристики, указанные в КТРУ, не позволяют идентифицировать товар, который необходим заказчику, что может привести к поставке не соответствующего товара потребностям заказчика для выполнения определенных функций и оказания некачественной медицинской помощи.</w:t>
            </w:r>
          </w:p>
        </w:tc>
      </w:tr>
      <w:tr w:rsidR="00C337E4" w:rsidRPr="00C337E4" w14:paraId="641B2C43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FE49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5227D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32.50.13.190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90BCB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 xml:space="preserve">Стекло покровное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AA6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Используются для самостоятельного создания микропрепаратов, путем накрывания образца на предметном стекле, тем самым позволяя рассмотреть образец сквозь покровное стекло.</w:t>
            </w:r>
          </w:p>
          <w:p w14:paraId="25663E8B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14:paraId="5E7A24F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Количество в упаковке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 xml:space="preserve">≥1000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36E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256D0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37B7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066CF244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FCCE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824F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32.50.13.190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F893A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Наконечник для дозатора 100-1000 </w:t>
            </w:r>
            <w:proofErr w:type="spellStart"/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мкл</w:t>
            </w:r>
            <w:proofErr w:type="spellEnd"/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90456C" w14:textId="77777777" w:rsidR="00C337E4" w:rsidRPr="00C337E4" w:rsidRDefault="00C337E4" w:rsidP="00C337E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Описание:наконечник</w:t>
            </w:r>
            <w:proofErr w:type="spellEnd"/>
            <w:proofErr w:type="gramEnd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полимерный одноразовый, одноканальный, с переменным объемом 100-1000 </w:t>
            </w:r>
            <w:proofErr w:type="spellStart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мкл</w:t>
            </w:r>
            <w:proofErr w:type="spellEnd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14:paraId="3DF68343" w14:textId="1FFFE869" w:rsidR="00C337E4" w:rsidRPr="00C337E4" w:rsidRDefault="00C337E4" w:rsidP="00C337E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Совместимость: совместим с дозатором пипеточным НП - «</w:t>
            </w:r>
            <w:proofErr w:type="spellStart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Ленпипет</w:t>
            </w:r>
            <w:proofErr w:type="spellEnd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Термо</w:t>
            </w:r>
            <w:proofErr w:type="spellEnd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Сайентифик</w:t>
            </w:r>
            <w:proofErr w:type="spellEnd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Thermo</w:t>
            </w:r>
            <w:proofErr w:type="spellEnd"/>
            <w:r w:rsidRPr="00C337E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 Scientific)», имеющимся у заказчика.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74D0" w14:textId="17927302" w:rsidR="00C337E4" w:rsidRPr="00C337E4" w:rsidRDefault="00E6006C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C1060" w14:textId="4E5E4D35" w:rsidR="00C337E4" w:rsidRPr="00C337E4" w:rsidRDefault="00E6006C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1149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7DFB0FF3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DEE4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18F8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CA29B" w14:textId="77777777" w:rsidR="00C337E4" w:rsidRPr="00C337E4" w:rsidRDefault="00C337E4" w:rsidP="00C337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Набор реагентов для определения кислотоустойчивых микобактерий (КУМ) по методу </w:t>
            </w:r>
            <w:proofErr w:type="spellStart"/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Циля</w:t>
            </w:r>
            <w:proofErr w:type="spellEnd"/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-Нильсена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0FB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Набор для окраски мазков по методу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Циля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-Нильсена - 100 препаратов при расходе 1 мл карболового фуксина на 1 препарат. Состав набора: Карболовый фуксин по </w:t>
            </w:r>
          </w:p>
          <w:p w14:paraId="1742BF8B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Цилю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-Нильсену – 1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фл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. х 100 мл, Кислота серная, 25% объем. – 1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фл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. х 100 мл,</w:t>
            </w:r>
          </w:p>
          <w:p w14:paraId="76BAE5B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Метиленовый синий, 1% - 1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фл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. х 100 мл, </w:t>
            </w:r>
          </w:p>
          <w:p w14:paraId="7B0BED2E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Бумага фильтровальная размером 4,5×2,5 см - 100 шт.</w:t>
            </w:r>
          </w:p>
          <w:p w14:paraId="1396EB09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Срок годности: 1 год при температуре 18-25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С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FC36C59" w14:textId="146AE769" w:rsidR="00C337E4" w:rsidRPr="00C337E4" w:rsidRDefault="00EC0DFE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04F07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7F7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C337E4" w:rsidRPr="00C337E4" w14:paraId="4F7D274A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D996" w14:textId="77777777" w:rsidR="00C337E4" w:rsidRPr="00C337E4" w:rsidRDefault="00C337E4" w:rsidP="00C337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B1028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yellow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21.20.23.110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79F0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Краситель азур-эозин по Романовскому (в растворе)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65A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Краситель -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метанольно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-глицериновый раствор (1:1), содержащий 7,7 г/л продуктов взаимодействия азура, эозина и метиленового синего – 1 </w:t>
            </w:r>
            <w:proofErr w:type="spell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фл</w:t>
            </w:r>
            <w:proofErr w:type="spell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. х 1,0 л</w:t>
            </w:r>
          </w:p>
          <w:p w14:paraId="27752E2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4000-8000 мазков крови при расходе 2,5 мл рабочего раствора красителя на окраску одного мазка.</w:t>
            </w:r>
          </w:p>
          <w:p w14:paraId="5577941C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Фосфатный буфер (концентрат 1х400) – 50 мл (для приготовления 20 л буфера)</w:t>
            </w:r>
          </w:p>
          <w:p w14:paraId="6779DFA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Срок годности: 1,5 года при </w:t>
            </w:r>
            <w:proofErr w:type="gram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температуре  18</w:t>
            </w:r>
            <w:proofErr w:type="gram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-25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С,</w:t>
            </w:r>
          </w:p>
          <w:p w14:paraId="498529C2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рабочий раствор красителя стабилен при </w:t>
            </w:r>
          </w:p>
          <w:p w14:paraId="149FE480" w14:textId="77777777" w:rsidR="00C337E4" w:rsidRPr="00C337E4" w:rsidRDefault="00C337E4" w:rsidP="00C337E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proofErr w:type="gramStart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температуре  18</w:t>
            </w:r>
            <w:proofErr w:type="gramEnd"/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-25 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С в течение 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C0FD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1967C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CE17" w14:textId="77777777" w:rsidR="00C337E4" w:rsidRPr="00C337E4" w:rsidRDefault="00C337E4" w:rsidP="00C337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5C79F9" w:rsidRPr="00C337E4" w14:paraId="33BF6BC3" w14:textId="77777777" w:rsidTr="003B4B49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10C" w14:textId="77777777" w:rsidR="005C79F9" w:rsidRPr="00C337E4" w:rsidRDefault="005C79F9" w:rsidP="005C79F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70B2" w14:textId="00F76B24" w:rsidR="005C79F9" w:rsidRPr="00C337E4" w:rsidRDefault="005C79F9" w:rsidP="005C7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21.20.23.111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1445E" w14:textId="2ED607E4" w:rsidR="005C79F9" w:rsidRPr="00C337E4" w:rsidRDefault="005C79F9" w:rsidP="005C7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Масло иммерсионное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7810" w14:textId="77777777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Объём реагента: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  <w:t>≥ 100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  <w:t>см3; мл</w:t>
            </w:r>
          </w:p>
          <w:p w14:paraId="685109A1" w14:textId="747FF907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Для выявления микроорганизмов в мазках крови, мочи, мокроте и других биологических жидкостях, дифференциальной окраски и выявления принадлежности бактерий к грамположительным или к грамотрицательным группам: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  <w:t>соответствие</w:t>
            </w: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5848" w14:textId="1975AA97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6801F" w14:textId="408EE05F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076C" w14:textId="444270F5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5C79F9" w:rsidRPr="00C337E4" w14:paraId="4EC920ED" w14:textId="77777777" w:rsidTr="003B4B49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427" w14:textId="77777777" w:rsidR="005C79F9" w:rsidRPr="00C337E4" w:rsidRDefault="005C79F9" w:rsidP="005C79F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44D9F" w14:textId="43F435AE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32.50.50.190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26AE3" w14:textId="0ABC236A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Пробирка центрифужная ИВД, нестерильная (</w:t>
            </w:r>
            <w:proofErr w:type="spellStart"/>
            <w:r w:rsidRPr="00C337E4">
              <w:rPr>
                <w:rFonts w:ascii="Times New Roman" w:eastAsia="Times New Roman" w:hAnsi="Times New Roman"/>
                <w:bCs/>
                <w:sz w:val="20"/>
                <w:szCs w:val="20"/>
              </w:rPr>
              <w:t>Эппендорф</w:t>
            </w:r>
            <w:proofErr w:type="spellEnd"/>
            <w:r w:rsidRPr="00C337E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№ 500)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4CC2" w14:textId="77777777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Объем: 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1,50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см3; мл</w:t>
            </w:r>
          </w:p>
          <w:p w14:paraId="2338919C" w14:textId="77777777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Количество в упаковке: 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  <w:t>Неважно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</w:r>
          </w:p>
          <w:p w14:paraId="47776E6D" w14:textId="4C36CD23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>Исполнение: Коническая с крышкой на петле</w:t>
            </w:r>
            <w:r w:rsidRPr="00C337E4">
              <w:rPr>
                <w:rFonts w:ascii="Times New Roman" w:eastAsia="Times New Roman" w:hAnsi="Times New Roman"/>
                <w:iCs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292F" w14:textId="6D688BC8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CC4E5" w14:textId="5EC77037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5059" w14:textId="2428D1DD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  <w:tr w:rsidR="005C79F9" w:rsidRPr="00C337E4" w14:paraId="3CBAEE67" w14:textId="77777777" w:rsidTr="00C337E4">
        <w:trPr>
          <w:trHeight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FF97" w14:textId="77777777" w:rsidR="005C79F9" w:rsidRPr="00C337E4" w:rsidRDefault="005C79F9" w:rsidP="005C79F9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</w:pPr>
            <w:r w:rsidRPr="00C337E4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hi-IN" w:bidi="hi-IN"/>
              </w:rPr>
              <w:t>20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9EF03" w14:textId="77777777" w:rsidR="005C79F9" w:rsidRPr="00C337E4" w:rsidRDefault="005C79F9" w:rsidP="005C7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21.20.23.111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337E8" w14:textId="77777777" w:rsidR="005C79F9" w:rsidRPr="00C337E4" w:rsidRDefault="005C79F9" w:rsidP="005C7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Сульфосалициловая кислота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95BF" w14:textId="77777777" w:rsidR="005C79F9" w:rsidRPr="00C337E4" w:rsidRDefault="005C79F9" w:rsidP="005C79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Сульфосалициловая кислота (2-гидрокси-5-суль-фобензойная к-та): ≥1кг/</w:t>
            </w:r>
            <w:proofErr w:type="spellStart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уп</w:t>
            </w:r>
            <w:proofErr w:type="spellEnd"/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B1C0" w14:textId="3AEBE88E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D0C22" w14:textId="77777777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5815" w14:textId="77777777" w:rsidR="005C79F9" w:rsidRPr="00C337E4" w:rsidRDefault="005C79F9" w:rsidP="005C79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37E4">
              <w:rPr>
                <w:rFonts w:ascii="Times New Roman" w:eastAsia="Times New Roman" w:hAnsi="Times New Roman"/>
                <w:sz w:val="20"/>
                <w:szCs w:val="20"/>
              </w:rPr>
              <w:t>Позиция отсутствует в КТРУ, в связи с чем обоснование дополнительных характеристик не требуется.</w:t>
            </w:r>
          </w:p>
        </w:tc>
      </w:tr>
    </w:tbl>
    <w:p w14:paraId="554C0049" w14:textId="5FB3CD34" w:rsidR="00C337E4" w:rsidRDefault="00C337E4" w:rsidP="00473FED">
      <w:pPr>
        <w:jc w:val="center"/>
        <w:rPr>
          <w:rFonts w:ascii="Times New Roman" w:hAnsi="Times New Roman"/>
          <w:sz w:val="24"/>
          <w:szCs w:val="24"/>
        </w:rPr>
      </w:pPr>
    </w:p>
    <w:p w14:paraId="0FD4382F" w14:textId="5B7C12F4" w:rsidR="00C337E4" w:rsidRDefault="00C337E4" w:rsidP="00473FED">
      <w:pPr>
        <w:jc w:val="center"/>
        <w:rPr>
          <w:rFonts w:ascii="Times New Roman" w:hAnsi="Times New Roman"/>
          <w:sz w:val="24"/>
          <w:szCs w:val="24"/>
        </w:rPr>
      </w:pPr>
    </w:p>
    <w:p w14:paraId="41EFF71A" w14:textId="2DE77FD5" w:rsidR="00C337E4" w:rsidRDefault="00C337E4" w:rsidP="00473FED">
      <w:pPr>
        <w:jc w:val="center"/>
        <w:rPr>
          <w:rFonts w:ascii="Times New Roman" w:hAnsi="Times New Roman"/>
          <w:sz w:val="24"/>
          <w:szCs w:val="24"/>
        </w:rPr>
      </w:pPr>
    </w:p>
    <w:p w14:paraId="251FCAA0" w14:textId="4FAD1119" w:rsidR="00C337E4" w:rsidRDefault="00C337E4" w:rsidP="00473FED">
      <w:pPr>
        <w:jc w:val="center"/>
        <w:rPr>
          <w:rFonts w:ascii="Times New Roman" w:hAnsi="Times New Roman"/>
          <w:sz w:val="24"/>
          <w:szCs w:val="24"/>
        </w:rPr>
      </w:pPr>
    </w:p>
    <w:p w14:paraId="3D75D608" w14:textId="6CA0C499" w:rsidR="00C337E4" w:rsidRDefault="00C337E4" w:rsidP="00473FED">
      <w:pPr>
        <w:jc w:val="center"/>
        <w:rPr>
          <w:rFonts w:ascii="Times New Roman" w:hAnsi="Times New Roman"/>
          <w:sz w:val="24"/>
          <w:szCs w:val="24"/>
        </w:rPr>
      </w:pPr>
    </w:p>
    <w:p w14:paraId="6EA31DA9" w14:textId="77777777" w:rsidR="00C337E4" w:rsidRDefault="00C337E4" w:rsidP="00473FED">
      <w:pPr>
        <w:jc w:val="center"/>
      </w:pPr>
    </w:p>
    <w:sectPr w:rsidR="00C337E4" w:rsidSect="006C64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0555"/>
    <w:multiLevelType w:val="hybridMultilevel"/>
    <w:tmpl w:val="5E7C31F2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EF"/>
    <w:rsid w:val="00021948"/>
    <w:rsid w:val="002823EF"/>
    <w:rsid w:val="002C092B"/>
    <w:rsid w:val="003809C4"/>
    <w:rsid w:val="00422612"/>
    <w:rsid w:val="00473FED"/>
    <w:rsid w:val="004B0BFD"/>
    <w:rsid w:val="004C2FEE"/>
    <w:rsid w:val="004F43DA"/>
    <w:rsid w:val="005403ED"/>
    <w:rsid w:val="005C79F9"/>
    <w:rsid w:val="006C64B1"/>
    <w:rsid w:val="007001B5"/>
    <w:rsid w:val="00796ADF"/>
    <w:rsid w:val="007A5122"/>
    <w:rsid w:val="008959C3"/>
    <w:rsid w:val="009E78AC"/>
    <w:rsid w:val="00AC23BE"/>
    <w:rsid w:val="00BF482A"/>
    <w:rsid w:val="00C337E4"/>
    <w:rsid w:val="00C85453"/>
    <w:rsid w:val="00E6006C"/>
    <w:rsid w:val="00EC0DFE"/>
    <w:rsid w:val="00EE7413"/>
    <w:rsid w:val="00F5037E"/>
    <w:rsid w:val="00F7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236F"/>
  <w15:chartTrackingRefBased/>
  <w15:docId w15:val="{0047D824-1ED0-458D-9725-530C17BF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4B1"/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3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3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3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3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3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3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3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3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3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3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3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C64B1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49474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ktruCard/ktru-description.html?itemId=39111&amp;back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38502&amp;backUr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2A1F1-DEF3-4037-800E-12B8C7BB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WHITE</dc:creator>
  <cp:keywords/>
  <dc:description/>
  <cp:lastModifiedBy>user</cp:lastModifiedBy>
  <cp:revision>18</cp:revision>
  <dcterms:created xsi:type="dcterms:W3CDTF">2026-07-20T13:47:00Z</dcterms:created>
  <dcterms:modified xsi:type="dcterms:W3CDTF">2026-08-04T11:34:00Z</dcterms:modified>
</cp:coreProperties>
</file>