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r w:rsidRPr="00741AC9">
        <w:rPr>
          <w:sz w:val="28"/>
          <w:szCs w:val="22"/>
        </w:rPr>
        <w:t xml:space="preserve">Договор </w:t>
      </w:r>
      <w:r w:rsidR="00F92AFA" w:rsidRPr="00741AC9">
        <w:rPr>
          <w:sz w:val="28"/>
          <w:szCs w:val="22"/>
        </w:rPr>
        <w:t xml:space="preserve">№  </w:t>
      </w:r>
    </w:p>
    <w:p w:rsidR="00B3314E" w:rsidRPr="00F92E84" w:rsidRDefault="00B3314E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4E0DF9" w:rsidRPr="004537B9">
        <w:rPr>
          <w:color w:val="000000"/>
          <w:sz w:val="22"/>
          <w:szCs w:val="22"/>
          <w:highlight w:val="yellow"/>
        </w:rPr>
        <w:t>___________________</w:t>
      </w:r>
      <w:hyperlink w:anchor="P599" w:history="1"/>
      <w:r w:rsidR="000700BF" w:rsidRPr="004537B9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</w:t>
      </w:r>
      <w:r w:rsidR="003701AA" w:rsidRPr="004537B9">
        <w:rPr>
          <w:sz w:val="22"/>
          <w:szCs w:val="22"/>
          <w:highlight w:val="yellow"/>
        </w:rPr>
        <w:t>____________________</w:t>
      </w:r>
      <w:r w:rsidR="003701AA" w:rsidRPr="00F92E84">
        <w:rPr>
          <w:sz w:val="22"/>
          <w:szCs w:val="22"/>
        </w:rPr>
        <w:t>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4E0DF9" w:rsidRPr="004537B9">
        <w:rPr>
          <w:sz w:val="22"/>
          <w:szCs w:val="22"/>
          <w:highlight w:val="yellow"/>
        </w:rPr>
        <w:t>__________________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1.1. Поставщик обязуется </w:t>
      </w:r>
      <w:r w:rsidRPr="00F32846">
        <w:rPr>
          <w:b/>
          <w:color w:val="000000"/>
          <w:sz w:val="22"/>
          <w:szCs w:val="22"/>
        </w:rPr>
        <w:t>поставить</w:t>
      </w:r>
      <w:r w:rsidR="0069458A" w:rsidRPr="00F32846">
        <w:rPr>
          <w:b/>
          <w:color w:val="000000"/>
          <w:sz w:val="22"/>
          <w:szCs w:val="22"/>
        </w:rPr>
        <w:t xml:space="preserve"> </w:t>
      </w:r>
      <w:r w:rsidR="003560A8">
        <w:rPr>
          <w:b/>
          <w:color w:val="000000"/>
          <w:sz w:val="22"/>
          <w:szCs w:val="22"/>
        </w:rPr>
        <w:t>н</w:t>
      </w:r>
      <w:r w:rsidR="003560A8" w:rsidRPr="003560A8">
        <w:rPr>
          <w:b/>
          <w:color w:val="000000"/>
          <w:sz w:val="22"/>
          <w:szCs w:val="22"/>
        </w:rPr>
        <w:t>абор</w:t>
      </w:r>
      <w:r w:rsidR="003560A8">
        <w:rPr>
          <w:b/>
          <w:color w:val="000000"/>
          <w:sz w:val="22"/>
          <w:szCs w:val="22"/>
        </w:rPr>
        <w:t>ы</w:t>
      </w:r>
      <w:r w:rsidR="003560A8" w:rsidRPr="003560A8">
        <w:rPr>
          <w:b/>
          <w:color w:val="000000"/>
          <w:sz w:val="22"/>
          <w:szCs w:val="22"/>
        </w:rPr>
        <w:t xml:space="preserve"> для системы подготовки крови для аутотрансфузии </w:t>
      </w:r>
      <w:r w:rsidR="00DD05D9" w:rsidRPr="00F92E84">
        <w:rPr>
          <w:color w:val="000000"/>
          <w:sz w:val="22"/>
          <w:szCs w:val="22"/>
        </w:rPr>
        <w:t xml:space="preserve">(далее – </w:t>
      </w:r>
      <w:r w:rsidR="00772F2B" w:rsidRPr="00F92E84">
        <w:rPr>
          <w:bCs/>
          <w:sz w:val="22"/>
          <w:szCs w:val="22"/>
        </w:rPr>
        <w:t>товар</w:t>
      </w:r>
      <w:r w:rsidR="00DD05D9" w:rsidRPr="00F92E84">
        <w:rPr>
          <w:bCs/>
          <w:sz w:val="22"/>
          <w:szCs w:val="22"/>
        </w:rPr>
        <w:t>)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F92E84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F92E84">
        <w:rPr>
          <w:b/>
          <w:bCs/>
          <w:color w:val="000000"/>
          <w:sz w:val="22"/>
          <w:szCs w:val="22"/>
        </w:rPr>
        <w:t>ПОСТАВКИ И СРОК ДЕЙСТВИЯ</w:t>
      </w:r>
      <w:r w:rsidR="004537B9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3314E" w:rsidRPr="00F32846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2.1. </w:t>
      </w:r>
      <w:r w:rsidR="00044BE5" w:rsidRPr="00F92E84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F32846">
        <w:rPr>
          <w:color w:val="000000"/>
          <w:sz w:val="22"/>
          <w:szCs w:val="22"/>
        </w:rPr>
        <w:t xml:space="preserve">в течение </w:t>
      </w:r>
      <w:r w:rsidR="003560A8">
        <w:rPr>
          <w:color w:val="000000"/>
          <w:sz w:val="22"/>
          <w:szCs w:val="22"/>
        </w:rPr>
        <w:t>2</w:t>
      </w:r>
      <w:r w:rsidR="00F32846" w:rsidRPr="00F32846">
        <w:rPr>
          <w:color w:val="000000"/>
          <w:sz w:val="22"/>
          <w:szCs w:val="22"/>
        </w:rPr>
        <w:t xml:space="preserve"> рабочих</w:t>
      </w:r>
      <w:r w:rsidR="009D0569" w:rsidRPr="00F32846">
        <w:rPr>
          <w:color w:val="000000"/>
          <w:sz w:val="22"/>
          <w:szCs w:val="22"/>
        </w:rPr>
        <w:t xml:space="preserve"> дней с даты подписания</w:t>
      </w:r>
      <w:r w:rsidR="004537B9" w:rsidRPr="00F32846">
        <w:rPr>
          <w:color w:val="000000"/>
          <w:sz w:val="22"/>
          <w:szCs w:val="22"/>
        </w:rPr>
        <w:t xml:space="preserve"> Договора</w:t>
      </w:r>
      <w:r w:rsidR="009D0569" w:rsidRPr="00F32846">
        <w:rPr>
          <w:color w:val="000000"/>
          <w:sz w:val="22"/>
          <w:szCs w:val="22"/>
        </w:rPr>
        <w:t>.</w:t>
      </w:r>
    </w:p>
    <w:p w:rsidR="00B3314E" w:rsidRPr="00F92E84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F32846">
        <w:rPr>
          <w:color w:val="000000"/>
          <w:sz w:val="22"/>
          <w:szCs w:val="22"/>
        </w:rPr>
        <w:t>2.2</w:t>
      </w:r>
      <w:r w:rsidR="00E844ED" w:rsidRPr="00F32846">
        <w:rPr>
          <w:color w:val="000000"/>
          <w:sz w:val="22"/>
          <w:szCs w:val="22"/>
        </w:rPr>
        <w:t>.</w:t>
      </w:r>
      <w:r w:rsidRPr="00F32846">
        <w:rPr>
          <w:color w:val="000000"/>
          <w:sz w:val="22"/>
          <w:szCs w:val="22"/>
        </w:rPr>
        <w:t xml:space="preserve"> Настоящий</w:t>
      </w:r>
      <w:r w:rsidR="00B3314E" w:rsidRPr="00F32846">
        <w:rPr>
          <w:sz w:val="22"/>
          <w:szCs w:val="22"/>
        </w:rPr>
        <w:t xml:space="preserve"> </w:t>
      </w:r>
      <w:r w:rsidR="004537B9" w:rsidRPr="00F32846">
        <w:rPr>
          <w:sz w:val="22"/>
          <w:szCs w:val="22"/>
        </w:rPr>
        <w:t xml:space="preserve">Договор </w:t>
      </w:r>
      <w:r w:rsidR="00B3314E" w:rsidRPr="00F32846">
        <w:rPr>
          <w:sz w:val="22"/>
          <w:szCs w:val="22"/>
        </w:rPr>
        <w:t>действует</w:t>
      </w:r>
      <w:r w:rsidR="00F32846" w:rsidRPr="00F32846">
        <w:rPr>
          <w:sz w:val="22"/>
          <w:szCs w:val="22"/>
        </w:rPr>
        <w:t xml:space="preserve"> до 01.09.2026 г</w:t>
      </w:r>
      <w:r w:rsidR="00B3314E" w:rsidRPr="00F32846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2.3. Поставщик</w:t>
      </w:r>
      <w:r w:rsidR="00E844ED" w:rsidRPr="00F92E84">
        <w:rPr>
          <w:sz w:val="22"/>
          <w:szCs w:val="22"/>
        </w:rPr>
        <w:t xml:space="preserve"> самостоятельно доставляет товар З</w:t>
      </w:r>
      <w:r w:rsidRPr="00F92E84">
        <w:rPr>
          <w:sz w:val="22"/>
          <w:szCs w:val="22"/>
        </w:rPr>
        <w:t>аказчик</w:t>
      </w:r>
      <w:r w:rsidR="00E844ED" w:rsidRPr="00F92E84">
        <w:rPr>
          <w:sz w:val="22"/>
          <w:szCs w:val="22"/>
        </w:rPr>
        <w:t>у</w:t>
      </w:r>
      <w:r w:rsidRPr="00F92E84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F32846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F32846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6C2FE4" w:rsidRPr="004537B9">
        <w:rPr>
          <w:sz w:val="22"/>
          <w:szCs w:val="22"/>
          <w:highlight w:val="yellow"/>
        </w:rPr>
        <w:t>____________(                  ) рублей ______коп. В т.ч. НДС ___%</w:t>
      </w:r>
      <w:r w:rsidRPr="004537B9">
        <w:rPr>
          <w:b/>
          <w:sz w:val="22"/>
          <w:szCs w:val="22"/>
          <w:highlight w:val="yellow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537B9">
        <w:rPr>
          <w:sz w:val="22"/>
          <w:szCs w:val="22"/>
        </w:rPr>
        <w:t>Договора</w:t>
      </w:r>
    </w:p>
    <w:p w:rsidR="006C2FE4" w:rsidRPr="00F92E84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3.3.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>является твердой и определена на весь срок исполнения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.</w:t>
      </w:r>
    </w:p>
    <w:p w:rsidR="006C2FE4" w:rsidRPr="00F92E84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32846">
        <w:rPr>
          <w:sz w:val="22"/>
          <w:szCs w:val="22"/>
        </w:rPr>
        <w:t>3.4. Расчет</w:t>
      </w:r>
      <w:r w:rsidR="0024195E" w:rsidRPr="00F32846">
        <w:rPr>
          <w:sz w:val="22"/>
          <w:szCs w:val="22"/>
        </w:rPr>
        <w:t>ы</w:t>
      </w:r>
      <w:r w:rsidRPr="00F32846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24195E" w:rsidRPr="00F32846">
        <w:rPr>
          <w:sz w:val="22"/>
          <w:szCs w:val="22"/>
        </w:rPr>
        <w:t>5</w:t>
      </w:r>
      <w:r w:rsidRPr="00F32846">
        <w:rPr>
          <w:sz w:val="22"/>
          <w:szCs w:val="22"/>
        </w:rPr>
        <w:t xml:space="preserve"> (</w:t>
      </w:r>
      <w:r w:rsidR="0024195E" w:rsidRPr="00F32846">
        <w:rPr>
          <w:sz w:val="22"/>
          <w:szCs w:val="22"/>
        </w:rPr>
        <w:t>пяти</w:t>
      </w:r>
      <w:r w:rsidRPr="00F32846">
        <w:rPr>
          <w:sz w:val="22"/>
          <w:szCs w:val="22"/>
        </w:rPr>
        <w:t xml:space="preserve">) рабочих дней с даты подписания </w:t>
      </w:r>
      <w:r w:rsidR="00F92E84" w:rsidRPr="00F32846">
        <w:rPr>
          <w:sz w:val="22"/>
          <w:szCs w:val="22"/>
        </w:rPr>
        <w:t xml:space="preserve">сторонами </w:t>
      </w:r>
      <w:r w:rsidRPr="00F32846">
        <w:rPr>
          <w:sz w:val="22"/>
          <w:szCs w:val="22"/>
        </w:rPr>
        <w:t>акт</w:t>
      </w:r>
      <w:r w:rsidR="00F92E84" w:rsidRPr="00F32846">
        <w:rPr>
          <w:sz w:val="22"/>
          <w:szCs w:val="22"/>
        </w:rPr>
        <w:t>а</w:t>
      </w:r>
      <w:r w:rsidRPr="00F32846">
        <w:rPr>
          <w:sz w:val="22"/>
          <w:szCs w:val="22"/>
        </w:rPr>
        <w:t xml:space="preserve"> приемки товаров</w:t>
      </w:r>
      <w:r w:rsidR="00236C40" w:rsidRPr="00F32846">
        <w:rPr>
          <w:sz w:val="22"/>
          <w:szCs w:val="22"/>
        </w:rPr>
        <w:t>,</w:t>
      </w:r>
      <w:r w:rsidRPr="00F32846">
        <w:rPr>
          <w:sz w:val="22"/>
          <w:szCs w:val="22"/>
        </w:rPr>
        <w:t xml:space="preserve"> работ</w:t>
      </w:r>
      <w:r w:rsidR="00236C40" w:rsidRPr="00F32846">
        <w:rPr>
          <w:sz w:val="22"/>
          <w:szCs w:val="22"/>
        </w:rPr>
        <w:t>,</w:t>
      </w:r>
      <w:r w:rsidRPr="00F32846">
        <w:rPr>
          <w:sz w:val="22"/>
          <w:szCs w:val="22"/>
        </w:rPr>
        <w:t xml:space="preserve"> услуг</w:t>
      </w:r>
      <w:r w:rsidR="00236C40" w:rsidRPr="00F32846">
        <w:rPr>
          <w:sz w:val="22"/>
          <w:szCs w:val="22"/>
        </w:rPr>
        <w:t xml:space="preserve"> (ф. 0510452</w:t>
      </w:r>
      <w:r w:rsidR="00F92E84" w:rsidRPr="00F32846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24195E">
        <w:rPr>
          <w:sz w:val="22"/>
          <w:szCs w:val="22"/>
        </w:rPr>
        <w:t xml:space="preserve">       </w:t>
      </w:r>
      <w:r w:rsidR="00011356" w:rsidRPr="0024195E">
        <w:rPr>
          <w:sz w:val="22"/>
          <w:szCs w:val="22"/>
        </w:rPr>
        <w:t>3.</w:t>
      </w:r>
      <w:r w:rsidR="0024195E">
        <w:rPr>
          <w:sz w:val="22"/>
          <w:szCs w:val="22"/>
        </w:rPr>
        <w:t>5</w:t>
      </w:r>
      <w:r w:rsidR="00011356" w:rsidRPr="0024195E">
        <w:rPr>
          <w:sz w:val="22"/>
          <w:szCs w:val="22"/>
        </w:rPr>
        <w:t xml:space="preserve">. </w:t>
      </w:r>
      <w:r w:rsidRPr="0024195E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4.1. Поставщик обязуется: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 xml:space="preserve">- поставить Заказчику Товар </w:t>
      </w:r>
      <w:r w:rsidR="003977C1" w:rsidRPr="00F92E84">
        <w:rPr>
          <w:sz w:val="22"/>
          <w:szCs w:val="22"/>
        </w:rPr>
        <w:t xml:space="preserve">в </w:t>
      </w:r>
      <w:r w:rsidR="00C26A6E" w:rsidRPr="00F92E84">
        <w:rPr>
          <w:sz w:val="22"/>
          <w:szCs w:val="22"/>
        </w:rPr>
        <w:t>соответствии с условиями</w:t>
      </w:r>
      <w:r w:rsidRPr="00F92E84">
        <w:rPr>
          <w:sz w:val="22"/>
          <w:szCs w:val="22"/>
        </w:rPr>
        <w:t xml:space="preserve">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534E15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>
        <w:rPr>
          <w:color w:val="000000"/>
          <w:sz w:val="22"/>
          <w:szCs w:val="22"/>
        </w:rPr>
        <w:t xml:space="preserve"> Договором</w:t>
      </w:r>
      <w:r w:rsidRPr="00F92E84">
        <w:rPr>
          <w:color w:val="000000"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ab/>
        <w:t xml:space="preserve">- </w:t>
      </w:r>
      <w:r w:rsidRPr="00F92E84">
        <w:rPr>
          <w:bCs/>
          <w:sz w:val="22"/>
          <w:szCs w:val="22"/>
        </w:rPr>
        <w:t xml:space="preserve">нести </w:t>
      </w:r>
      <w:r w:rsidRPr="00F92E84">
        <w:rPr>
          <w:sz w:val="22"/>
          <w:szCs w:val="22"/>
        </w:rPr>
        <w:t>все денежные расходы по замене некачественного товара</w:t>
      </w:r>
      <w:r w:rsidRPr="00F92E84">
        <w:rPr>
          <w:bCs/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F92E84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F92E84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F92E84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>
        <w:rPr>
          <w:rFonts w:ascii="Times New Roman" w:hAnsi="Times New Roman" w:cs="Times New Roman"/>
          <w:sz w:val="22"/>
          <w:szCs w:val="22"/>
          <w:highlight w:val="yellow"/>
        </w:rPr>
        <w:t>- в течение 20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lastRenderedPageBreak/>
        <w:t>электронной почт</w:t>
      </w:r>
      <w:r w:rsidR="005669C0">
        <w:rPr>
          <w:rFonts w:ascii="Times New Roman" w:hAnsi="Times New Roman" w:cs="Times New Roman"/>
          <w:sz w:val="22"/>
          <w:szCs w:val="22"/>
          <w:highlight w:val="yellow"/>
        </w:rPr>
        <w:t>ы</w:t>
      </w:r>
      <w:r w:rsidRPr="00F92E84">
        <w:rPr>
          <w:rFonts w:ascii="Times New Roman" w:hAnsi="Times New Roman" w:cs="Times New Roman"/>
          <w:sz w:val="22"/>
          <w:szCs w:val="22"/>
          <w:highlight w:val="yellow"/>
        </w:rPr>
        <w:t xml:space="preserve"> или системы электронного документооборота акт приемки товаров, работ, услуг (ф. 0510452).</w:t>
      </w:r>
      <w:r w:rsidR="00B3314E" w:rsidRPr="00F92E84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F92E84" w:rsidRDefault="00B3314E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>
        <w:rPr>
          <w:sz w:val="22"/>
          <w:szCs w:val="22"/>
        </w:rPr>
        <w:t xml:space="preserve"> Договора</w:t>
      </w:r>
      <w:r w:rsidRPr="00F92E84">
        <w:rPr>
          <w:sz w:val="22"/>
          <w:szCs w:val="22"/>
        </w:rPr>
        <w:t>;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         - </w:t>
      </w:r>
      <w:r w:rsidRPr="00F92E84">
        <w:rPr>
          <w:color w:val="000000"/>
          <w:sz w:val="22"/>
          <w:szCs w:val="22"/>
        </w:rPr>
        <w:t>принять от Поставщика Товар в соотве</w:t>
      </w:r>
      <w:r w:rsidR="004537B9">
        <w:rPr>
          <w:color w:val="000000"/>
          <w:sz w:val="22"/>
          <w:szCs w:val="22"/>
        </w:rPr>
        <w:t>тствии с разделом 5 настоящего Договора</w:t>
      </w:r>
      <w:r w:rsidRPr="00F92E84">
        <w:rPr>
          <w:color w:val="000000"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5. ПОРЯДОК ПРИЕМКИ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F92E84">
        <w:rPr>
          <w:bCs/>
          <w:sz w:val="22"/>
          <w:szCs w:val="22"/>
        </w:rPr>
        <w:t xml:space="preserve">5.1. </w:t>
      </w:r>
      <w:r w:rsidRPr="00CD1878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CD1878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CD1878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CD1878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а)</w:t>
      </w:r>
      <w:r w:rsidRPr="00CD1878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CD1878">
        <w:rPr>
          <w:bCs/>
          <w:i/>
          <w:sz w:val="22"/>
          <w:szCs w:val="22"/>
        </w:rPr>
        <w:t>условиям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б)</w:t>
      </w:r>
      <w:r w:rsidRPr="00CD1878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CD1878">
        <w:rPr>
          <w:bCs/>
          <w:i/>
          <w:sz w:val="22"/>
          <w:szCs w:val="22"/>
        </w:rPr>
        <w:t>;</w:t>
      </w:r>
    </w:p>
    <w:p w:rsidR="00B3314E" w:rsidRPr="00CD1878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CD1878">
        <w:rPr>
          <w:bCs/>
          <w:i/>
          <w:sz w:val="22"/>
          <w:szCs w:val="22"/>
        </w:rPr>
        <w:t>в)</w:t>
      </w:r>
      <w:r w:rsidRPr="00CD1878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F92E84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CD1878">
        <w:rPr>
          <w:bCs/>
          <w:i/>
          <w:sz w:val="22"/>
          <w:szCs w:val="22"/>
        </w:rPr>
        <w:t>г)</w:t>
      </w:r>
      <w:r w:rsidRPr="00CD1878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CD1878">
        <w:rPr>
          <w:bCs/>
          <w:i/>
          <w:sz w:val="22"/>
          <w:szCs w:val="22"/>
        </w:rPr>
        <w:t xml:space="preserve"> Договора</w:t>
      </w:r>
      <w:r w:rsidRPr="00F92E84">
        <w:rPr>
          <w:bCs/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F92E84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F92E84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CD1878" w:rsidRDefault="00B3314E" w:rsidP="00B3314E">
      <w:pPr>
        <w:ind w:firstLine="708"/>
        <w:rPr>
          <w:i/>
          <w:sz w:val="22"/>
          <w:szCs w:val="22"/>
        </w:rPr>
      </w:pPr>
      <w:r w:rsidRPr="00CD1878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>
        <w:rPr>
          <w:i/>
          <w:sz w:val="22"/>
          <w:szCs w:val="22"/>
        </w:rPr>
        <w:t xml:space="preserve"> складе получателя не позднее 20 рабочих</w:t>
      </w:r>
      <w:r w:rsidRPr="00CD1878">
        <w:rPr>
          <w:i/>
          <w:sz w:val="22"/>
          <w:szCs w:val="22"/>
        </w:rPr>
        <w:t xml:space="preserve"> дн</w:t>
      </w:r>
      <w:r w:rsidR="0074343E">
        <w:rPr>
          <w:i/>
          <w:sz w:val="22"/>
          <w:szCs w:val="22"/>
        </w:rPr>
        <w:t>ей с даты передачи товара , либо не позднее истечения 50</w:t>
      </w:r>
      <w:r w:rsidRPr="00CD1878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F92E84" w:rsidRDefault="00B3314E" w:rsidP="00B3314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F92E84" w:rsidRDefault="00B3314E" w:rsidP="00B3314E">
      <w:pPr>
        <w:ind w:firstLine="709"/>
        <w:rPr>
          <w:sz w:val="22"/>
          <w:szCs w:val="22"/>
        </w:rPr>
      </w:pPr>
      <w:r w:rsidRPr="00F92E84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11324A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F92E84">
        <w:rPr>
          <w:sz w:val="22"/>
          <w:szCs w:val="22"/>
        </w:rPr>
        <w:t xml:space="preserve">, приемка продукции по количеству и составление акта </w:t>
      </w:r>
      <w:r w:rsidRPr="00F92E84">
        <w:rPr>
          <w:sz w:val="22"/>
          <w:szCs w:val="22"/>
          <w:highlight w:val="yellow"/>
        </w:rPr>
        <w:t>приемки товаров, работ, услуг (ф. 0510452</w:t>
      </w:r>
      <w:r>
        <w:rPr>
          <w:sz w:val="22"/>
          <w:szCs w:val="22"/>
        </w:rPr>
        <w:t>)</w:t>
      </w:r>
      <w:r w:rsidRPr="00F92E84">
        <w:rPr>
          <w:sz w:val="22"/>
          <w:szCs w:val="22"/>
        </w:rPr>
        <w:t xml:space="preserve"> производится Заказчиком в одностороннем порядке.</w:t>
      </w:r>
    </w:p>
    <w:p w:rsidR="003D27FE" w:rsidRPr="00F32846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F92E84">
        <w:rPr>
          <w:bCs/>
          <w:sz w:val="22"/>
          <w:szCs w:val="22"/>
        </w:rPr>
        <w:t>5.2</w:t>
      </w:r>
      <w:r w:rsidRPr="00F32846">
        <w:rPr>
          <w:bCs/>
          <w:sz w:val="22"/>
          <w:szCs w:val="22"/>
        </w:rPr>
        <w:t xml:space="preserve">. По факту приемки Товара Заказчик на </w:t>
      </w:r>
      <w:r w:rsidR="00F92E84" w:rsidRPr="00F32846">
        <w:rPr>
          <w:bCs/>
          <w:sz w:val="22"/>
          <w:szCs w:val="22"/>
        </w:rPr>
        <w:t>товаросопроводительных документах</w:t>
      </w:r>
      <w:r w:rsidRPr="00F32846">
        <w:rPr>
          <w:bCs/>
          <w:sz w:val="22"/>
          <w:szCs w:val="22"/>
        </w:rPr>
        <w:t xml:space="preserve"> </w:t>
      </w:r>
      <w:r w:rsidR="00F92E84" w:rsidRPr="00F32846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F32846">
        <w:rPr>
          <w:bCs/>
          <w:sz w:val="22"/>
          <w:szCs w:val="22"/>
        </w:rPr>
        <w:t>делает отметку о получении, с указанием Ф.И.О. ответственного лица и даты приемки.</w:t>
      </w:r>
    </w:p>
    <w:p w:rsidR="00B3314E" w:rsidRPr="00F92E84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 w:rsidRPr="00F32846">
        <w:rPr>
          <w:bCs/>
          <w:sz w:val="22"/>
          <w:szCs w:val="22"/>
        </w:rPr>
        <w:t xml:space="preserve">5.3. </w:t>
      </w:r>
      <w:r w:rsidR="00B3314E" w:rsidRPr="00F32846">
        <w:rPr>
          <w:bCs/>
          <w:sz w:val="22"/>
          <w:szCs w:val="22"/>
        </w:rPr>
        <w:t xml:space="preserve"> </w:t>
      </w:r>
      <w:r w:rsidRPr="00F32846">
        <w:rPr>
          <w:b/>
          <w:bCs/>
          <w:sz w:val="22"/>
          <w:szCs w:val="22"/>
        </w:rPr>
        <w:t>Ответственное лицо</w:t>
      </w:r>
      <w:r w:rsidRPr="009B42DA">
        <w:rPr>
          <w:b/>
          <w:bCs/>
          <w:sz w:val="22"/>
          <w:szCs w:val="22"/>
        </w:rPr>
        <w:t xml:space="preserve">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F92E84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F92E84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F92E84">
        <w:rPr>
          <w:b/>
          <w:bCs/>
          <w:sz w:val="22"/>
          <w:szCs w:val="22"/>
        </w:rPr>
        <w:t>6</w:t>
      </w:r>
      <w:r w:rsidR="00B3314E" w:rsidRPr="00F92E84">
        <w:rPr>
          <w:b/>
          <w:bCs/>
          <w:sz w:val="22"/>
          <w:szCs w:val="22"/>
        </w:rPr>
        <w:t>. КАЧЕСТВО</w:t>
      </w:r>
    </w:p>
    <w:p w:rsidR="00C26A6E" w:rsidRPr="00F92E84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B3314E" w:rsidRPr="00F92E84">
        <w:rPr>
          <w:sz w:val="22"/>
          <w:szCs w:val="22"/>
        </w:rPr>
        <w:t xml:space="preserve">.1. </w:t>
      </w:r>
      <w:r w:rsidR="00C26A6E" w:rsidRPr="00F92E84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F92E84">
        <w:rPr>
          <w:sz w:val="22"/>
          <w:szCs w:val="22"/>
        </w:rPr>
        <w:t>настоящего</w:t>
      </w:r>
      <w:r w:rsidR="00881E22">
        <w:rPr>
          <w:sz w:val="22"/>
          <w:szCs w:val="22"/>
        </w:rPr>
        <w:t xml:space="preserve"> Договора</w:t>
      </w:r>
      <w:r w:rsidR="00037511" w:rsidRPr="00F92E84">
        <w:rPr>
          <w:sz w:val="22"/>
          <w:szCs w:val="22"/>
        </w:rPr>
        <w:t xml:space="preserve">, требованиям </w:t>
      </w:r>
      <w:r w:rsidR="00C26A6E" w:rsidRPr="00F92E84">
        <w:rPr>
          <w:sz w:val="22"/>
          <w:szCs w:val="22"/>
        </w:rPr>
        <w:t>технически</w:t>
      </w:r>
      <w:r w:rsidR="00037511" w:rsidRPr="00F92E84">
        <w:rPr>
          <w:sz w:val="22"/>
          <w:szCs w:val="22"/>
        </w:rPr>
        <w:t>х</w:t>
      </w:r>
      <w:r w:rsidR="00C26A6E" w:rsidRPr="00F92E84">
        <w:rPr>
          <w:sz w:val="22"/>
          <w:szCs w:val="22"/>
        </w:rPr>
        <w:t xml:space="preserve"> регламент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>, стандарт</w:t>
      </w:r>
      <w:r w:rsidR="00037511" w:rsidRPr="00F92E84">
        <w:rPr>
          <w:sz w:val="22"/>
          <w:szCs w:val="22"/>
        </w:rPr>
        <w:t>ов</w:t>
      </w:r>
      <w:r w:rsidR="00C26A6E" w:rsidRPr="00F92E84">
        <w:rPr>
          <w:sz w:val="22"/>
          <w:szCs w:val="22"/>
        </w:rPr>
        <w:t xml:space="preserve"> и ины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требовани</w:t>
      </w:r>
      <w:r w:rsidR="00173085" w:rsidRPr="00F92E84">
        <w:rPr>
          <w:sz w:val="22"/>
          <w:szCs w:val="22"/>
        </w:rPr>
        <w:t>ям</w:t>
      </w:r>
      <w:r w:rsidR="00C26A6E" w:rsidRPr="00F92E84">
        <w:rPr>
          <w:sz w:val="22"/>
          <w:szCs w:val="22"/>
        </w:rPr>
        <w:t>, предусмотренны</w:t>
      </w:r>
      <w:r w:rsidR="00173085" w:rsidRPr="00F92E84">
        <w:rPr>
          <w:sz w:val="22"/>
          <w:szCs w:val="22"/>
        </w:rPr>
        <w:t>м</w:t>
      </w:r>
      <w:r w:rsidR="00C26A6E" w:rsidRPr="00F92E84">
        <w:rPr>
          <w:sz w:val="22"/>
          <w:szCs w:val="22"/>
        </w:rPr>
        <w:t xml:space="preserve"> законодательством Российской Федерации. </w:t>
      </w:r>
    </w:p>
    <w:p w:rsidR="00B3314E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6</w:t>
      </w:r>
      <w:r w:rsidR="00C26A6E" w:rsidRPr="00F92E84">
        <w:rPr>
          <w:sz w:val="22"/>
          <w:szCs w:val="22"/>
        </w:rPr>
        <w:t xml:space="preserve">.2. </w:t>
      </w:r>
      <w:r w:rsidR="00B3314E" w:rsidRPr="00F92E84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>
        <w:rPr>
          <w:sz w:val="22"/>
          <w:szCs w:val="22"/>
        </w:rPr>
        <w:t xml:space="preserve"> годгости/стерильности</w:t>
      </w:r>
      <w:r w:rsidR="00B3314E" w:rsidRPr="00F92E84">
        <w:rPr>
          <w:sz w:val="22"/>
          <w:szCs w:val="22"/>
        </w:rPr>
        <w:t>.</w:t>
      </w:r>
    </w:p>
    <w:p w:rsidR="00496E0B" w:rsidRDefault="00496E0B" w:rsidP="00496E0B">
      <w:pPr>
        <w:spacing w:line="216" w:lineRule="auto"/>
        <w:ind w:firstLine="360"/>
      </w:pPr>
      <w:r>
        <w:rPr>
          <w:b/>
          <w:bCs/>
          <w:color w:val="000000"/>
          <w:spacing w:val="-1"/>
          <w:sz w:val="22"/>
          <w:szCs w:val="22"/>
        </w:rPr>
        <w:t xml:space="preserve">6.3. </w:t>
      </w:r>
      <w:r w:rsidR="00F32846" w:rsidRPr="00F32846">
        <w:rPr>
          <w:b/>
          <w:bCs/>
          <w:color w:val="000000"/>
          <w:spacing w:val="-1"/>
          <w:sz w:val="22"/>
          <w:szCs w:val="22"/>
        </w:rPr>
        <w:t xml:space="preserve">Остаточный срок годности на момент поставки не менее </w:t>
      </w:r>
      <w:r w:rsidR="003560A8">
        <w:rPr>
          <w:b/>
          <w:bCs/>
          <w:color w:val="000000"/>
          <w:spacing w:val="-1"/>
          <w:sz w:val="22"/>
          <w:szCs w:val="22"/>
        </w:rPr>
        <w:t xml:space="preserve">6 </w:t>
      </w:r>
      <w:r w:rsidR="00F32846" w:rsidRPr="00F32846">
        <w:rPr>
          <w:b/>
          <w:bCs/>
          <w:color w:val="000000"/>
          <w:spacing w:val="-1"/>
          <w:sz w:val="22"/>
          <w:szCs w:val="22"/>
        </w:rPr>
        <w:t>месяцев.</w:t>
      </w:r>
    </w:p>
    <w:p w:rsidR="009D30D3" w:rsidRDefault="009D30D3" w:rsidP="00CE3AE4">
      <w:pPr>
        <w:spacing w:line="216" w:lineRule="auto"/>
        <w:rPr>
          <w:b/>
          <w:bCs/>
          <w:color w:val="000000"/>
          <w:spacing w:val="-1"/>
          <w:sz w:val="22"/>
          <w:szCs w:val="22"/>
        </w:rPr>
      </w:pPr>
    </w:p>
    <w:p w:rsidR="00496E0B" w:rsidRPr="00F92E84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496E0B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4537B9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537B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7A40C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>.3</w:t>
      </w:r>
      <w:r w:rsidR="007A40C4" w:rsidRPr="007A40C4">
        <w:t xml:space="preserve"> </w:t>
      </w:r>
      <w:r w:rsidR="007A40C4" w:rsidRPr="007A40C4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трехсотой </w:t>
      </w:r>
      <w:r w:rsidR="007A40C4" w:rsidRPr="007A40C4">
        <w:rPr>
          <w:sz w:val="22"/>
          <w:szCs w:val="22"/>
        </w:rPr>
        <w:lastRenderedPageBreak/>
        <w:t xml:space="preserve">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F92E84" w:rsidRDefault="002F2D48" w:rsidP="007A40C4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 В случае просрочки исполнения заказчиком</w:t>
      </w:r>
      <w:r w:rsidR="004537B9">
        <w:rPr>
          <w:sz w:val="22"/>
          <w:szCs w:val="22"/>
        </w:rPr>
        <w:t xml:space="preserve"> обязательств, предусмотренных Договором</w:t>
      </w:r>
      <w:r w:rsidR="00B3314E" w:rsidRPr="00F92E84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>
        <w:rPr>
          <w:sz w:val="22"/>
          <w:szCs w:val="22"/>
        </w:rPr>
        <w:t xml:space="preserve"> от не уплаченной в срок суммы.</w:t>
      </w:r>
      <w:r w:rsidR="007A40C4" w:rsidRPr="007A40C4">
        <w:rPr>
          <w:sz w:val="22"/>
          <w:szCs w:val="22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FA2DF9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0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>
        <w:rPr>
          <w:sz w:val="22"/>
          <w:szCs w:val="22"/>
        </w:rPr>
        <w:t xml:space="preserve"> Договором</w:t>
      </w:r>
      <w:r w:rsidRPr="00F92E84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0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>.1. Все споры между Сторон</w:t>
      </w:r>
      <w:r w:rsidR="00FA2DF9">
        <w:rPr>
          <w:sz w:val="22"/>
          <w:szCs w:val="22"/>
        </w:rPr>
        <w:t>ами, возникающие из настоящего Договора</w:t>
      </w:r>
      <w:r w:rsidR="00B3314E" w:rsidRPr="00F92E84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881E22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FA2DF9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FA2DF9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B3314E">
      <w:pPr>
        <w:spacing w:line="216" w:lineRule="auto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FA2DF9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>. Во всем, что не предусмотрено настоящим</w:t>
      </w:r>
      <w:r w:rsidR="00FA2DF9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FA2DF9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F92E84" w:rsidRDefault="002F2D48" w:rsidP="00FA2DF9">
      <w:pPr>
        <w:pStyle w:val="20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F92E84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FA2DF9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Заказчик:</w:t>
            </w:r>
          </w:p>
          <w:p w:rsidR="00B3314E" w:rsidRPr="00FA2DF9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FA2DF9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FA2DF9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skmmc@mail.ru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ОГРН 1081511000581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ОКАТО 90235501000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ОКТМО 90635101001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(г.Беслан) л/с</w:t>
            </w:r>
            <w:r w:rsidR="00236C40" w:rsidRPr="00FA2DF9">
              <w:rPr>
                <w:sz w:val="20"/>
                <w:szCs w:val="20"/>
              </w:rPr>
              <w:t xml:space="preserve"> </w:t>
            </w:r>
            <w:r w:rsidR="007D558D" w:rsidRPr="00FA2DF9">
              <w:rPr>
                <w:sz w:val="20"/>
                <w:szCs w:val="20"/>
              </w:rPr>
              <w:t>(20106Ц38250; 22106Ц38250</w:t>
            </w:r>
            <w:r w:rsidRPr="00FA2DF9">
              <w:rPr>
                <w:sz w:val="20"/>
                <w:szCs w:val="20"/>
              </w:rPr>
              <w:t>)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Р/с 03214643000000011000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FA2DF9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ЕКС 40102810945370000077</w:t>
            </w:r>
          </w:p>
          <w:p w:rsidR="008643B5" w:rsidRDefault="007771E3" w:rsidP="007771E3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БИК 019033100</w:t>
            </w:r>
          </w:p>
          <w:p w:rsidR="00FA2DF9" w:rsidRPr="00FA2DF9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FA2DF9" w:rsidRDefault="008379D0" w:rsidP="0032416E">
            <w:pPr>
              <w:jc w:val="left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Поставщик:</w:t>
            </w:r>
          </w:p>
        </w:tc>
      </w:tr>
      <w:tr w:rsidR="00B3314E" w:rsidRPr="00F92E84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От Заказчика: </w:t>
            </w:r>
          </w:p>
          <w:p w:rsidR="00E844ED" w:rsidRPr="00FA2DF9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Главный врач</w:t>
            </w:r>
            <w:r w:rsidR="0006264E" w:rsidRPr="00FA2DF9">
              <w:rPr>
                <w:sz w:val="20"/>
                <w:szCs w:val="20"/>
              </w:rPr>
              <w:t xml:space="preserve"> </w:t>
            </w:r>
            <w:r w:rsidR="00B3314E" w:rsidRPr="00FA2DF9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FA2DF9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bCs/>
                <w:sz w:val="20"/>
                <w:szCs w:val="20"/>
              </w:rPr>
              <w:t>Минздрава России (г. Беслан)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FA2DF9" w:rsidRDefault="00B3314E" w:rsidP="00534E15">
            <w:pPr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________________</w:t>
            </w:r>
            <w:r w:rsidR="00284D3D" w:rsidRPr="00FA2DF9">
              <w:rPr>
                <w:sz w:val="20"/>
                <w:szCs w:val="20"/>
              </w:rPr>
              <w:t xml:space="preserve">__ /   </w:t>
            </w:r>
            <w:r w:rsidR="007B4CDB">
              <w:rPr>
                <w:sz w:val="20"/>
                <w:szCs w:val="20"/>
              </w:rPr>
              <w:t xml:space="preserve">М.С. Суханов </w:t>
            </w:r>
            <w:r w:rsidR="00C61D52" w:rsidRPr="00FA2DF9">
              <w:rPr>
                <w:sz w:val="20"/>
                <w:szCs w:val="20"/>
              </w:rPr>
              <w:t>/</w:t>
            </w:r>
            <w:r w:rsidRPr="00FA2DF9">
              <w:rPr>
                <w:sz w:val="20"/>
                <w:szCs w:val="20"/>
              </w:rPr>
              <w:t xml:space="preserve">        </w:t>
            </w:r>
          </w:p>
          <w:p w:rsidR="00B3314E" w:rsidRPr="00FA2DF9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>От Поставщика:</w:t>
            </w:r>
          </w:p>
          <w:p w:rsidR="000700BF" w:rsidRPr="00FA2DF9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Default="00FA2DF9" w:rsidP="00FA2DF9">
            <w:pPr>
              <w:rPr>
                <w:sz w:val="20"/>
                <w:szCs w:val="20"/>
              </w:rPr>
            </w:pPr>
          </w:p>
          <w:p w:rsidR="00FA2DF9" w:rsidRPr="00FA2DF9" w:rsidRDefault="00FA2DF9" w:rsidP="00FA2DF9">
            <w:pPr>
              <w:rPr>
                <w:sz w:val="20"/>
                <w:szCs w:val="20"/>
              </w:rPr>
            </w:pPr>
          </w:p>
          <w:p w:rsidR="00141346" w:rsidRPr="00FA2DF9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__________________ /</w:t>
            </w:r>
            <w:r w:rsidR="008379D0" w:rsidRPr="00FA2DF9">
              <w:rPr>
                <w:sz w:val="20"/>
                <w:szCs w:val="20"/>
              </w:rPr>
              <w:t xml:space="preserve"> </w:t>
            </w:r>
            <w:r w:rsidRPr="00FA2DF9">
              <w:rPr>
                <w:sz w:val="20"/>
                <w:szCs w:val="20"/>
              </w:rPr>
              <w:t>/</w:t>
            </w:r>
          </w:p>
          <w:p w:rsidR="00B3314E" w:rsidRPr="00FA2DF9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FA2DF9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>Приложение № 1</w:t>
      </w:r>
    </w:p>
    <w:p w:rsidR="00CA3A0D" w:rsidRPr="00F92E84" w:rsidRDefault="00CA3A0D" w:rsidP="00FA2DF9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 xml:space="preserve"> к </w:t>
      </w:r>
      <w:r w:rsidR="00FA2DF9">
        <w:rPr>
          <w:sz w:val="22"/>
          <w:szCs w:val="22"/>
        </w:rPr>
        <w:t xml:space="preserve">Договору </w:t>
      </w:r>
      <w:r w:rsidRPr="00F92E84">
        <w:rPr>
          <w:sz w:val="22"/>
          <w:szCs w:val="22"/>
        </w:rPr>
        <w:t xml:space="preserve">№ </w:t>
      </w:r>
      <w:r w:rsidR="00CE3AE4">
        <w:rPr>
          <w:sz w:val="22"/>
          <w:szCs w:val="22"/>
        </w:rPr>
        <w:t>___/</w:t>
      </w:r>
    </w:p>
    <w:p w:rsidR="00CA3A0D" w:rsidRPr="00F92E84" w:rsidRDefault="00FA2DF9" w:rsidP="00FA2DF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</w:t>
      </w:r>
      <w:r w:rsidR="00CA3A0D" w:rsidRPr="00F92E84">
        <w:rPr>
          <w:sz w:val="22"/>
          <w:szCs w:val="22"/>
        </w:rPr>
        <w:t>20</w:t>
      </w:r>
      <w:r w:rsidR="007B4CDB">
        <w:rPr>
          <w:sz w:val="22"/>
          <w:szCs w:val="22"/>
        </w:rPr>
        <w:t>26</w:t>
      </w:r>
    </w:p>
    <w:p w:rsidR="00CA3A0D" w:rsidRPr="00F92E84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4E0DF9" w:rsidRDefault="004E0DF9" w:rsidP="00F32846">
      <w:pPr>
        <w:tabs>
          <w:tab w:val="left" w:pos="708"/>
        </w:tabs>
        <w:spacing w:line="216" w:lineRule="auto"/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2126"/>
        <w:gridCol w:w="1134"/>
        <w:gridCol w:w="992"/>
        <w:gridCol w:w="993"/>
        <w:gridCol w:w="1275"/>
      </w:tblGrid>
      <w:tr w:rsidR="00F32846" w:rsidRPr="0079766C" w:rsidTr="00F32846">
        <w:trPr>
          <w:trHeight w:val="181"/>
        </w:trPr>
        <w:tc>
          <w:tcPr>
            <w:tcW w:w="534" w:type="dxa"/>
            <w:shd w:val="clear" w:color="000000" w:fill="FFFFFF"/>
            <w:hideMark/>
          </w:tcPr>
          <w:p w:rsidR="00F32846" w:rsidRPr="003560A8" w:rsidRDefault="00F32846" w:rsidP="00806BB1">
            <w:pPr>
              <w:jc w:val="center"/>
              <w:rPr>
                <w:b/>
                <w:sz w:val="18"/>
                <w:szCs w:val="18"/>
              </w:rPr>
            </w:pPr>
            <w:r w:rsidRPr="003560A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147" w:type="dxa"/>
            <w:shd w:val="clear" w:color="000000" w:fill="FFFFFF"/>
            <w:hideMark/>
          </w:tcPr>
          <w:p w:rsidR="00F32846" w:rsidRPr="003560A8" w:rsidRDefault="00F32846" w:rsidP="00806BB1">
            <w:pPr>
              <w:jc w:val="center"/>
              <w:rPr>
                <w:b/>
                <w:sz w:val="18"/>
                <w:szCs w:val="18"/>
              </w:rPr>
            </w:pPr>
            <w:r w:rsidRPr="003560A8"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126" w:type="dxa"/>
            <w:shd w:val="clear" w:color="000000" w:fill="FFFFFF"/>
          </w:tcPr>
          <w:p w:rsidR="00F32846" w:rsidRPr="003560A8" w:rsidRDefault="00F32846" w:rsidP="00806BB1">
            <w:pPr>
              <w:jc w:val="center"/>
              <w:rPr>
                <w:b/>
                <w:sz w:val="18"/>
                <w:szCs w:val="18"/>
              </w:rPr>
            </w:pPr>
            <w:r w:rsidRPr="003560A8">
              <w:rPr>
                <w:b/>
                <w:sz w:val="18"/>
                <w:szCs w:val="18"/>
              </w:rPr>
              <w:t>КТРУ</w:t>
            </w:r>
          </w:p>
        </w:tc>
        <w:tc>
          <w:tcPr>
            <w:tcW w:w="1134" w:type="dxa"/>
            <w:shd w:val="clear" w:color="000000" w:fill="FFFFFF"/>
            <w:hideMark/>
          </w:tcPr>
          <w:p w:rsidR="00F32846" w:rsidRPr="003560A8" w:rsidRDefault="00F32846" w:rsidP="00806BB1">
            <w:pPr>
              <w:jc w:val="center"/>
              <w:rPr>
                <w:b/>
                <w:sz w:val="18"/>
                <w:szCs w:val="18"/>
              </w:rPr>
            </w:pPr>
            <w:r w:rsidRPr="003560A8">
              <w:rPr>
                <w:b/>
                <w:sz w:val="18"/>
                <w:szCs w:val="18"/>
              </w:rPr>
              <w:t>Ед. изм</w:t>
            </w:r>
          </w:p>
        </w:tc>
        <w:tc>
          <w:tcPr>
            <w:tcW w:w="992" w:type="dxa"/>
            <w:shd w:val="clear" w:color="000000" w:fill="FFFFFF"/>
            <w:hideMark/>
          </w:tcPr>
          <w:p w:rsidR="00F32846" w:rsidRPr="003560A8" w:rsidRDefault="00F32846" w:rsidP="00806BB1">
            <w:pPr>
              <w:jc w:val="center"/>
              <w:rPr>
                <w:b/>
                <w:sz w:val="18"/>
                <w:szCs w:val="18"/>
              </w:rPr>
            </w:pPr>
            <w:r w:rsidRPr="003560A8">
              <w:rPr>
                <w:b/>
                <w:sz w:val="18"/>
                <w:szCs w:val="18"/>
              </w:rPr>
              <w:t xml:space="preserve">Кол-во </w:t>
            </w:r>
          </w:p>
        </w:tc>
        <w:tc>
          <w:tcPr>
            <w:tcW w:w="993" w:type="dxa"/>
            <w:shd w:val="clear" w:color="000000" w:fill="FFFFFF"/>
          </w:tcPr>
          <w:p w:rsidR="00F32846" w:rsidRPr="003560A8" w:rsidRDefault="00F32846" w:rsidP="00806BB1">
            <w:pPr>
              <w:jc w:val="center"/>
              <w:rPr>
                <w:b/>
                <w:sz w:val="18"/>
                <w:szCs w:val="18"/>
              </w:rPr>
            </w:pPr>
            <w:r w:rsidRPr="003560A8"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275" w:type="dxa"/>
            <w:shd w:val="clear" w:color="000000" w:fill="FFFFFF"/>
          </w:tcPr>
          <w:p w:rsidR="00F32846" w:rsidRPr="003560A8" w:rsidRDefault="00F32846" w:rsidP="00806BB1">
            <w:pPr>
              <w:jc w:val="center"/>
              <w:rPr>
                <w:b/>
                <w:sz w:val="18"/>
                <w:szCs w:val="18"/>
              </w:rPr>
            </w:pPr>
            <w:r w:rsidRPr="003560A8">
              <w:rPr>
                <w:b/>
                <w:sz w:val="18"/>
                <w:szCs w:val="18"/>
              </w:rPr>
              <w:t>Сумма</w:t>
            </w:r>
          </w:p>
        </w:tc>
      </w:tr>
      <w:tr w:rsidR="00F32846" w:rsidRPr="0079766C" w:rsidTr="003560A8">
        <w:trPr>
          <w:trHeight w:val="854"/>
        </w:trPr>
        <w:tc>
          <w:tcPr>
            <w:tcW w:w="534" w:type="dxa"/>
            <w:shd w:val="clear" w:color="000000" w:fill="FFFFFF"/>
            <w:hideMark/>
          </w:tcPr>
          <w:p w:rsidR="00F32846" w:rsidRPr="003560A8" w:rsidRDefault="00F32846" w:rsidP="00806BB1">
            <w:pPr>
              <w:jc w:val="center"/>
              <w:rPr>
                <w:sz w:val="18"/>
                <w:szCs w:val="18"/>
              </w:rPr>
            </w:pPr>
            <w:r w:rsidRPr="003560A8">
              <w:rPr>
                <w:sz w:val="18"/>
                <w:szCs w:val="18"/>
              </w:rPr>
              <w:t>1</w:t>
            </w:r>
          </w:p>
        </w:tc>
        <w:tc>
          <w:tcPr>
            <w:tcW w:w="3147" w:type="dxa"/>
            <w:shd w:val="clear" w:color="000000" w:fill="FFFFFF"/>
          </w:tcPr>
          <w:p w:rsidR="00F32846" w:rsidRPr="003560A8" w:rsidRDefault="00F32846" w:rsidP="00D56983">
            <w:pPr>
              <w:rPr>
                <w:sz w:val="18"/>
                <w:szCs w:val="18"/>
              </w:rPr>
            </w:pPr>
          </w:p>
          <w:p w:rsidR="00F32846" w:rsidRPr="003560A8" w:rsidRDefault="00F32846" w:rsidP="00D56983">
            <w:pPr>
              <w:rPr>
                <w:sz w:val="18"/>
                <w:szCs w:val="18"/>
              </w:rPr>
            </w:pPr>
          </w:p>
          <w:p w:rsidR="00F32846" w:rsidRPr="003560A8" w:rsidRDefault="003560A8" w:rsidP="003560A8">
            <w:pPr>
              <w:rPr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Набор для системы подготовки крови для аутотрансфузии</w:t>
            </w:r>
          </w:p>
        </w:tc>
        <w:tc>
          <w:tcPr>
            <w:tcW w:w="2126" w:type="dxa"/>
            <w:shd w:val="clear" w:color="000000" w:fill="FFFFFF"/>
          </w:tcPr>
          <w:p w:rsidR="00F32846" w:rsidRPr="003560A8" w:rsidRDefault="003560A8" w:rsidP="00806BB1">
            <w:pPr>
              <w:rPr>
                <w:sz w:val="18"/>
                <w:szCs w:val="18"/>
              </w:rPr>
            </w:pPr>
            <w:r w:rsidRPr="003560A8">
              <w:rPr>
                <w:sz w:val="18"/>
                <w:szCs w:val="18"/>
              </w:rPr>
              <w:t>32.50.50.190-00001212</w:t>
            </w:r>
          </w:p>
        </w:tc>
        <w:tc>
          <w:tcPr>
            <w:tcW w:w="1134" w:type="dxa"/>
            <w:shd w:val="clear" w:color="000000" w:fill="FFFFFF"/>
          </w:tcPr>
          <w:p w:rsidR="00F32846" w:rsidRPr="003560A8" w:rsidRDefault="00F32846" w:rsidP="00D56983">
            <w:pPr>
              <w:jc w:val="center"/>
              <w:rPr>
                <w:sz w:val="18"/>
                <w:szCs w:val="18"/>
              </w:rPr>
            </w:pPr>
            <w:r w:rsidRPr="003560A8">
              <w:rPr>
                <w:sz w:val="18"/>
                <w:szCs w:val="18"/>
              </w:rPr>
              <w:t>Штука</w:t>
            </w:r>
          </w:p>
          <w:p w:rsidR="00F32846" w:rsidRPr="003560A8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3560A8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3560A8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3560A8" w:rsidRDefault="00F32846" w:rsidP="00D56983">
            <w:pPr>
              <w:jc w:val="center"/>
              <w:rPr>
                <w:sz w:val="18"/>
                <w:szCs w:val="18"/>
              </w:rPr>
            </w:pPr>
          </w:p>
          <w:p w:rsidR="00F32846" w:rsidRPr="003560A8" w:rsidRDefault="00F32846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F32846" w:rsidRPr="003560A8" w:rsidRDefault="003560A8" w:rsidP="00806BB1">
            <w:pPr>
              <w:jc w:val="center"/>
              <w:rPr>
                <w:sz w:val="18"/>
                <w:szCs w:val="18"/>
              </w:rPr>
            </w:pPr>
            <w:r w:rsidRPr="003560A8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F32846" w:rsidRPr="003560A8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</w:tcPr>
          <w:p w:rsidR="00F32846" w:rsidRPr="003560A8" w:rsidRDefault="00F32846" w:rsidP="00806BB1">
            <w:pPr>
              <w:jc w:val="right"/>
              <w:rPr>
                <w:sz w:val="18"/>
                <w:szCs w:val="18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F32846" w:rsidRDefault="00F32846" w:rsidP="00AF235C">
      <w:pPr>
        <w:pStyle w:val="ConsNonformat"/>
        <w:widowControl/>
        <w:ind w:right="-5"/>
        <w:rPr>
          <w:sz w:val="22"/>
          <w:szCs w:val="22"/>
        </w:rPr>
      </w:pPr>
    </w:p>
    <w:p w:rsidR="00F32846" w:rsidRDefault="00F32846" w:rsidP="00F32846">
      <w:pPr>
        <w:pStyle w:val="ConsNonformat"/>
        <w:widowControl/>
        <w:ind w:right="-5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№2</w:t>
      </w:r>
    </w:p>
    <w:p w:rsidR="00F32846" w:rsidRPr="00F32846" w:rsidRDefault="00F32846" w:rsidP="00F32846">
      <w:pPr>
        <w:pStyle w:val="ConsNonformat"/>
        <w:ind w:right="-5"/>
        <w:jc w:val="right"/>
        <w:rPr>
          <w:sz w:val="22"/>
          <w:szCs w:val="22"/>
        </w:rPr>
      </w:pPr>
      <w:r w:rsidRPr="00F32846">
        <w:rPr>
          <w:sz w:val="22"/>
          <w:szCs w:val="22"/>
        </w:rPr>
        <w:t>к Договору № ___/</w:t>
      </w:r>
    </w:p>
    <w:p w:rsidR="00F32846" w:rsidRDefault="00F32846" w:rsidP="00F32846">
      <w:pPr>
        <w:pStyle w:val="ConsNonformat"/>
        <w:widowControl/>
        <w:ind w:right="-5"/>
        <w:jc w:val="right"/>
        <w:rPr>
          <w:sz w:val="22"/>
          <w:szCs w:val="22"/>
        </w:rPr>
      </w:pPr>
      <w:r w:rsidRPr="00F32846">
        <w:rPr>
          <w:sz w:val="22"/>
          <w:szCs w:val="22"/>
        </w:rPr>
        <w:t>«____» _____________2026</w:t>
      </w:r>
    </w:p>
    <w:p w:rsidR="00F32846" w:rsidRDefault="00F32846" w:rsidP="00F32846">
      <w:pPr>
        <w:pStyle w:val="ConsNonformat"/>
        <w:widowControl/>
        <w:ind w:right="-5"/>
        <w:jc w:val="right"/>
        <w:rPr>
          <w:sz w:val="22"/>
          <w:szCs w:val="22"/>
        </w:rPr>
      </w:pPr>
    </w:p>
    <w:p w:rsidR="00F32846" w:rsidRDefault="00F32846" w:rsidP="00F32846">
      <w:pPr>
        <w:pStyle w:val="ConsNonformat"/>
        <w:widowControl/>
        <w:ind w:right="-5"/>
        <w:jc w:val="right"/>
        <w:rPr>
          <w:sz w:val="22"/>
          <w:szCs w:val="22"/>
        </w:rPr>
      </w:pPr>
    </w:p>
    <w:p w:rsidR="00F32846" w:rsidRDefault="00F32846" w:rsidP="00F32846">
      <w:pPr>
        <w:pStyle w:val="ConsNonformat"/>
        <w:widowControl/>
        <w:ind w:right="-5"/>
        <w:jc w:val="right"/>
        <w:rPr>
          <w:sz w:val="22"/>
          <w:szCs w:val="22"/>
        </w:rPr>
      </w:pPr>
    </w:p>
    <w:p w:rsidR="00F32846" w:rsidRDefault="00F32846" w:rsidP="00F32846">
      <w:pPr>
        <w:pStyle w:val="ConsNonformat"/>
        <w:widowControl/>
        <w:ind w:right="-5"/>
        <w:jc w:val="center"/>
        <w:rPr>
          <w:sz w:val="22"/>
          <w:szCs w:val="22"/>
        </w:rPr>
      </w:pPr>
      <w:r>
        <w:rPr>
          <w:sz w:val="22"/>
          <w:szCs w:val="22"/>
        </w:rPr>
        <w:t>Техническое задание</w:t>
      </w:r>
    </w:p>
    <w:p w:rsidR="00F32846" w:rsidRDefault="00F32846" w:rsidP="00F32846">
      <w:pPr>
        <w:pStyle w:val="ConsNonformat"/>
        <w:widowControl/>
        <w:ind w:right="-5"/>
        <w:jc w:val="center"/>
        <w:rPr>
          <w:sz w:val="22"/>
          <w:szCs w:val="22"/>
        </w:rPr>
      </w:pPr>
    </w:p>
    <w:tbl>
      <w:tblPr>
        <w:tblW w:w="113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1511"/>
        <w:gridCol w:w="1276"/>
        <w:gridCol w:w="2835"/>
        <w:gridCol w:w="2410"/>
        <w:gridCol w:w="1701"/>
        <w:gridCol w:w="567"/>
        <w:gridCol w:w="598"/>
      </w:tblGrid>
      <w:tr w:rsidR="003560A8" w:rsidRPr="003560A8" w:rsidTr="003560A8">
        <w:trPr>
          <w:trHeight w:val="20"/>
        </w:trPr>
        <w:tc>
          <w:tcPr>
            <w:tcW w:w="474" w:type="dxa"/>
            <w:vMerge w:val="restart"/>
            <w:shd w:val="clear" w:color="auto" w:fill="auto"/>
            <w:hideMark/>
          </w:tcPr>
          <w:p w:rsidR="003560A8" w:rsidRPr="003560A8" w:rsidRDefault="003560A8" w:rsidP="003560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0A8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3560A8" w:rsidRDefault="003560A8" w:rsidP="003560A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560A8">
              <w:rPr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  <w:p w:rsidR="003560A8" w:rsidRPr="003560A8" w:rsidRDefault="003560A8" w:rsidP="003560A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(страна происхождения товара)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560A8" w:rsidRPr="003560A8" w:rsidRDefault="003560A8" w:rsidP="003560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0A8">
              <w:rPr>
                <w:b/>
                <w:bCs/>
                <w:color w:val="000000"/>
                <w:sz w:val="18"/>
                <w:szCs w:val="18"/>
              </w:rPr>
              <w:t>Код КТРУ/</w:t>
            </w:r>
            <w:r w:rsidRPr="003560A8">
              <w:rPr>
                <w:b/>
                <w:bCs/>
                <w:color w:val="000000"/>
                <w:sz w:val="18"/>
                <w:szCs w:val="18"/>
              </w:rPr>
              <w:br/>
              <w:t>ОКПД2</w:t>
            </w:r>
          </w:p>
        </w:tc>
        <w:tc>
          <w:tcPr>
            <w:tcW w:w="6946" w:type="dxa"/>
            <w:gridSpan w:val="3"/>
            <w:shd w:val="clear" w:color="auto" w:fill="auto"/>
            <w:hideMark/>
          </w:tcPr>
          <w:p w:rsidR="003560A8" w:rsidRPr="003560A8" w:rsidRDefault="003560A8" w:rsidP="003560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0A8">
              <w:rPr>
                <w:b/>
                <w:bCs/>
                <w:color w:val="000000"/>
                <w:sz w:val="18"/>
                <w:szCs w:val="18"/>
              </w:rPr>
              <w:t>Требования, установленные в отношении закупаемого товара (показатели, в соответствии с которыми будет устанавливаться соответствие)</w:t>
            </w:r>
          </w:p>
        </w:tc>
        <w:tc>
          <w:tcPr>
            <w:tcW w:w="567" w:type="dxa"/>
            <w:vMerge w:val="restart"/>
          </w:tcPr>
          <w:p w:rsidR="003560A8" w:rsidRPr="003560A8" w:rsidRDefault="003560A8" w:rsidP="003560A8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560A8">
              <w:rPr>
                <w:b/>
                <w:bCs/>
                <w:color w:val="000000"/>
                <w:sz w:val="18"/>
                <w:szCs w:val="18"/>
              </w:rPr>
              <w:t>Ед. из.</w:t>
            </w:r>
          </w:p>
        </w:tc>
        <w:tc>
          <w:tcPr>
            <w:tcW w:w="598" w:type="dxa"/>
            <w:vMerge w:val="restart"/>
          </w:tcPr>
          <w:p w:rsidR="003560A8" w:rsidRPr="003560A8" w:rsidRDefault="003560A8" w:rsidP="003560A8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560A8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0A8"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  <w:r w:rsidRPr="003560A8">
              <w:rPr>
                <w:b/>
                <w:bCs/>
                <w:color w:val="000000"/>
                <w:sz w:val="18"/>
                <w:szCs w:val="18"/>
              </w:rPr>
              <w:br/>
              <w:t xml:space="preserve">показателя 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0A8">
              <w:rPr>
                <w:b/>
                <w:bCs/>
                <w:color w:val="000000"/>
                <w:sz w:val="18"/>
                <w:szCs w:val="18"/>
              </w:rPr>
              <w:t>Значение</w:t>
            </w:r>
          </w:p>
          <w:p w:rsidR="003560A8" w:rsidRPr="003560A8" w:rsidRDefault="003560A8" w:rsidP="003560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0A8">
              <w:rPr>
                <w:b/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3560A8" w:rsidRPr="003560A8" w:rsidRDefault="003560A8" w:rsidP="003560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0A8">
              <w:rPr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  <w:p w:rsidR="003560A8" w:rsidRPr="003560A8" w:rsidRDefault="003560A8" w:rsidP="003560A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60A8">
              <w:rPr>
                <w:b/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7"/>
        </w:trPr>
        <w:tc>
          <w:tcPr>
            <w:tcW w:w="474" w:type="dxa"/>
            <w:vMerge w:val="restart"/>
            <w:shd w:val="clear" w:color="auto" w:fill="auto"/>
            <w:noWrap/>
            <w:hideMark/>
          </w:tcPr>
          <w:p w:rsidR="003560A8" w:rsidRPr="003560A8" w:rsidRDefault="003560A8" w:rsidP="003560A8">
            <w:pPr>
              <w:jc w:val="center"/>
              <w:rPr>
                <w:sz w:val="18"/>
                <w:szCs w:val="18"/>
              </w:rPr>
            </w:pPr>
            <w:r w:rsidRPr="003560A8">
              <w:rPr>
                <w:sz w:val="18"/>
                <w:szCs w:val="18"/>
              </w:rPr>
              <w:t>1</w:t>
            </w:r>
          </w:p>
        </w:tc>
        <w:tc>
          <w:tcPr>
            <w:tcW w:w="1511" w:type="dxa"/>
            <w:vMerge w:val="restart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Набор для системы подготовки крови для аутотрансфузии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32.50.50.190-00001212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Совместимость с аппаратом для аутотрансфузии крови XTRA, имеющимся у Заказчика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 w:val="restart"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  <w:r w:rsidRPr="003560A8">
              <w:rPr>
                <w:sz w:val="18"/>
                <w:szCs w:val="18"/>
              </w:rPr>
              <w:t>шт</w:t>
            </w:r>
          </w:p>
        </w:tc>
        <w:tc>
          <w:tcPr>
            <w:tcW w:w="598" w:type="dxa"/>
            <w:vMerge w:val="restart"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  <w:r w:rsidRPr="003560A8">
              <w:rPr>
                <w:sz w:val="18"/>
                <w:szCs w:val="18"/>
              </w:rPr>
              <w:t>5</w:t>
            </w:r>
          </w:p>
        </w:tc>
      </w:tr>
      <w:tr w:rsidR="003560A8" w:rsidRPr="003560A8" w:rsidTr="003560A8">
        <w:trPr>
          <w:trHeight w:val="207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Стерильная</w:t>
            </w:r>
          </w:p>
        </w:tc>
        <w:tc>
          <w:tcPr>
            <w:tcW w:w="1701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Состав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Двухпросветная магистраль с линией для аспирации крови и линией для подачи антикоагулянта</w:t>
            </w:r>
          </w:p>
        </w:tc>
        <w:tc>
          <w:tcPr>
            <w:tcW w:w="1701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 xml:space="preserve">Аспирационная линия магистрали 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с коннектором для соединения с входным портом кардиотомного  резервуара</w:t>
            </w:r>
          </w:p>
        </w:tc>
        <w:tc>
          <w:tcPr>
            <w:tcW w:w="1701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 xml:space="preserve">Линия подачи антикоагулянта 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с универсальной капельницей и пластиковой иглой</w:t>
            </w:r>
          </w:p>
        </w:tc>
        <w:tc>
          <w:tcPr>
            <w:tcW w:w="1701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 xml:space="preserve">Роликовый зажим 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на линии подачи антикоагулянта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 xml:space="preserve">Кардиотомный резервуар для сбора и предварительной фильтрации крови объемом   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 xml:space="preserve">≥ 3 800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миллилитр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Вакуумный порт с наружным диаметром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≥  0,25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дюйм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Первый входной порт с наружным диаметром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≥ 0,25</w:t>
            </w:r>
          </w:p>
        </w:tc>
        <w:tc>
          <w:tcPr>
            <w:tcW w:w="1701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дюйм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Второй входной порт с наружным диаметром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≥  0,375</w:t>
            </w:r>
          </w:p>
        </w:tc>
        <w:tc>
          <w:tcPr>
            <w:tcW w:w="1701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дюйм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Третий выходной порт с наружным диаметром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≥ 0,25</w:t>
            </w:r>
          </w:p>
        </w:tc>
        <w:tc>
          <w:tcPr>
            <w:tcW w:w="1701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дюйм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Многослойный фильтрующий элемент с промежуточным слоем с размером пор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≤ 40</w:t>
            </w:r>
          </w:p>
        </w:tc>
        <w:tc>
          <w:tcPr>
            <w:tcW w:w="1701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 мкм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Клапан самостоятельного сброса давления при разряжении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&gt;  250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 Мм. рт. ст.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Магистраль вакуумного насоса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 xml:space="preserve">Проточно-сепарационная камера типа Латам объёмом 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миллилитр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Подсоединённые к проточно-сепарационной камере маркированные цветом магистрали и мешок для реинфузии объёмом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≤ 1 000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миллилитр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3560A8" w:rsidRPr="003560A8" w:rsidTr="003560A8">
        <w:trPr>
          <w:trHeight w:val="20"/>
        </w:trPr>
        <w:tc>
          <w:tcPr>
            <w:tcW w:w="474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511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Мешок для слива контаминантов объёмом</w:t>
            </w:r>
          </w:p>
        </w:tc>
        <w:tc>
          <w:tcPr>
            <w:tcW w:w="2410" w:type="dxa"/>
            <w:shd w:val="clear" w:color="auto" w:fill="auto"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≤ 10 000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  <w:r w:rsidRPr="003560A8">
              <w:rPr>
                <w:color w:val="000000"/>
                <w:sz w:val="18"/>
                <w:szCs w:val="18"/>
              </w:rPr>
              <w:t>миллилитр</w:t>
            </w:r>
          </w:p>
        </w:tc>
        <w:tc>
          <w:tcPr>
            <w:tcW w:w="567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vMerge/>
          </w:tcPr>
          <w:p w:rsidR="003560A8" w:rsidRPr="003560A8" w:rsidRDefault="003560A8" w:rsidP="003560A8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</w:tbl>
    <w:p w:rsidR="00B54346" w:rsidRDefault="00B54346" w:rsidP="00F32846">
      <w:pPr>
        <w:pStyle w:val="ConsNonformat"/>
        <w:widowControl/>
        <w:ind w:right="-5"/>
        <w:jc w:val="center"/>
        <w:rPr>
          <w:sz w:val="22"/>
          <w:szCs w:val="22"/>
        </w:rPr>
      </w:pPr>
    </w:p>
    <w:p w:rsidR="005E2FE0" w:rsidRPr="005E2FE0" w:rsidRDefault="005E2FE0" w:rsidP="005E2FE0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5E2FE0">
        <w:rPr>
          <w:sz w:val="20"/>
          <w:szCs w:val="20"/>
        </w:rPr>
        <w:t>Требование к качеству товара, потребительским свойствам, безопасности, упаковке, отгрузке:</w:t>
      </w:r>
    </w:p>
    <w:p w:rsidR="005E2FE0" w:rsidRPr="005E2FE0" w:rsidRDefault="005E2FE0" w:rsidP="005E2FE0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5E2FE0">
        <w:rPr>
          <w:sz w:val="20"/>
          <w:szCs w:val="20"/>
        </w:rPr>
        <w:t xml:space="preserve">• Общие требования к товару, требования к его качеству, потребительским свойствам: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E2FE0" w:rsidRPr="005E2FE0" w:rsidRDefault="005E2FE0" w:rsidP="005E2FE0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5E2FE0">
        <w:rPr>
          <w:sz w:val="20"/>
          <w:szCs w:val="20"/>
        </w:rPr>
        <w:t>• Поставщик должен обеспечить упаковку Товара, способную предотвратить его повреждение или порчу во время перевозки к Месту доставки. Товар должен быть упакован в оригинальную, целостную упаковку производителя без повреждений. Упаковка Товара должна полностью обеспечивать условия транспортировки, предъявляемые к данному виду Товара, сохранность его качества, эффективность и безопасность, а также исключать возможность контаминации микроорганизмами и другими веществами. При поставке Поставщик предоставляет копии действующих документов качества на товар, в том числе копию регистрационного удостоверения на товар, выданного уполномоченным органом государственной власти.</w:t>
      </w:r>
    </w:p>
    <w:p w:rsidR="005E2FE0" w:rsidRPr="005E2FE0" w:rsidRDefault="005E2FE0" w:rsidP="005E2FE0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5E2FE0">
        <w:rPr>
          <w:sz w:val="20"/>
          <w:szCs w:val="20"/>
        </w:rPr>
        <w:t>• Требования к безопасности товара: в соответствии с действующими нормами и требованиями.</w:t>
      </w:r>
    </w:p>
    <w:p w:rsidR="005E2FE0" w:rsidRPr="005E2FE0" w:rsidRDefault="005E2FE0" w:rsidP="005E2FE0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5E2FE0">
        <w:rPr>
          <w:sz w:val="20"/>
          <w:szCs w:val="20"/>
        </w:rPr>
        <w:t>• Остаточный срок годности на момент поставки не менее 6 месяцев.</w:t>
      </w:r>
    </w:p>
    <w:p w:rsidR="005E2FE0" w:rsidRPr="005E2FE0" w:rsidRDefault="005E2FE0" w:rsidP="005E2FE0">
      <w:pPr>
        <w:autoSpaceDE w:val="0"/>
        <w:autoSpaceDN w:val="0"/>
        <w:adjustRightInd w:val="0"/>
        <w:outlineLvl w:val="1"/>
        <w:rPr>
          <w:sz w:val="20"/>
          <w:szCs w:val="20"/>
        </w:rPr>
      </w:pPr>
      <w:r w:rsidRPr="005E2FE0">
        <w:rPr>
          <w:sz w:val="20"/>
          <w:szCs w:val="20"/>
        </w:rPr>
        <w:t xml:space="preserve">• Срок поставки товара: с даты заключения Контракта </w:t>
      </w:r>
      <w:r w:rsidRPr="005E2FE0">
        <w:rPr>
          <w:b/>
          <w:sz w:val="20"/>
          <w:szCs w:val="20"/>
        </w:rPr>
        <w:t>в течение 2 рабочих дней</w:t>
      </w:r>
      <w:r w:rsidRPr="005E2FE0">
        <w:rPr>
          <w:sz w:val="20"/>
          <w:szCs w:val="20"/>
        </w:rPr>
        <w:t>.</w:t>
      </w:r>
    </w:p>
    <w:p w:rsidR="005E2FE0" w:rsidRPr="005E2FE0" w:rsidRDefault="005E2FE0" w:rsidP="005E2FE0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5E2FE0">
        <w:rPr>
          <w:sz w:val="20"/>
          <w:szCs w:val="20"/>
        </w:rPr>
        <w:t xml:space="preserve">• Поставка товара осуществляется Поставщиком с разгрузкой с транспортного средства по адресу: 363025, РСО-Алания, г. Беслан, ул. Фриева, 139а (аптека). </w:t>
      </w:r>
    </w:p>
    <w:p w:rsidR="005E2FE0" w:rsidRDefault="005E2FE0" w:rsidP="00F32846">
      <w:pPr>
        <w:pStyle w:val="ConsNonformat"/>
        <w:widowControl/>
        <w:ind w:right="-5"/>
        <w:jc w:val="center"/>
        <w:rPr>
          <w:sz w:val="22"/>
          <w:szCs w:val="22"/>
        </w:rPr>
      </w:pPr>
      <w:bookmarkStart w:id="1" w:name="_GoBack"/>
      <w:bookmarkEnd w:id="1"/>
    </w:p>
    <w:p w:rsidR="003560A8" w:rsidRDefault="003560A8" w:rsidP="00F32846">
      <w:pPr>
        <w:pStyle w:val="ConsNonformat"/>
        <w:widowControl/>
        <w:ind w:right="-5"/>
        <w:jc w:val="center"/>
        <w:rPr>
          <w:sz w:val="22"/>
          <w:szCs w:val="22"/>
        </w:rPr>
      </w:pPr>
    </w:p>
    <w:p w:rsidR="003560A8" w:rsidRDefault="003560A8" w:rsidP="00F32846">
      <w:pPr>
        <w:pStyle w:val="ConsNonformat"/>
        <w:widowControl/>
        <w:ind w:right="-5"/>
        <w:jc w:val="center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B54346" w:rsidRPr="00F92E84" w:rsidTr="001F395E">
        <w:trPr>
          <w:trHeight w:val="20"/>
          <w:jc w:val="center"/>
        </w:trPr>
        <w:tc>
          <w:tcPr>
            <w:tcW w:w="5255" w:type="dxa"/>
          </w:tcPr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B54346" w:rsidRPr="00F92E84" w:rsidRDefault="00B54346" w:rsidP="001F395E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</w:p>
          <w:p w:rsidR="00B54346" w:rsidRPr="00F92E84" w:rsidRDefault="00B54346" w:rsidP="001F395E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>
              <w:rPr>
                <w:sz w:val="22"/>
                <w:szCs w:val="22"/>
              </w:rPr>
              <w:t xml:space="preserve">/  </w:t>
            </w:r>
            <w:r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</w:p>
          <w:p w:rsidR="00B54346" w:rsidRPr="00F92E84" w:rsidRDefault="00B54346" w:rsidP="001F395E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B54346" w:rsidRPr="00F92E84" w:rsidRDefault="00B54346" w:rsidP="001F395E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B54346" w:rsidRPr="00F92E84" w:rsidRDefault="00B54346" w:rsidP="00F32846">
      <w:pPr>
        <w:pStyle w:val="ConsNonformat"/>
        <w:widowControl/>
        <w:ind w:right="-5"/>
        <w:jc w:val="center"/>
        <w:rPr>
          <w:sz w:val="22"/>
          <w:szCs w:val="22"/>
        </w:rPr>
      </w:pPr>
    </w:p>
    <w:sectPr w:rsidR="00B54346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5D" w:rsidRDefault="00B44E5D">
      <w:r>
        <w:separator/>
      </w:r>
    </w:p>
  </w:endnote>
  <w:endnote w:type="continuationSeparator" w:id="0">
    <w:p w:rsidR="00B44E5D" w:rsidRDefault="00B4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5D" w:rsidRDefault="00B44E5D">
      <w:r>
        <w:separator/>
      </w:r>
    </w:p>
  </w:footnote>
  <w:footnote w:type="continuationSeparator" w:id="0">
    <w:p w:rsidR="00B44E5D" w:rsidRDefault="00B4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87B1159"/>
    <w:multiLevelType w:val="multilevel"/>
    <w:tmpl w:val="7218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416E"/>
    <w:rsid w:val="0032569F"/>
    <w:rsid w:val="00332437"/>
    <w:rsid w:val="003354E9"/>
    <w:rsid w:val="00352417"/>
    <w:rsid w:val="003560A8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95D06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E2FE0"/>
    <w:rsid w:val="005F5ED8"/>
    <w:rsid w:val="00603839"/>
    <w:rsid w:val="00625A43"/>
    <w:rsid w:val="00654C6D"/>
    <w:rsid w:val="0068135B"/>
    <w:rsid w:val="006835A7"/>
    <w:rsid w:val="0069458A"/>
    <w:rsid w:val="00694DA9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54346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50805"/>
    <w:rsid w:val="00E53E2E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2846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66CCC-BB0A-4FBF-B9E8-2DEB2001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346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aliases w:val="Знак"/>
    <w:basedOn w:val="a"/>
    <w:link w:val="21"/>
    <w:rsid w:val="00B3314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aliases w:val="Знак Знак"/>
    <w:link w:val="20"/>
    <w:rsid w:val="00B3314E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2"/>
    <w:rsid w:val="00B3314E"/>
    <w:pPr>
      <w:numPr>
        <w:ilvl w:val="1"/>
        <w:numId w:val="6"/>
      </w:numPr>
      <w:spacing w:after="60"/>
    </w:pPr>
    <w:rPr>
      <w:szCs w:val="20"/>
    </w:rPr>
  </w:style>
  <w:style w:type="character" w:customStyle="1" w:styleId="22">
    <w:name w:val="Основной текст 2 Знак"/>
    <w:link w:val="2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0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1949</Words>
  <Characters>14343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16260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4</cp:revision>
  <cp:lastPrinted>2026-05-19T12:54:00Z</cp:lastPrinted>
  <dcterms:created xsi:type="dcterms:W3CDTF">2026-06-24T10:58:00Z</dcterms:created>
  <dcterms:modified xsi:type="dcterms:W3CDTF">2026-06-24T11:45:00Z</dcterms:modified>
</cp:coreProperties>
</file>