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(Восточный управленческий 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Алапаевск_______________</w:t>
      </w:r>
      <w:r>
        <w:rPr>
          <w:rFonts w:ascii="Times New Roman" w:hAnsi="Times New Roman"/>
          <w:sz w:val="25"/>
          <w:szCs w:val="25"/>
        </w:rPr>
        <w:t xml:space="preserve">, (или в радиусе10 км)</w:t>
      </w:r>
      <w:r>
        <w:rPr>
          <w:rStyle w:val="892"/>
          <w:rFonts w:ascii="Times New Roman" w:hAnsi="Times New Roman"/>
          <w:sz w:val="25"/>
          <w:szCs w:val="25"/>
        </w:rPr>
        <w:footnoteReference w:id="2"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не более 100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31"/>
          <w:rFonts w:ascii="Times New Roman" w:hAnsi="Times New Roman" w:eastAsia="Times New Roman" w:cs="Times New Roman"/>
          <w:color w:val="auto"/>
          <w:sz w:val="25"/>
          <w:szCs w:val="25"/>
        </w:rPr>
        <w:footnoteReference w:id="3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31"/>
          <w:rFonts w:eastAsia="Times New Roman" w:cs="Times New Roman"/>
          <w:sz w:val="25"/>
          <w:szCs w:val="25"/>
        </w:rPr>
        <w:footnoteReference w:id="4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94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 г. Алапаевск)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4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(Восточный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0" w:leader="none"/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5"/>
          <w:szCs w:val="25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Алапаевск_______________</w:t>
      </w:r>
      <w:r>
        <w:rPr>
          <w:rFonts w:ascii="Times New Roman" w:hAnsi="Times New Roman"/>
          <w:sz w:val="24"/>
          <w:szCs w:val="24"/>
        </w:rPr>
        <w:t xml:space="preserve">, (или в радиусе 10 км от г. Алапаевск)</w:t>
      </w:r>
      <w:r>
        <w:rPr>
          <w:rStyle w:val="892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5"/>
          <w:szCs w:val="25"/>
          <w14:ligatures w14:val="none"/>
        </w:rPr>
      </w:r>
    </w:p>
    <w:p>
      <w:pPr>
        <w:pStyle w:val="894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не более 100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94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71"/>
      </w:pPr>
      <w:r>
        <w:rPr>
          <w:rStyle w:val="892"/>
        </w:rPr>
        <w:footnoteRef/>
      </w:r>
      <w:r>
        <w:t xml:space="preserve"> Указывается при заключении Государственного контракта</w:t>
      </w:r>
      <w:r/>
    </w:p>
  </w:footnote>
  <w:footnote w:id="3">
    <w:p>
      <w:pPr>
        <w:pStyle w:val="971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4">
    <w:p>
      <w:pPr>
        <w:pStyle w:val="971"/>
        <w:spacing w:before="0" w:after="40"/>
        <w:rPr>
          <w:rFonts w:ascii="Times New Roman" w:hAnsi="Times New Roman" w:cs="Times New Roman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73"/>
        <w:spacing w:before="0" w:after="40"/>
        <w:rPr>
          <w:rFonts w:ascii="Times New Roman" w:hAnsi="Times New Roman" w:eastAsia="Times New Roman" w:cs="Times New Roman"/>
          <w:i/>
          <w:iCs/>
          <w14:ligatures w14:val="none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</w:t>
      </w:r>
      <w:r>
        <w:rPr>
          <w:rFonts w:ascii="Times New Roman" w:hAnsi="Times New Roman" w:eastAsia="Times New Roman" w:cs="Times New Roman"/>
          <w:i/>
          <w:iCs/>
        </w:rPr>
        <w:t xml:space="preserve">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</w:p>
  </w:footnote>
  <w:footnote w:id="6">
    <w:p>
      <w:pPr>
        <w:pStyle w:val="973"/>
        <w:spacing w:before="0" w:after="40"/>
        <w:rPr>
          <w:rFonts w:ascii="Times New Roman" w:hAnsi="Times New Roman" w:eastAsia="Times New Roman" w:cs="Times New Roman"/>
          <w:bCs/>
          <w:i/>
          <w14:ligatures w14:val="none"/>
        </w:rPr>
      </w:pPr>
      <w:r>
        <w:rPr>
          <w:rFonts w:ascii="Times New Roman" w:hAnsi="Times New Roman" w:eastAsia="Times New Roman" w:cs="Times New Roman"/>
          <w:i/>
          <w:iCs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Указывается при заключении Государственного контракта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bCs/>
          <w:i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character" w:styleId="892">
    <w:name w:val="footnote reference"/>
    <w:basedOn w:val="906"/>
    <w:uiPriority w:val="99"/>
    <w:unhideWhenUsed/>
    <w:rPr>
      <w:vertAlign w:val="superscript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95">
    <w:name w:val="Heading 1"/>
    <w:basedOn w:val="894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96">
    <w:name w:val="Heading 2"/>
    <w:basedOn w:val="894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97">
    <w:name w:val="Heading 3"/>
    <w:basedOn w:val="89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98">
    <w:name w:val="Heading 4"/>
    <w:basedOn w:val="894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99">
    <w:name w:val="Heading 5"/>
    <w:basedOn w:val="894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900">
    <w:name w:val="Heading 6"/>
    <w:basedOn w:val="894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901">
    <w:name w:val="Heading 7"/>
    <w:basedOn w:val="89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902">
    <w:name w:val="Heading 8"/>
    <w:basedOn w:val="89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903">
    <w:name w:val="Heading 9"/>
    <w:basedOn w:val="89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904">
    <w:name w:val="Footnote Text Char"/>
    <w:uiPriority w:val="99"/>
    <w:qFormat/>
    <w:rPr>
      <w:sz w:val="18"/>
    </w:rPr>
  </w:style>
  <w:style w:type="character" w:styleId="905">
    <w:name w:val="Endnote Text Char"/>
    <w:uiPriority w:val="99"/>
    <w:qFormat/>
    <w:rPr>
      <w:sz w:val="20"/>
    </w:rPr>
  </w:style>
  <w:style w:type="character" w:styleId="906" w:default="1">
    <w:name w:val="Default Paragraph Font"/>
    <w:uiPriority w:val="1"/>
    <w:semiHidden/>
    <w:unhideWhenUsed/>
    <w:qFormat/>
  </w:style>
  <w:style w:type="character" w:styleId="907" w:customStyle="1">
    <w:name w:val="Текст сноски Знак"/>
    <w:uiPriority w:val="99"/>
    <w:qFormat/>
    <w:rPr>
      <w:sz w:val="18"/>
    </w:rPr>
  </w:style>
  <w:style w:type="character" w:styleId="908" w:customStyle="1">
    <w:name w:val="Текст концевой сноски Знак"/>
    <w:uiPriority w:val="99"/>
    <w:qFormat/>
    <w:rPr>
      <w:sz w:val="20"/>
    </w:rPr>
  </w:style>
  <w:style w:type="character" w:styleId="909" w:customStyle="1">
    <w:name w:val="Обычный1"/>
    <w:qFormat/>
  </w:style>
  <w:style w:type="character" w:styleId="910" w:customStyle="1">
    <w:name w:val="Footnote"/>
    <w:basedOn w:val="909"/>
    <w:qFormat/>
    <w:rPr>
      <w:sz w:val="18"/>
    </w:rPr>
  </w:style>
  <w:style w:type="character" w:styleId="911" w:customStyle="1">
    <w:name w:val="Оглавление 2 Знак"/>
    <w:basedOn w:val="909"/>
    <w:qFormat/>
  </w:style>
  <w:style w:type="character" w:styleId="912" w:customStyle="1">
    <w:name w:val="Оглавление 4 Знак"/>
    <w:basedOn w:val="909"/>
    <w:qFormat/>
  </w:style>
  <w:style w:type="character" w:styleId="913" w:customStyle="1">
    <w:name w:val="Заголовок 7 Знак"/>
    <w:basedOn w:val="909"/>
    <w:qFormat/>
    <w:rPr>
      <w:rFonts w:ascii="Arial" w:hAnsi="Arial"/>
      <w:b/>
      <w:i/>
      <w:sz w:val="22"/>
    </w:rPr>
  </w:style>
  <w:style w:type="character" w:styleId="914" w:customStyle="1">
    <w:name w:val="Оглавление 6 Знак"/>
    <w:basedOn w:val="909"/>
    <w:qFormat/>
  </w:style>
  <w:style w:type="character" w:styleId="915" w:customStyle="1">
    <w:name w:val="Оглавление 7 Знак"/>
    <w:basedOn w:val="909"/>
    <w:qFormat/>
  </w:style>
  <w:style w:type="character" w:styleId="916" w:customStyle="1">
    <w:name w:val="Endnote"/>
    <w:basedOn w:val="909"/>
    <w:qFormat/>
    <w:rPr>
      <w:sz w:val="20"/>
    </w:rPr>
  </w:style>
  <w:style w:type="character" w:styleId="917" w:customStyle="1">
    <w:name w:val="Заголовок 3 Знак"/>
    <w:basedOn w:val="909"/>
    <w:qFormat/>
    <w:rPr>
      <w:rFonts w:ascii="Arial" w:hAnsi="Arial"/>
      <w:sz w:val="30"/>
    </w:rPr>
  </w:style>
  <w:style w:type="character" w:styleId="918" w:customStyle="1">
    <w:name w:val="Название объекта Знак"/>
    <w:basedOn w:val="909"/>
    <w:qFormat/>
    <w:rPr>
      <w:b/>
      <w:color w:val="4f81bd" w:themeColor="accent1"/>
      <w:sz w:val="18"/>
    </w:rPr>
  </w:style>
  <w:style w:type="character" w:styleId="919" w:customStyle="1">
    <w:name w:val="Heading 1 Char"/>
    <w:basedOn w:val="906"/>
    <w:qFormat/>
    <w:rPr>
      <w:rFonts w:ascii="Arial" w:hAnsi="Arial"/>
      <w:sz w:val="40"/>
    </w:rPr>
  </w:style>
  <w:style w:type="character" w:styleId="920" w:customStyle="1">
    <w:name w:val="Заголовок 9 Знак"/>
    <w:basedOn w:val="909"/>
    <w:qFormat/>
    <w:rPr>
      <w:rFonts w:ascii="Arial" w:hAnsi="Arial"/>
      <w:i/>
      <w:sz w:val="21"/>
    </w:rPr>
  </w:style>
  <w:style w:type="character" w:styleId="921" w:customStyle="1">
    <w:name w:val="Heading 3 Char"/>
    <w:basedOn w:val="906"/>
    <w:qFormat/>
    <w:rPr>
      <w:rFonts w:ascii="Arial" w:hAnsi="Arial"/>
      <w:sz w:val="30"/>
    </w:rPr>
  </w:style>
  <w:style w:type="character" w:styleId="922" w:customStyle="1">
    <w:name w:val="Верхний колонтитул Знак"/>
    <w:basedOn w:val="909"/>
    <w:qFormat/>
  </w:style>
  <w:style w:type="character" w:styleId="923" w:customStyle="1">
    <w:name w:val="Heading 9 Char"/>
    <w:basedOn w:val="906"/>
    <w:qFormat/>
    <w:rPr>
      <w:rFonts w:ascii="Arial" w:hAnsi="Arial"/>
      <w:i/>
      <w:sz w:val="21"/>
    </w:rPr>
  </w:style>
  <w:style w:type="character" w:styleId="924" w:customStyle="1">
    <w:name w:val="Intense Quote Char"/>
    <w:qFormat/>
    <w:rPr>
      <w:i/>
    </w:rPr>
  </w:style>
  <w:style w:type="character" w:styleId="925" w:customStyle="1">
    <w:name w:val="Heading 4 Char"/>
    <w:basedOn w:val="906"/>
    <w:qFormat/>
    <w:rPr>
      <w:rFonts w:ascii="Arial" w:hAnsi="Arial"/>
      <w:b/>
      <w:sz w:val="26"/>
    </w:rPr>
  </w:style>
  <w:style w:type="character" w:styleId="926" w:customStyle="1">
    <w:name w:val="Heading 8 Char"/>
    <w:basedOn w:val="906"/>
    <w:qFormat/>
    <w:rPr>
      <w:rFonts w:ascii="Arial" w:hAnsi="Arial"/>
      <w:i/>
      <w:sz w:val="22"/>
    </w:rPr>
  </w:style>
  <w:style w:type="character" w:styleId="927" w:customStyle="1">
    <w:name w:val="Heading 7 Char"/>
    <w:basedOn w:val="906"/>
    <w:qFormat/>
    <w:rPr>
      <w:rFonts w:ascii="Arial" w:hAnsi="Arial"/>
      <w:b/>
      <w:i/>
      <w:sz w:val="22"/>
    </w:rPr>
  </w:style>
  <w:style w:type="character" w:styleId="928" w:customStyle="1">
    <w:name w:val="Заголовок оглавления Знак"/>
    <w:qFormat/>
  </w:style>
  <w:style w:type="character" w:styleId="929" w:customStyle="1">
    <w:name w:val="Абзац списка Знак"/>
    <w:basedOn w:val="909"/>
    <w:qFormat/>
  </w:style>
  <w:style w:type="character" w:styleId="930">
    <w:name w:val="Символ сноски"/>
    <w:basedOn w:val="906"/>
    <w:qFormat/>
    <w:rPr>
      <w:vertAlign w:val="superscript"/>
    </w:rPr>
  </w:style>
  <w:style w:type="character" w:styleId="931">
    <w:name w:val="Привязка сноски"/>
    <w:rPr>
      <w:vertAlign w:val="superscript"/>
    </w:rPr>
  </w:style>
  <w:style w:type="character" w:styleId="932" w:customStyle="1">
    <w:name w:val="Heading 6 Char"/>
    <w:basedOn w:val="906"/>
    <w:qFormat/>
    <w:rPr>
      <w:rFonts w:ascii="Arial" w:hAnsi="Arial"/>
      <w:b/>
      <w:sz w:val="22"/>
    </w:rPr>
  </w:style>
  <w:style w:type="character" w:styleId="933" w:customStyle="1">
    <w:name w:val="Оглавление 3 Знак"/>
    <w:basedOn w:val="909"/>
    <w:qFormat/>
  </w:style>
  <w:style w:type="character" w:styleId="934" w:customStyle="1">
    <w:name w:val="Footer Char"/>
    <w:basedOn w:val="906"/>
    <w:qFormat/>
  </w:style>
  <w:style w:type="character" w:styleId="935">
    <w:name w:val="Символ концевой сноски"/>
    <w:basedOn w:val="906"/>
    <w:qFormat/>
    <w:rPr>
      <w:vertAlign w:val="superscript"/>
    </w:rPr>
  </w:style>
  <w:style w:type="character" w:styleId="936">
    <w:name w:val="Привязка концевой сноски"/>
    <w:rPr>
      <w:vertAlign w:val="superscript"/>
    </w:rPr>
  </w:style>
  <w:style w:type="character" w:styleId="937" w:customStyle="1">
    <w:name w:val="Subtitle Char"/>
    <w:basedOn w:val="906"/>
    <w:qFormat/>
    <w:rPr>
      <w:sz w:val="24"/>
    </w:rPr>
  </w:style>
  <w:style w:type="character" w:styleId="938" w:customStyle="1">
    <w:name w:val="Quote Char"/>
    <w:qFormat/>
    <w:rPr>
      <w:i/>
    </w:rPr>
  </w:style>
  <w:style w:type="character" w:styleId="939" w:customStyle="1">
    <w:name w:val="Heading 5 Char"/>
    <w:basedOn w:val="906"/>
    <w:qFormat/>
    <w:rPr>
      <w:rFonts w:ascii="Arial" w:hAnsi="Arial"/>
      <w:b/>
      <w:sz w:val="24"/>
    </w:rPr>
  </w:style>
  <w:style w:type="character" w:styleId="940" w:customStyle="1">
    <w:name w:val="Заголовок 5 Знак"/>
    <w:basedOn w:val="909"/>
    <w:qFormat/>
    <w:rPr>
      <w:rFonts w:ascii="Arial" w:hAnsi="Arial"/>
      <w:b/>
      <w:sz w:val="24"/>
    </w:rPr>
  </w:style>
  <w:style w:type="character" w:styleId="941" w:customStyle="1">
    <w:name w:val="Заголовок 1 Знак"/>
    <w:basedOn w:val="909"/>
    <w:qFormat/>
    <w:rPr>
      <w:rFonts w:ascii="Arial" w:hAnsi="Arial"/>
      <w:sz w:val="40"/>
    </w:rPr>
  </w:style>
  <w:style w:type="character" w:styleId="942" w:customStyle="1">
    <w:name w:val="Heading 2 Char"/>
    <w:basedOn w:val="906"/>
    <w:qFormat/>
    <w:rPr>
      <w:rFonts w:ascii="Arial" w:hAnsi="Arial"/>
      <w:sz w:val="34"/>
    </w:rPr>
  </w:style>
  <w:style w:type="character" w:styleId="943">
    <w:name w:val="Интернет-ссылка"/>
    <w:rPr>
      <w:color w:val="0000ff" w:themeColor="hyperlink"/>
      <w:u w:val="single"/>
    </w:rPr>
  </w:style>
  <w:style w:type="character" w:styleId="944" w:customStyle="1">
    <w:name w:val="Заголовок 8 Знак"/>
    <w:basedOn w:val="909"/>
    <w:qFormat/>
    <w:rPr>
      <w:rFonts w:ascii="Arial" w:hAnsi="Arial"/>
      <w:i/>
      <w:sz w:val="22"/>
    </w:rPr>
  </w:style>
  <w:style w:type="character" w:styleId="945" w:customStyle="1">
    <w:name w:val="Нижний колонтитул Знак"/>
    <w:basedOn w:val="909"/>
    <w:qFormat/>
  </w:style>
  <w:style w:type="character" w:styleId="946" w:customStyle="1">
    <w:name w:val="Оглавление 1 Знак"/>
    <w:basedOn w:val="909"/>
    <w:qFormat/>
  </w:style>
  <w:style w:type="character" w:styleId="947" w:customStyle="1">
    <w:name w:val="Header Char"/>
    <w:basedOn w:val="906"/>
    <w:qFormat/>
  </w:style>
  <w:style w:type="character" w:styleId="948" w:customStyle="1">
    <w:name w:val="Header and Footer"/>
    <w:qFormat/>
    <w:rPr>
      <w:rFonts w:ascii="XO Thames" w:hAnsi="XO Thames"/>
      <w:sz w:val="28"/>
    </w:rPr>
  </w:style>
  <w:style w:type="character" w:styleId="949" w:customStyle="1">
    <w:name w:val="Цитата 2 Знак"/>
    <w:basedOn w:val="909"/>
    <w:qFormat/>
    <w:rPr>
      <w:i/>
    </w:rPr>
  </w:style>
  <w:style w:type="character" w:styleId="950" w:customStyle="1">
    <w:name w:val="Оглавление 9 Знак"/>
    <w:basedOn w:val="909"/>
    <w:qFormat/>
  </w:style>
  <w:style w:type="character" w:styleId="951" w:customStyle="1">
    <w:name w:val="Выделенная цитата Знак"/>
    <w:basedOn w:val="909"/>
    <w:qFormat/>
    <w:rPr>
      <w:i/>
    </w:rPr>
  </w:style>
  <w:style w:type="character" w:styleId="952" w:customStyle="1">
    <w:name w:val="Оглавление 8 Знак"/>
    <w:basedOn w:val="909"/>
    <w:qFormat/>
  </w:style>
  <w:style w:type="character" w:styleId="953" w:customStyle="1">
    <w:name w:val="Текст выноски Знак"/>
    <w:basedOn w:val="909"/>
    <w:qFormat/>
    <w:rPr>
      <w:rFonts w:ascii="Tahoma" w:hAnsi="Tahoma"/>
      <w:sz w:val="16"/>
    </w:rPr>
  </w:style>
  <w:style w:type="character" w:styleId="954" w:customStyle="1">
    <w:name w:val="Без интервала Знак"/>
    <w:qFormat/>
  </w:style>
  <w:style w:type="character" w:styleId="955" w:customStyle="1">
    <w:name w:val="Оглавление 5 Знак"/>
    <w:basedOn w:val="909"/>
    <w:qFormat/>
  </w:style>
  <w:style w:type="character" w:styleId="956" w:customStyle="1">
    <w:name w:val="Title Char"/>
    <w:basedOn w:val="906"/>
    <w:qFormat/>
    <w:rPr>
      <w:sz w:val="48"/>
    </w:rPr>
  </w:style>
  <w:style w:type="character" w:styleId="957" w:customStyle="1">
    <w:name w:val="Перечень рисунков Знак"/>
    <w:basedOn w:val="909"/>
    <w:qFormat/>
  </w:style>
  <w:style w:type="character" w:styleId="958" w:customStyle="1">
    <w:name w:val="Подзаголовок Знак"/>
    <w:basedOn w:val="909"/>
    <w:qFormat/>
    <w:rPr>
      <w:sz w:val="24"/>
    </w:rPr>
  </w:style>
  <w:style w:type="character" w:styleId="959" w:customStyle="1">
    <w:name w:val="Название Знак"/>
    <w:basedOn w:val="909"/>
    <w:qFormat/>
    <w:rPr>
      <w:sz w:val="48"/>
    </w:rPr>
  </w:style>
  <w:style w:type="character" w:styleId="960" w:customStyle="1">
    <w:name w:val="Заголовок 4 Знак"/>
    <w:basedOn w:val="909"/>
    <w:qFormat/>
    <w:rPr>
      <w:rFonts w:ascii="Arial" w:hAnsi="Arial"/>
      <w:b/>
      <w:sz w:val="26"/>
    </w:rPr>
  </w:style>
  <w:style w:type="character" w:styleId="961" w:customStyle="1">
    <w:name w:val="Caption Char"/>
    <w:basedOn w:val="918"/>
    <w:qFormat/>
    <w:rPr>
      <w:b/>
      <w:color w:val="4f81bd" w:themeColor="accent1"/>
      <w:sz w:val="18"/>
    </w:rPr>
  </w:style>
  <w:style w:type="character" w:styleId="962" w:customStyle="1">
    <w:name w:val="Заголовок 2 Знак"/>
    <w:basedOn w:val="909"/>
    <w:qFormat/>
    <w:rPr>
      <w:rFonts w:ascii="Arial" w:hAnsi="Arial"/>
      <w:sz w:val="34"/>
    </w:rPr>
  </w:style>
  <w:style w:type="character" w:styleId="963" w:customStyle="1">
    <w:name w:val="Заголовок 6 Знак"/>
    <w:basedOn w:val="909"/>
    <w:qFormat/>
    <w:rPr>
      <w:rFonts w:ascii="Arial" w:hAnsi="Arial"/>
      <w:b/>
      <w:sz w:val="22"/>
    </w:rPr>
  </w:style>
  <w:style w:type="character" w:styleId="964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65" w:customStyle="1">
    <w:name w:val="Гиперссылка"/>
    <w:basedOn w:val="941"/>
    <w:uiPriority w:val="99"/>
    <w:qFormat/>
    <w:rPr>
      <w:color w:val="0000ff"/>
      <w:u w:val="single"/>
    </w:rPr>
  </w:style>
  <w:style w:type="paragraph" w:styleId="966">
    <w:name w:val="Заголовок"/>
    <w:basedOn w:val="894"/>
    <w:next w:val="96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67" w:customStyle="1">
    <w:name w:val="Body Text"/>
    <w:basedOn w:val="1003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68">
    <w:name w:val="List"/>
    <w:basedOn w:val="967"/>
    <w:rPr>
      <w:rFonts w:cs="Droid Sans Devanagari"/>
    </w:rPr>
  </w:style>
  <w:style w:type="paragraph" w:styleId="969">
    <w:name w:val="Caption"/>
    <w:basedOn w:val="894"/>
    <w:link w:val="961"/>
    <w:qFormat/>
    <w:rPr>
      <w:b/>
      <w:color w:val="4f81bd" w:themeColor="accent1"/>
      <w:sz w:val="18"/>
    </w:rPr>
  </w:style>
  <w:style w:type="paragraph" w:styleId="970">
    <w:name w:val="Указатель"/>
    <w:basedOn w:val="894"/>
    <w:qFormat/>
    <w:pPr>
      <w:suppressLineNumbers/>
    </w:pPr>
    <w:rPr>
      <w:rFonts w:cs="Droid Sans Devanagari"/>
    </w:rPr>
  </w:style>
  <w:style w:type="paragraph" w:styleId="971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72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73" w:customStyle="1">
    <w:name w:val="Footnote"/>
    <w:basedOn w:val="894"/>
    <w:qFormat/>
    <w:pPr>
      <w:spacing w:before="0" w:after="40" w:line="240" w:lineRule="auto"/>
    </w:pPr>
    <w:rPr>
      <w:sz w:val="18"/>
    </w:rPr>
  </w:style>
  <w:style w:type="paragraph" w:styleId="974">
    <w:name w:val="toc 2"/>
    <w:basedOn w:val="894"/>
    <w:uiPriority w:val="39"/>
    <w:pPr>
      <w:ind w:left="283" w:firstLine="0"/>
      <w:spacing w:before="0" w:after="57"/>
    </w:pPr>
  </w:style>
  <w:style w:type="paragraph" w:styleId="975">
    <w:name w:val="toc 4"/>
    <w:basedOn w:val="894"/>
    <w:uiPriority w:val="39"/>
    <w:pPr>
      <w:ind w:left="850" w:firstLine="0"/>
      <w:spacing w:before="0" w:after="57"/>
    </w:pPr>
  </w:style>
  <w:style w:type="paragraph" w:styleId="976">
    <w:name w:val="toc 6"/>
    <w:basedOn w:val="894"/>
    <w:uiPriority w:val="39"/>
    <w:pPr>
      <w:ind w:left="1417" w:firstLine="0"/>
      <w:spacing w:before="0" w:after="57"/>
    </w:pPr>
  </w:style>
  <w:style w:type="paragraph" w:styleId="977">
    <w:name w:val="toc 7"/>
    <w:basedOn w:val="894"/>
    <w:uiPriority w:val="39"/>
    <w:pPr>
      <w:ind w:left="1701" w:firstLine="0"/>
      <w:spacing w:before="0" w:after="57"/>
    </w:pPr>
  </w:style>
  <w:style w:type="paragraph" w:styleId="978" w:customStyle="1">
    <w:name w:val="Endnote"/>
    <w:basedOn w:val="894"/>
    <w:qFormat/>
    <w:pPr>
      <w:spacing w:before="0" w:after="0" w:line="240" w:lineRule="auto"/>
    </w:pPr>
    <w:rPr>
      <w:sz w:val="20"/>
    </w:rPr>
  </w:style>
  <w:style w:type="paragraph" w:styleId="979" w:customStyle="1">
    <w:name w:val="Heading 1 Char"/>
    <w:basedOn w:val="1007"/>
    <w:qFormat/>
    <w:rPr>
      <w:rFonts w:ascii="Arial" w:hAnsi="Arial"/>
      <w:sz w:val="40"/>
    </w:rPr>
  </w:style>
  <w:style w:type="paragraph" w:styleId="980" w:customStyle="1">
    <w:name w:val="Heading 3 Char"/>
    <w:basedOn w:val="1007"/>
    <w:qFormat/>
    <w:rPr>
      <w:rFonts w:ascii="Arial" w:hAnsi="Arial"/>
      <w:sz w:val="30"/>
    </w:rPr>
  </w:style>
  <w:style w:type="paragraph" w:styleId="981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82">
    <w:name w:val="Head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83" w:customStyle="1">
    <w:name w:val="Heading 9 Char"/>
    <w:basedOn w:val="1007"/>
    <w:qFormat/>
    <w:rPr>
      <w:rFonts w:ascii="Arial" w:hAnsi="Arial"/>
      <w:i/>
      <w:sz w:val="21"/>
    </w:rPr>
  </w:style>
  <w:style w:type="paragraph" w:styleId="984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85" w:customStyle="1">
    <w:name w:val="Heading 4 Char"/>
    <w:basedOn w:val="1007"/>
    <w:qFormat/>
    <w:rPr>
      <w:rFonts w:ascii="Arial" w:hAnsi="Arial"/>
      <w:b/>
      <w:sz w:val="26"/>
    </w:rPr>
  </w:style>
  <w:style w:type="paragraph" w:styleId="986" w:customStyle="1">
    <w:name w:val="Heading 8 Char"/>
    <w:basedOn w:val="1007"/>
    <w:qFormat/>
    <w:rPr>
      <w:rFonts w:ascii="Arial" w:hAnsi="Arial"/>
      <w:i/>
    </w:rPr>
  </w:style>
  <w:style w:type="paragraph" w:styleId="987" w:customStyle="1">
    <w:name w:val="Heading 7 Char"/>
    <w:basedOn w:val="1007"/>
    <w:qFormat/>
    <w:rPr>
      <w:rFonts w:ascii="Arial" w:hAnsi="Arial"/>
      <w:b/>
      <w:i/>
    </w:rPr>
  </w:style>
  <w:style w:type="paragraph" w:styleId="988">
    <w:name w:val="Index Heading"/>
    <w:basedOn w:val="966"/>
  </w:style>
  <w:style w:type="paragraph" w:styleId="989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90">
    <w:name w:val="List Paragraph"/>
    <w:basedOn w:val="894"/>
    <w:qFormat/>
    <w:pPr>
      <w:contextualSpacing/>
      <w:ind w:left="720" w:firstLine="0"/>
      <w:spacing w:before="0" w:after="200"/>
    </w:pPr>
  </w:style>
  <w:style w:type="paragraph" w:styleId="991" w:customStyle="1">
    <w:name w:val="Знак сноски1"/>
    <w:basedOn w:val="1007"/>
    <w:qFormat/>
    <w:rPr>
      <w:vertAlign w:val="superscript"/>
    </w:rPr>
  </w:style>
  <w:style w:type="paragraph" w:styleId="992" w:customStyle="1">
    <w:name w:val="Heading 6 Char"/>
    <w:basedOn w:val="1007"/>
    <w:qFormat/>
    <w:rPr>
      <w:rFonts w:ascii="Arial" w:hAnsi="Arial"/>
      <w:b/>
    </w:rPr>
  </w:style>
  <w:style w:type="paragraph" w:styleId="993">
    <w:name w:val="toc 3"/>
    <w:basedOn w:val="894"/>
    <w:uiPriority w:val="39"/>
    <w:pPr>
      <w:ind w:left="567" w:firstLine="0"/>
      <w:spacing w:before="0" w:after="57"/>
    </w:pPr>
  </w:style>
  <w:style w:type="paragraph" w:styleId="994" w:customStyle="1">
    <w:name w:val="Footer Char"/>
    <w:basedOn w:val="1007"/>
    <w:qFormat/>
  </w:style>
  <w:style w:type="paragraph" w:styleId="995" w:customStyle="1">
    <w:name w:val="Знак концевой сноски1"/>
    <w:basedOn w:val="1007"/>
    <w:qFormat/>
    <w:rPr>
      <w:vertAlign w:val="superscript"/>
    </w:rPr>
  </w:style>
  <w:style w:type="paragraph" w:styleId="996" w:customStyle="1">
    <w:name w:val="Subtitle Char"/>
    <w:basedOn w:val="1007"/>
    <w:qFormat/>
    <w:rPr>
      <w:sz w:val="24"/>
    </w:rPr>
  </w:style>
  <w:style w:type="paragraph" w:styleId="997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98" w:customStyle="1">
    <w:name w:val="Heading 5 Char"/>
    <w:basedOn w:val="1007"/>
    <w:qFormat/>
    <w:rPr>
      <w:rFonts w:ascii="Arial" w:hAnsi="Arial"/>
      <w:b/>
      <w:sz w:val="24"/>
    </w:rPr>
  </w:style>
  <w:style w:type="paragraph" w:styleId="999" w:customStyle="1">
    <w:name w:val="Heading 2 Char"/>
    <w:basedOn w:val="1007"/>
    <w:qFormat/>
    <w:rPr>
      <w:rFonts w:ascii="Arial" w:hAnsi="Arial"/>
      <w:sz w:val="34"/>
    </w:rPr>
  </w:style>
  <w:style w:type="paragraph" w:styleId="1000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1001">
    <w:name w:val="Foot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02">
    <w:name w:val="toc 1"/>
    <w:basedOn w:val="894"/>
    <w:uiPriority w:val="39"/>
    <w:pPr>
      <w:spacing w:before="0" w:after="57"/>
    </w:pPr>
  </w:style>
  <w:style w:type="paragraph" w:styleId="1003" w:customStyle="1">
    <w:name w:val="Header Char"/>
    <w:basedOn w:val="1007"/>
    <w:qFormat/>
  </w:style>
  <w:style w:type="paragraph" w:styleId="1004">
    <w:name w:val="Quote"/>
    <w:basedOn w:val="894"/>
    <w:qFormat/>
    <w:pPr>
      <w:ind w:left="720" w:right="720" w:firstLine="0"/>
    </w:pPr>
    <w:rPr>
      <w:i/>
    </w:rPr>
  </w:style>
  <w:style w:type="paragraph" w:styleId="1005">
    <w:name w:val="toc 9"/>
    <w:basedOn w:val="894"/>
    <w:uiPriority w:val="39"/>
    <w:pPr>
      <w:ind w:left="2268" w:firstLine="0"/>
      <w:spacing w:before="0" w:after="57"/>
    </w:pPr>
  </w:style>
  <w:style w:type="paragraph" w:styleId="1006">
    <w:name w:val="Intense Quote"/>
    <w:basedOn w:val="894"/>
    <w:qFormat/>
    <w:pPr>
      <w:ind w:left="720" w:right="720" w:firstLine="0"/>
    </w:pPr>
    <w:rPr>
      <w:i/>
    </w:rPr>
  </w:style>
  <w:style w:type="paragraph" w:styleId="1007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08">
    <w:name w:val="toc 8"/>
    <w:basedOn w:val="894"/>
    <w:uiPriority w:val="39"/>
    <w:pPr>
      <w:ind w:left="1984" w:firstLine="0"/>
      <w:spacing w:before="0" w:after="57"/>
    </w:pPr>
  </w:style>
  <w:style w:type="paragraph" w:styleId="1009">
    <w:name w:val="Balloon Text"/>
    <w:basedOn w:val="894"/>
    <w:qFormat/>
    <w:pPr>
      <w:spacing w:before="0" w:after="0" w:line="240" w:lineRule="auto"/>
    </w:pPr>
    <w:rPr>
      <w:rFonts w:ascii="Tahoma" w:hAnsi="Tahoma"/>
      <w:sz w:val="16"/>
    </w:rPr>
  </w:style>
  <w:style w:type="paragraph" w:styleId="1010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11">
    <w:name w:val="toc 5"/>
    <w:basedOn w:val="894"/>
    <w:uiPriority w:val="39"/>
    <w:pPr>
      <w:ind w:left="1134" w:firstLine="0"/>
      <w:spacing w:before="0" w:after="57"/>
    </w:pPr>
  </w:style>
  <w:style w:type="paragraph" w:styleId="1012" w:customStyle="1">
    <w:name w:val="Title Char"/>
    <w:basedOn w:val="1007"/>
    <w:qFormat/>
    <w:rPr>
      <w:sz w:val="48"/>
    </w:rPr>
  </w:style>
  <w:style w:type="paragraph" w:styleId="1013">
    <w:name w:val="table of figures"/>
    <w:basedOn w:val="894"/>
    <w:qFormat/>
    <w:pPr>
      <w:spacing w:before="0" w:after="0"/>
    </w:pPr>
  </w:style>
  <w:style w:type="paragraph" w:styleId="1014">
    <w:name w:val="Subtitle"/>
    <w:basedOn w:val="894"/>
    <w:uiPriority w:val="11"/>
    <w:qFormat/>
    <w:pPr>
      <w:spacing w:before="200" w:after="200"/>
    </w:pPr>
    <w:rPr>
      <w:sz w:val="24"/>
    </w:rPr>
  </w:style>
  <w:style w:type="paragraph" w:styleId="1015">
    <w:name w:val="Title"/>
    <w:basedOn w:val="894"/>
    <w:uiPriority w:val="10"/>
    <w:qFormat/>
    <w:pPr>
      <w:contextualSpacing/>
      <w:spacing w:before="300" w:after="200"/>
    </w:pPr>
    <w:rPr>
      <w:sz w:val="48"/>
    </w:rPr>
  </w:style>
  <w:style w:type="paragraph" w:styleId="1016" w:customStyle="1">
    <w:name w:val="Caption Char"/>
    <w:basedOn w:val="969"/>
    <w:qFormat/>
  </w:style>
  <w:style w:type="paragraph" w:styleId="1017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1018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1019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0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1003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1" w:customStyle="1">
    <w:name w:val="Основное меню (преемственное)"/>
    <w:basedOn w:val="1003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1022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3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24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25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26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2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28" w:default="1">
    <w:name w:val="No List"/>
    <w:uiPriority w:val="99"/>
    <w:semiHidden/>
    <w:unhideWhenUsed/>
    <w:qFormat/>
  </w:style>
  <w:style w:type="table" w:styleId="1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24</cp:revision>
  <dcterms:created xsi:type="dcterms:W3CDTF">2025-04-26T18:16:00Z</dcterms:created>
  <dcterms:modified xsi:type="dcterms:W3CDTF">2026-05-24T06:52:57Z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