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afterAutospacing="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sz w:val="22"/>
          <w:szCs w:val="22"/>
          <w:highlight w:val="none"/>
        </w:rPr>
        <w:t xml:space="preserve">Приложение №1 </w:t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jc w:val="right"/>
        <w:spacing w:after="0" w:afterAutospacing="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sz w:val="22"/>
          <w:szCs w:val="22"/>
          <w:highlight w:val="none"/>
        </w:rPr>
        <w:t xml:space="preserve">к государственному контракту</w:t>
      </w:r>
      <w:r>
        <w:rPr>
          <w:rFonts w:ascii="Times New Roman" w:hAnsi="Times New Roman"/>
          <w:b/>
          <w:sz w:val="22"/>
          <w:szCs w:val="22"/>
          <w:highlight w:val="none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sz w:val="22"/>
          <w:szCs w:val="22"/>
          <w:highlight w:val="none"/>
        </w:rPr>
        <w:t xml:space="preserve">№ ______________ </w:t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jc w:val="right"/>
        <w:spacing w:after="0" w:afterAutospacing="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sz w:val="22"/>
          <w:szCs w:val="22"/>
          <w:highlight w:val="none"/>
        </w:rPr>
        <w:t xml:space="preserve">от  </w:t>
      </w:r>
      <w:r>
        <w:rPr>
          <w:caps/>
          <w:sz w:val="24"/>
          <w:szCs w:val="24"/>
        </w:rPr>
        <w:t xml:space="preserve">«___</w:t>
      </w:r>
      <w:r>
        <w:rPr>
          <w:caps/>
          <w:sz w:val="24"/>
          <w:szCs w:val="24"/>
        </w:rPr>
        <w:t xml:space="preserve">» _____</w:t>
      </w:r>
      <w:r>
        <w:rPr>
          <w:caps/>
          <w:sz w:val="24"/>
          <w:szCs w:val="24"/>
        </w:rPr>
        <w:t xml:space="preserve">______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b/>
          <w:sz w:val="22"/>
          <w:szCs w:val="22"/>
          <w:highlight w:val="none"/>
        </w:rPr>
        <w:t xml:space="preserve">2026г</w:t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  <w:r/>
    </w:p>
    <w:p>
      <w:pPr>
        <w:jc w:val="right"/>
        <w:spacing w:after="0" w:afterAutospacing="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</w:rPr>
      </w:r>
      <w:r>
        <w:rPr>
          <w:rFonts w:ascii="Times New Roman" w:hAnsi="Times New Roman"/>
          <w:b/>
          <w:bCs/>
          <w:sz w:val="22"/>
          <w:szCs w:val="22"/>
        </w:rPr>
      </w:r>
    </w:p>
    <w:p>
      <w:pPr>
        <w:jc w:val="center"/>
        <w:spacing w:after="0" w:afterAutospacing="0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jc w:val="center"/>
        <w:spacing w:after="0" w:afterAutospacing="0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ТЕХНИЧЕСКОЕ ЗАДАНИЕ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jc w:val="left"/>
        <w:spacing w:after="0" w:afterAutospacing="0" w:line="264" w:lineRule="auto"/>
        <w:tabs>
          <w:tab w:val="right" w:pos="10148" w:leader="none"/>
        </w:tabs>
        <w:rPr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</w:t>
      </w:r>
      <w:r>
        <w:rPr>
          <w:b/>
          <w:sz w:val="24"/>
          <w:szCs w:val="18"/>
        </w:rPr>
        <w:t xml:space="preserve">на поставку и установку кондиционера </w:t>
      </w:r>
      <w:r>
        <w:rPr>
          <w:b/>
          <w:sz w:val="24"/>
          <w:szCs w:val="18"/>
        </w:rPr>
        <w:t xml:space="preserve">(сплит-системы)</w:t>
      </w:r>
      <w:r>
        <w:rPr>
          <w:b/>
          <w:sz w:val="24"/>
          <w:szCs w:val="18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left"/>
        <w:spacing w:after="0" w:afterAutospacing="0" w:line="264" w:lineRule="auto"/>
        <w:tabs>
          <w:tab w:val="right" w:pos="10148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b/>
          <w:sz w:val="24"/>
          <w:szCs w:val="18"/>
        </w:rPr>
        <w:t xml:space="preserve">                                                     </w:t>
      </w:r>
      <w:r/>
    </w:p>
    <w:p>
      <w:pPr>
        <w:jc w:val="left"/>
        <w:spacing w:after="0" w:afterAutospacing="0" w:line="264" w:lineRule="auto"/>
        <w:tabs>
          <w:tab w:val="right" w:pos="10148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jc w:val="left"/>
        <w:spacing w:after="0" w:afterAutospacing="0" w:line="264" w:lineRule="auto"/>
        <w:tabs>
          <w:tab w:val="right" w:pos="10148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дмет контракта:</w:t>
      </w:r>
      <w:r>
        <w:rPr>
          <w:rFonts w:ascii="Times New Roman" w:hAnsi="Times New Roman" w:cs="Times New Roman"/>
          <w:sz w:val="24"/>
          <w:szCs w:val="24"/>
        </w:rPr>
        <w:t xml:space="preserve"> поставка и установка </w:t>
      </w:r>
      <w:r>
        <w:rPr>
          <w:rFonts w:ascii="Times New Roman" w:hAnsi="Times New Roman" w:cs="Times New Roman"/>
          <w:sz w:val="24"/>
          <w:szCs w:val="24"/>
        </w:rPr>
        <w:t xml:space="preserve">кондиционера </w:t>
      </w:r>
      <w:r>
        <w:rPr>
          <w:rFonts w:ascii="Times New Roman" w:hAnsi="Times New Roman" w:cs="Times New Roman"/>
          <w:sz w:val="24"/>
          <w:szCs w:val="24"/>
        </w:rPr>
        <w:t xml:space="preserve">(сплит-системы; далее - Товар)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left"/>
        <w:spacing w:after="0" w:afterAutospacing="0" w:line="264" w:lineRule="auto"/>
        <w:tabs>
          <w:tab w:val="right" w:pos="10148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left"/>
        <w:spacing w:after="0" w:afterAutospacing="0" w:line="264" w:lineRule="auto"/>
        <w:tabs>
          <w:tab w:val="right" w:pos="10148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Срок поставки: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поставка и установка Товара должна быть осуществлена  в течение</w:t>
      </w:r>
      <w:r>
        <w:rPr>
          <w:rFonts w:ascii="Times New Roman" w:hAnsi="Times New Roman" w:cs="Times New Roman"/>
          <w:sz w:val="24"/>
          <w:szCs w:val="24"/>
        </w:rPr>
        <w:t xml:space="preserve"> 14 </w:t>
      </w:r>
      <w:r>
        <w:rPr>
          <w:rFonts w:ascii="Times New Roman" w:hAnsi="Times New Roman" w:cs="Times New Roman"/>
          <w:sz w:val="24"/>
          <w:szCs w:val="24"/>
        </w:rPr>
        <w:t xml:space="preserve">(Четырнадцати) рабочих</w:t>
      </w:r>
      <w:r>
        <w:rPr>
          <w:rFonts w:ascii="Times New Roman" w:hAnsi="Times New Roman" w:cs="Times New Roman"/>
          <w:sz w:val="24"/>
          <w:szCs w:val="24"/>
        </w:rPr>
        <w:t xml:space="preserve"> дней с даты </w:t>
      </w:r>
      <w:r>
        <w:rPr>
          <w:rFonts w:ascii="Times New Roman" w:hAnsi="Times New Roman" w:cs="Times New Roman"/>
          <w:sz w:val="24"/>
          <w:szCs w:val="24"/>
        </w:rPr>
        <w:t xml:space="preserve">подписания контракта, но </w:t>
      </w:r>
      <w:r>
        <w:rPr>
          <w:rFonts w:ascii="Times New Roman" w:hAnsi="Times New Roman" w:cs="Times New Roman"/>
          <w:sz w:val="24"/>
          <w:szCs w:val="24"/>
        </w:rPr>
        <w:t xml:space="preserve">не позднее 15 сентября</w:t>
      </w:r>
      <w:r>
        <w:rPr>
          <w:rFonts w:ascii="Times New Roman" w:hAnsi="Times New Roman" w:cs="Times New Roman"/>
          <w:sz w:val="24"/>
          <w:szCs w:val="24"/>
        </w:rPr>
        <w:t xml:space="preserve"> 2026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left"/>
        <w:spacing w:after="0" w:afterAutospacing="0" w:line="264" w:lineRule="auto"/>
        <w:tabs>
          <w:tab w:val="right" w:pos="1014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left"/>
        <w:spacing w:after="0" w:afterAutospacing="0" w:line="264" w:lineRule="auto"/>
        <w:tabs>
          <w:tab w:val="right" w:pos="1014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Место оказания Товара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г.Пермь ул.Куйбышева д.6.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left"/>
        <w:spacing w:after="0" w:afterAutospacing="0" w:line="264" w:lineRule="auto"/>
        <w:tabs>
          <w:tab w:val="right" w:pos="1014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доставки кондиционера (сплит-системы) по месту нахождения Заказчика, Поставщик обязуется собрать и установить его, вывезти весь упаковочный материал.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left"/>
        <w:spacing w:after="0" w:afterAutospacing="0" w:line="264" w:lineRule="auto"/>
        <w:tabs>
          <w:tab w:val="right" w:pos="10148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left"/>
        <w:spacing w:after="0" w:afterAutospacing="0" w:line="264" w:lineRule="auto"/>
        <w:tabs>
          <w:tab w:val="right" w:pos="1014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Приобретение нового кондиционера, его транспортировка</w:t>
      </w:r>
      <w:r>
        <w:rPr>
          <w:rFonts w:ascii="Times New Roman" w:hAnsi="Times New Roman" w:cs="Times New Roman"/>
          <w:sz w:val="24"/>
          <w:szCs w:val="24"/>
        </w:rPr>
        <w:t xml:space="preserve">, погрузочно-разгрузочные работы, демонтаж старого кондиционера и монтаж нового осуществляется силами, персоналом и за счет средств Поставщика в соответствии с графиком работы Заказчика: с 9-00 до 18-00 часов (понедельник-четверг), с 9-00 до 16-45 часов (пятница), обед с 13-00</w:t>
      </w:r>
      <w:r>
        <w:rPr>
          <w:rFonts w:ascii="Times New Roman" w:hAnsi="Times New Roman" w:cs="Times New Roman"/>
          <w:sz w:val="24"/>
          <w:szCs w:val="24"/>
        </w:rPr>
        <w:t xml:space="preserve"> до 13-45ч. </w:t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left"/>
        <w:spacing w:after="0" w:afterAutospacing="0" w:line="264" w:lineRule="auto"/>
        <w:tabs>
          <w:tab w:val="right" w:pos="10148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left"/>
        <w:spacing w:after="0" w:afterAutospacing="0" w:line="264" w:lineRule="auto"/>
        <w:tabs>
          <w:tab w:val="right" w:pos="10148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Обязательным условием является соблюдение правил действующего внутреннего распорядка, пропускного режима, внутренних положений и инструкций Заказчика.</w:t>
      </w:r>
      <w:r/>
      <w:r/>
    </w:p>
    <w:p>
      <w:pPr>
        <w:jc w:val="left"/>
        <w:spacing w:after="0" w:afterAutospacing="0" w:line="243" w:lineRule="exact"/>
        <w:tabs>
          <w:tab w:val="right" w:pos="10148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left"/>
        <w:spacing w:after="0" w:afterAutospacing="0" w:line="243" w:lineRule="exact"/>
        <w:tabs>
          <w:tab w:val="right" w:pos="10148" w:leader="none"/>
        </w:tabs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4. Наименование, характеристики и количество поставляемого Товара: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jc w:val="left"/>
        <w:spacing w:after="0" w:afterAutospacing="0" w:line="243" w:lineRule="exact"/>
        <w:tabs>
          <w:tab w:val="right" w:pos="10148" w:leader="none"/>
        </w:tabs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tbl>
      <w:tblPr>
        <w:tblStyle w:val="702"/>
        <w:tblW w:w="0" w:type="auto"/>
        <w:tblLayout w:type="fixed"/>
        <w:tblLook w:val="04A0" w:firstRow="1" w:lastRow="0" w:firstColumn="1" w:lastColumn="0" w:noHBand="0" w:noVBand="1"/>
      </w:tblPr>
      <w:tblGrid>
        <w:gridCol w:w="680"/>
        <w:gridCol w:w="7795"/>
        <w:gridCol w:w="709"/>
        <w:gridCol w:w="850"/>
      </w:tblGrid>
      <w:tr>
        <w:tblPrEx/>
        <w:trPr/>
        <w:tc>
          <w:tcPr>
            <w:tcW w:w="680" w:type="dxa"/>
            <w:textDirection w:val="lrTb"/>
            <w:noWrap w:val="false"/>
          </w:tcPr>
          <w:p>
            <w:pPr>
              <w:jc w:val="left"/>
              <w:spacing w:after="0" w:afterAutospacing="0" w:line="243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</w:rPr>
              <w:t xml:space="preserve">№ п\п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</w:p>
        </w:tc>
        <w:tc>
          <w:tcPr>
            <w:tcW w:w="7795" w:type="dxa"/>
            <w:textDirection w:val="lrTb"/>
            <w:noWrap w:val="false"/>
          </w:tcPr>
          <w:p>
            <w:pPr>
              <w:jc w:val="center"/>
              <w:spacing w:after="0" w:afterAutospacing="0" w:line="243" w:lineRule="exact"/>
              <w:tabs>
                <w:tab w:val="right" w:pos="10148" w:leader="none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</w:rPr>
              <w:t xml:space="preserve">Наименование </w:t>
            </w:r>
            <w:r/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</w:rPr>
              <w:t xml:space="preserve"> товара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Ед. изм.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left"/>
              <w:spacing w:after="0" w:afterAutospacing="0" w:line="243" w:lineRule="exact"/>
              <w:tabs>
                <w:tab w:val="right" w:pos="10148" w:leader="none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  <w:t xml:space="preserve">Кол-во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680" w:type="dxa"/>
            <w:textDirection w:val="lrTb"/>
            <w:noWrap w:val="false"/>
          </w:tcPr>
          <w:p>
            <w:pPr>
              <w:jc w:val="center"/>
              <w:spacing w:after="0" w:afterAutospacing="0" w:line="243" w:lineRule="exac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7795" w:type="dxa"/>
            <w:textDirection w:val="lrTb"/>
            <w:noWrap w:val="false"/>
          </w:tcPr>
          <w:p>
            <w:pPr>
              <w:jc w:val="left"/>
              <w:spacing w:after="0" w:afterAutospacing="0" w:line="243" w:lineRule="exact"/>
              <w:tabs>
                <w:tab w:val="right" w:pos="10148" w:leader="none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Кондиционер (сплит-система) с установкой и демонтажем старого кондиционера на первом этаже здания в помещении площадью 57 кв.м. (каб №115)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afterAutospacing="0" w:line="243" w:lineRule="exact"/>
              <w:tabs>
                <w:tab w:val="right" w:pos="10148" w:leader="none"/>
              </w:tabs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</w:p>
        </w:tc>
      </w:tr>
    </w:tbl>
    <w:p>
      <w:pPr>
        <w:jc w:val="left"/>
        <w:spacing w:after="0" w:afterAutospacing="0" w:line="243" w:lineRule="exact"/>
        <w:tabs>
          <w:tab w:val="right" w:pos="10148" w:leader="none"/>
        </w:tabs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jc w:val="left"/>
        <w:spacing w:after="0" w:afterAutospacing="0" w:line="243" w:lineRule="exact"/>
        <w:tabs>
          <w:tab w:val="right" w:pos="10148" w:leader="none"/>
        </w:tabs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jc w:val="left"/>
        <w:spacing w:after="0" w:afterAutospacing="0" w:line="243" w:lineRule="exact"/>
        <w:tabs>
          <w:tab w:val="right" w:pos="10148" w:leader="none"/>
        </w:tabs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Характеристики товара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688"/>
        <w:numPr>
          <w:ilvl w:val="0"/>
          <w:numId w:val="12"/>
        </w:numPr>
        <w:jc w:val="left"/>
        <w:spacing w:after="0" w:afterAutospacing="0" w:line="243" w:lineRule="exact"/>
        <w:tabs>
          <w:tab w:val="right" w:pos="10148" w:leader="none"/>
        </w:tabs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Вид кондиционера: сплит-система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</w:p>
    <w:p>
      <w:pPr>
        <w:pStyle w:val="688"/>
        <w:numPr>
          <w:ilvl w:val="0"/>
          <w:numId w:val="12"/>
        </w:numPr>
        <w:jc w:val="left"/>
        <w:spacing w:after="0" w:afterAutospacing="0" w:line="243" w:lineRule="exact"/>
        <w:tabs>
          <w:tab w:val="right" w:pos="10148" w:leader="none"/>
        </w:tabs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Комплектация: н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аружный блок, внутренний блок, декоративная панель, пульт дистанционного управления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</w:p>
    <w:p>
      <w:pPr>
        <w:pStyle w:val="688"/>
        <w:numPr>
          <w:ilvl w:val="0"/>
          <w:numId w:val="12"/>
        </w:numPr>
        <w:jc w:val="left"/>
        <w:spacing w:after="0" w:afterAutospacing="0" w:line="243" w:lineRule="exact"/>
        <w:tabs>
          <w:tab w:val="right" w:pos="10148" w:leader="none"/>
        </w:tabs>
      </w:pP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Рекомендуемая площадь помещения: 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до 70 кв.м.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</w:p>
    <w:p>
      <w:pPr>
        <w:pStyle w:val="688"/>
        <w:numPr>
          <w:ilvl w:val="0"/>
          <w:numId w:val="12"/>
        </w:numPr>
        <w:contextualSpacing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Режим работы кондиционера: охлаждение, обогрев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zh-CN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zh-CN"/>
        </w:rPr>
      </w:r>
    </w:p>
    <w:p>
      <w:pPr>
        <w:pStyle w:val="688"/>
        <w:numPr>
          <w:ilvl w:val="0"/>
          <w:numId w:val="12"/>
        </w:numPr>
        <w:contextualSpacing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zh-CN"/>
        </w:rPr>
        <w:t xml:space="preserve">Зимний пуск: п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zh-CN"/>
        </w:rPr>
        <w:t xml:space="preserve">редусмотрен производителем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zh-CN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zh-CN"/>
        </w:rPr>
      </w:r>
    </w:p>
    <w:p>
      <w:pPr>
        <w:pStyle w:val="688"/>
        <w:numPr>
          <w:ilvl w:val="0"/>
          <w:numId w:val="12"/>
        </w:numPr>
        <w:contextualSpacing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Тип внутреннего блока: кассетный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</w:p>
    <w:p>
      <w:pPr>
        <w:pStyle w:val="688"/>
        <w:numPr>
          <w:ilvl w:val="0"/>
          <w:numId w:val="12"/>
        </w:numPr>
        <w:jc w:val="left"/>
        <w:spacing w:after="0" w:afterAutospacing="0" w:line="243" w:lineRule="exact"/>
        <w:tabs>
          <w:tab w:val="right" w:pos="10148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Вид блока кондиционера: наружный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zh-CN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zh-CN"/>
        </w:rPr>
      </w:r>
    </w:p>
    <w:p>
      <w:pPr>
        <w:pStyle w:val="688"/>
        <w:numPr>
          <w:ilvl w:val="0"/>
          <w:numId w:val="12"/>
        </w:numPr>
        <w:contextualSpacing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Класс энергоэффективности в режиме охлаждения: не ниже А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zh-CN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zh-CN"/>
        </w:rPr>
      </w:r>
    </w:p>
    <w:p>
      <w:pPr>
        <w:pStyle w:val="688"/>
        <w:numPr>
          <w:ilvl w:val="0"/>
          <w:numId w:val="12"/>
        </w:numPr>
        <w:contextualSpacing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zh-CN"/>
        </w:rPr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Класс энергоэффективности в режиме нагрева: не ниже А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</w:p>
    <w:p>
      <w:pPr>
        <w:pStyle w:val="688"/>
        <w:numPr>
          <w:ilvl w:val="0"/>
          <w:numId w:val="12"/>
        </w:numPr>
        <w:jc w:val="left"/>
        <w:spacing w:after="0" w:afterAutospacing="0" w:line="243" w:lineRule="exact"/>
        <w:tabs>
          <w:tab w:val="right" w:pos="10148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zh-CN"/>
        </w:rPr>
        <w:t xml:space="preserve">Мощность охлаждения, кВт: 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≥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zh-CN"/>
        </w:rPr>
        <w:t xml:space="preserve">7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zh-CN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zh-CN"/>
        </w:rPr>
      </w:r>
    </w:p>
    <w:p>
      <w:pPr>
        <w:pStyle w:val="688"/>
        <w:numPr>
          <w:ilvl w:val="0"/>
          <w:numId w:val="12"/>
        </w:numPr>
        <w:jc w:val="left"/>
        <w:spacing w:after="0" w:afterAutospacing="0" w:line="243" w:lineRule="exact"/>
        <w:tabs>
          <w:tab w:val="right" w:pos="10148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zh-CN"/>
        </w:rPr>
        <w:t xml:space="preserve">Мощность обогрева, кВт:  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≥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zh-CN"/>
        </w:rPr>
        <w:t xml:space="preserve">7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zh-CN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zh-CN"/>
        </w:rPr>
      </w:r>
    </w:p>
    <w:p>
      <w:pPr>
        <w:pStyle w:val="688"/>
        <w:numPr>
          <w:ilvl w:val="0"/>
          <w:numId w:val="12"/>
        </w:numPr>
        <w:contextualSpacing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zh-CN"/>
        </w:rPr>
        <w:t xml:space="preserve">Уровень шума внутреннего блока не более 46 дБ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</w:p>
    <w:p>
      <w:pPr>
        <w:pStyle w:val="688"/>
        <w:numPr>
          <w:ilvl w:val="0"/>
          <w:numId w:val="12"/>
        </w:numPr>
        <w:contextualSpacing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Наличие удаленного управления через сеть 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Wi-Fi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zh-CN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zh-CN"/>
        </w:rPr>
      </w:r>
    </w:p>
    <w:p>
      <w:pPr>
        <w:pStyle w:val="688"/>
        <w:numPr>
          <w:ilvl w:val="0"/>
          <w:numId w:val="12"/>
        </w:numPr>
        <w:contextualSpacing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zh-CN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zh-CN"/>
        </w:rPr>
        <w:t xml:space="preserve">Флокированное покрытие жалюзи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zh-CN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zh-CN"/>
        </w:rPr>
      </w:r>
    </w:p>
    <w:p>
      <w:pPr>
        <w:jc w:val="left"/>
        <w:spacing w:after="0" w:afterAutospacing="0" w:line="243" w:lineRule="exact"/>
        <w:tabs>
          <w:tab w:val="right" w:pos="10148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Перечень оборудования (зап.частей) и наименование работ: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jc w:val="left"/>
        <w:spacing w:after="0" w:afterAutospacing="0" w:line="243" w:lineRule="exact"/>
        <w:tabs>
          <w:tab w:val="right" w:pos="10148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tbl>
      <w:tblPr>
        <w:tblStyle w:val="702"/>
        <w:tblW w:w="0" w:type="auto"/>
        <w:tblLayout w:type="fixed"/>
        <w:tblLook w:val="04A0" w:firstRow="1" w:lastRow="0" w:firstColumn="1" w:lastColumn="0" w:noHBand="0" w:noVBand="1"/>
      </w:tblPr>
      <w:tblGrid>
        <w:gridCol w:w="680"/>
        <w:gridCol w:w="7654"/>
        <w:gridCol w:w="850"/>
        <w:gridCol w:w="877"/>
      </w:tblGrid>
      <w:tr>
        <w:tblPrEx/>
        <w:trPr>
          <w:trHeight w:val="579"/>
        </w:trPr>
        <w:tc>
          <w:tcPr>
            <w:tcW w:w="680" w:type="dxa"/>
            <w:textDirection w:val="lrTb"/>
            <w:noWrap w:val="false"/>
          </w:tcPr>
          <w:p>
            <w:pPr>
              <w:jc w:val="left"/>
              <w:spacing w:after="0" w:afterAutospacing="0" w:line="243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</w:rPr>
              <w:t xml:space="preserve">№ п\п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</w:p>
        </w:tc>
        <w:tc>
          <w:tcPr>
            <w:tcW w:w="7654" w:type="dxa"/>
            <w:textDirection w:val="lrTb"/>
            <w:noWrap w:val="false"/>
          </w:tcPr>
          <w:p>
            <w:pPr>
              <w:jc w:val="left"/>
              <w:spacing w:after="0" w:afterAutospacing="0" w:line="243" w:lineRule="exac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</w:rPr>
              <w:t xml:space="preserve">Наименование работ и оборудования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Ед. изм.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8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338"/>
        </w:trPr>
        <w:tc>
          <w:tcPr>
            <w:tcW w:w="680" w:type="dxa"/>
            <w:textDirection w:val="lrTb"/>
            <w:noWrap w:val="false"/>
          </w:tcPr>
          <w:p>
            <w:pPr>
              <w:jc w:val="center"/>
              <w:spacing w:after="0" w:afterAutospacing="0" w:line="243" w:lineRule="exac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7654" w:type="dxa"/>
            <w:textDirection w:val="lrTb"/>
            <w:noWrap w:val="false"/>
          </w:tcPr>
          <w:p>
            <w:pPr>
              <w:jc w:val="left"/>
              <w:spacing w:after="0" w:afterAutospacing="0" w:line="243" w:lineRule="exac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Демонтаж старого кондиционера (7 кВт)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8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38"/>
        </w:trPr>
        <w:tc>
          <w:tcPr>
            <w:tcW w:w="68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3" w:lineRule="exac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7654" w:type="dxa"/>
            <w:vMerge w:val="restart"/>
            <w:textDirection w:val="lrTb"/>
            <w:noWrap w:val="false"/>
          </w:tcPr>
          <w:p>
            <w:pPr>
              <w:jc w:val="left"/>
              <w:spacing w:after="0" w:afterAutospacing="0" w:line="243" w:lineRule="exact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Приобретение кондиционера (сплит-системы) кассетного типа мощностью от 7 до 10 кВт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8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38"/>
        </w:trPr>
        <w:tc>
          <w:tcPr>
            <w:tcW w:w="68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3" w:lineRule="exac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7654" w:type="dxa"/>
            <w:vMerge w:val="restart"/>
            <w:textDirection w:val="lrTb"/>
            <w:noWrap w:val="false"/>
          </w:tcPr>
          <w:p>
            <w:pPr>
              <w:jc w:val="left"/>
              <w:spacing w:after="0" w:afterAutospacing="0" w:line="243" w:lineRule="exact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Монтаж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кондиционера (сплит-системы) мощностью от 7 до 10 кВт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8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38"/>
        </w:trPr>
        <w:tc>
          <w:tcPr>
            <w:tcW w:w="68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3" w:lineRule="exac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7654" w:type="dxa"/>
            <w:vMerge w:val="restart"/>
            <w:textDirection w:val="lrTb"/>
            <w:noWrap w:val="false"/>
          </w:tcPr>
          <w:p>
            <w:pPr>
              <w:jc w:val="left"/>
              <w:spacing w:after="0" w:afterAutospacing="0" w:line="243" w:lineRule="exact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Подставка разборная под наружний блок кондиционера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8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68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7654" w:type="dxa"/>
            <w:textDirection w:val="lrTb"/>
            <w:noWrap w:val="false"/>
          </w:tcPr>
          <w:p>
            <w:pPr>
              <w:jc w:val="left"/>
              <w:spacing w:after="0" w:afterAutospacing="0" w:line="243" w:lineRule="exac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Удлинение фреоновых коммуникаций (модели свыше 5,5 кВт)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8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15"/>
        </w:trPr>
        <w:tc>
          <w:tcPr>
            <w:tcW w:w="68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7654" w:type="dxa"/>
            <w:textDirection w:val="lrTb"/>
            <w:noWrap w:val="false"/>
          </w:tcPr>
          <w:p>
            <w:pPr>
              <w:jc w:val="left"/>
              <w:spacing w:after="0" w:afterAutospacing="0" w:line="243" w:lineRule="exac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Установка декоративного короба под провода эл.питания (без кабеля)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8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15"/>
        </w:trPr>
        <w:tc>
          <w:tcPr>
            <w:tcW w:w="68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7654" w:type="dxa"/>
            <w:textDirection w:val="lrTb"/>
            <w:noWrap w:val="false"/>
          </w:tcPr>
          <w:p>
            <w:pPr>
              <w:jc w:val="left"/>
              <w:spacing w:after="0" w:afterAutospacing="0" w:line="243" w:lineRule="exac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Установка декоративного короба под фреоновые коммуникации 80*60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8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38"/>
        </w:trPr>
        <w:tc>
          <w:tcPr>
            <w:tcW w:w="68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7654" w:type="dxa"/>
            <w:textDirection w:val="lrTb"/>
            <w:noWrap w:val="false"/>
          </w:tcPr>
          <w:p>
            <w:pPr>
              <w:jc w:val="left"/>
              <w:spacing w:after="0" w:afterAutospacing="0" w:line="243" w:lineRule="exac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Прокладка кабеля эл.питания до 3*4 мм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vertAlign w:val="superscript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8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38"/>
        </w:trPr>
        <w:tc>
          <w:tcPr>
            <w:tcW w:w="68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7654" w:type="dxa"/>
            <w:textDirection w:val="lrTb"/>
            <w:noWrap w:val="false"/>
          </w:tcPr>
          <w:p>
            <w:pPr>
              <w:jc w:val="left"/>
              <w:spacing w:after="0" w:afterAutospacing="0" w:line="243" w:lineRule="exac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Прокладка дренажа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8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82"/>
        </w:trPr>
        <w:tc>
          <w:tcPr>
            <w:tcW w:w="68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7654" w:type="dxa"/>
            <w:textDirection w:val="lrTb"/>
            <w:noWrap w:val="false"/>
          </w:tcPr>
          <w:p>
            <w:pPr>
              <w:jc w:val="left"/>
              <w:spacing w:after="0" w:afterAutospacing="0" w:line="243" w:lineRule="exac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Разборка-сборка потолков типа “Армстронг” (каждые 5 м длины коммуникации)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8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jc w:val="left"/>
        <w:spacing w:after="0" w:afterAutospacing="0" w:line="243" w:lineRule="exact"/>
        <w:tabs>
          <w:tab w:val="right" w:pos="10148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left"/>
        <w:spacing w:after="0" w:afterAutospacing="0" w:line="264" w:lineRule="auto"/>
        <w:tabs>
          <w:tab w:val="right" w:pos="10148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5. Требования к выполнению монтажных работ, пусконаладочных работ, ввода в эксплуатацию кондиционеров:</w:t>
      </w:r>
      <w:r/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tbl>
      <w:tblPr>
        <w:tblW w:w="1034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38"/>
        <w:gridCol w:w="3685"/>
        <w:gridCol w:w="6025"/>
      </w:tblGrid>
      <w:tr>
        <w:tblPrEx/>
        <w:trPr>
          <w:jc w:val="center"/>
          <w:trHeight w:val="477"/>
        </w:trPr>
        <w:tc>
          <w:tcPr>
            <w:shd w:val="clear" w:color="ffffff" w:fill="ffffff"/>
            <w:tcMar>
              <w:left w:w="0" w:type="dxa"/>
              <w:top w:w="0" w:type="dxa"/>
              <w:right w:w="0" w:type="dxa"/>
              <w:bottom w:w="0" w:type="dxa"/>
            </w:tcMar>
            <w:tcW w:w="638" w:type="dxa"/>
            <w:vAlign w:val="center"/>
            <w:textDirection w:val="lrTb"/>
            <w:noWrap w:val="false"/>
          </w:tcPr>
          <w:p>
            <w:pPr>
              <w:ind w:firstLine="709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№ № п/п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Mar>
              <w:left w:w="0" w:type="dxa"/>
              <w:top w:w="0" w:type="dxa"/>
              <w:right w:w="0" w:type="dxa"/>
              <w:bottom w:w="0" w:type="dxa"/>
            </w:tcMar>
            <w:tcW w:w="3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 xml:space="preserve">Наименование работ, наименование характеристики (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показателя) работ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Mar>
              <w:left w:w="0" w:type="dxa"/>
              <w:top w:w="0" w:type="dxa"/>
              <w:right w:w="0" w:type="dxa"/>
              <w:bottom w:w="0" w:type="dxa"/>
            </w:tcMar>
            <w:tcW w:w="6025" w:type="dxa"/>
            <w:vAlign w:val="center"/>
            <w:textDirection w:val="lrTb"/>
            <w:noWrap w:val="false"/>
          </w:tcPr>
          <w:p>
            <w:pPr>
              <w:ind w:firstLine="72"/>
              <w:jc w:val="center"/>
              <w:spacing w:after="0" w:line="240" w:lineRule="auto"/>
              <w:tabs>
                <w:tab w:val="left" w:pos="72" w:leader="none"/>
              </w:tabs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 xml:space="preserve">Значение характеристики (показателя)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blPrEx/>
        <w:trPr>
          <w:jc w:val="center"/>
          <w:trHeight w:val="237"/>
        </w:trPr>
        <w:tc>
          <w:tcPr>
            <w:shd w:val="clear" w:color="ffffff" w:fill="ffffff"/>
            <w:tcMar>
              <w:left w:w="0" w:type="dxa"/>
              <w:top w:w="0" w:type="dxa"/>
              <w:right w:w="0" w:type="dxa"/>
              <w:bottom w:w="0" w:type="dxa"/>
            </w:tcMar>
            <w:tcW w:w="638" w:type="dxa"/>
            <w:vAlign w:val="center"/>
            <w:textDirection w:val="lrTb"/>
            <w:noWrap w:val="false"/>
          </w:tcPr>
          <w:p>
            <w:pPr>
              <w:ind w:firstLine="709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Mar>
              <w:left w:w="0" w:type="dxa"/>
              <w:top w:w="0" w:type="dxa"/>
              <w:right w:w="0" w:type="dxa"/>
              <w:bottom w:w="0" w:type="dxa"/>
            </w:tcMar>
            <w:tcW w:w="368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tabs>
                <w:tab w:val="left" w:pos="7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Работы по установке наружного блока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tabs>
                <w:tab w:val="left" w:pos="7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r>
          </w:p>
        </w:tc>
        <w:tc>
          <w:tcPr>
            <w:shd w:val="clear" w:color="ffffff" w:fill="ffffff"/>
            <w:tcMar>
              <w:left w:w="0" w:type="dxa"/>
              <w:top w:w="0" w:type="dxa"/>
              <w:right w:w="0" w:type="dxa"/>
              <w:bottom w:w="0" w:type="dxa"/>
            </w:tcMar>
            <w:tcW w:w="6025" w:type="dxa"/>
            <w:vAlign w:val="center"/>
            <w:textDirection w:val="lrTb"/>
            <w:noWrap w:val="false"/>
          </w:tcPr>
          <w:p>
            <w:pPr>
              <w:ind w:left="214" w:right="138"/>
              <w:jc w:val="left"/>
              <w:spacing w:after="0" w:line="240" w:lineRule="auto"/>
              <w:tabs>
                <w:tab w:val="left" w:pos="21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Установка наружного блока должна быть произведена на отмостке здания. Место установки наружного блока кондиционера согласовывается с Заказчиком.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jc w:val="center"/>
          <w:trHeight w:val="237"/>
        </w:trPr>
        <w:tc>
          <w:tcPr>
            <w:shd w:val="clear" w:color="ffffff" w:fill="ffffff"/>
            <w:tcMar>
              <w:left w:w="0" w:type="dxa"/>
              <w:top w:w="0" w:type="dxa"/>
              <w:right w:w="0" w:type="dxa"/>
              <w:bottom w:w="0" w:type="dxa"/>
            </w:tcMar>
            <w:tcW w:w="638" w:type="dxa"/>
            <w:vAlign w:val="center"/>
            <w:textDirection w:val="lrTb"/>
            <w:noWrap w:val="false"/>
          </w:tcPr>
          <w:p>
            <w:pPr>
              <w:ind w:firstLine="709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Mar>
              <w:left w:w="0" w:type="dxa"/>
              <w:top w:w="0" w:type="dxa"/>
              <w:right w:w="0" w:type="dxa"/>
              <w:bottom w:w="0" w:type="dxa"/>
            </w:tcMar>
            <w:tcW w:w="368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tabs>
                <w:tab w:val="left" w:pos="7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Работы по установке внутреннего блока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Mar>
              <w:left w:w="0" w:type="dxa"/>
              <w:top w:w="0" w:type="dxa"/>
              <w:right w:w="0" w:type="dxa"/>
              <w:bottom w:w="0" w:type="dxa"/>
            </w:tcMar>
            <w:tcW w:w="6025" w:type="dxa"/>
            <w:vAlign w:val="center"/>
            <w:textDirection w:val="lrTb"/>
            <w:noWrap w:val="false"/>
          </w:tcPr>
          <w:p>
            <w:pPr>
              <w:ind w:left="214" w:right="138"/>
              <w:jc w:val="left"/>
              <w:spacing w:after="0" w:line="240" w:lineRule="auto"/>
              <w:tabs>
                <w:tab w:val="left" w:pos="72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Внутренний блок-системы должен устанавливаться в помещении с учетом функциональных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требований, дизайна помещения и требований производителя Товара.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jc w:val="center"/>
          <w:trHeight w:val="237"/>
        </w:trPr>
        <w:tc>
          <w:tcPr>
            <w:shd w:val="clear" w:color="ffffff" w:fill="ffffff"/>
            <w:tcMar>
              <w:left w:w="0" w:type="dxa"/>
              <w:top w:w="0" w:type="dxa"/>
              <w:right w:w="0" w:type="dxa"/>
              <w:bottom w:w="0" w:type="dxa"/>
            </w:tcMar>
            <w:tcW w:w="638" w:type="dxa"/>
            <w:vAlign w:val="center"/>
            <w:textDirection w:val="lrTb"/>
            <w:noWrap w:val="false"/>
          </w:tcPr>
          <w:p>
            <w:pPr>
              <w:ind w:firstLine="709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Mar>
              <w:left w:w="0" w:type="dxa"/>
              <w:top w:w="0" w:type="dxa"/>
              <w:right w:w="0" w:type="dxa"/>
              <w:bottom w:w="0" w:type="dxa"/>
            </w:tcMar>
            <w:tcW w:w="368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tabs>
                <w:tab w:val="left" w:pos="7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Прокладка внутренних и внешних трубопроводов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Mar>
              <w:left w:w="0" w:type="dxa"/>
              <w:top w:w="0" w:type="dxa"/>
              <w:right w:w="0" w:type="dxa"/>
              <w:bottom w:w="0" w:type="dxa"/>
            </w:tcMar>
            <w:tcW w:w="6025" w:type="dxa"/>
            <w:vAlign w:val="center"/>
            <w:textDirection w:val="lrTb"/>
            <w:noWrap w:val="false"/>
          </w:tcPr>
          <w:p>
            <w:pPr>
              <w:ind w:left="214" w:right="138"/>
              <w:jc w:val="left"/>
              <w:spacing w:after="0" w:line="240" w:lineRule="auto"/>
              <w:tabs>
                <w:tab w:val="left" w:pos="72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Общая длина трубопровода для кондиционера -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не более 20 метров.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При монтаже магистрали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фреонопровода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должны использоваться медные трубы.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jc w:val="center"/>
          <w:trHeight w:val="237"/>
        </w:trPr>
        <w:tc>
          <w:tcPr>
            <w:shd w:val="clear" w:color="ffffff" w:fill="ffffff"/>
            <w:tcMar>
              <w:left w:w="0" w:type="dxa"/>
              <w:top w:w="0" w:type="dxa"/>
              <w:right w:w="0" w:type="dxa"/>
              <w:bottom w:w="0" w:type="dxa"/>
            </w:tcMar>
            <w:tcW w:w="638" w:type="dxa"/>
            <w:vAlign w:val="center"/>
            <w:textDirection w:val="lrTb"/>
            <w:noWrap w:val="false"/>
          </w:tcPr>
          <w:p>
            <w:pPr>
              <w:ind w:firstLine="709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Mar>
              <w:left w:w="0" w:type="dxa"/>
              <w:top w:w="0" w:type="dxa"/>
              <w:right w:w="0" w:type="dxa"/>
              <w:bottom w:w="0" w:type="dxa"/>
            </w:tcMar>
            <w:tcW w:w="368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tabs>
                <w:tab w:val="left" w:pos="7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Отвод дренажных труб через отверстия в наружных стенах на улицу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Mar>
              <w:left w:w="0" w:type="dxa"/>
              <w:top w:w="0" w:type="dxa"/>
              <w:right w:w="0" w:type="dxa"/>
              <w:bottom w:w="0" w:type="dxa"/>
            </w:tcMar>
            <w:tcW w:w="6025" w:type="dxa"/>
            <w:textDirection w:val="lrTb"/>
            <w:noWrap w:val="false"/>
          </w:tcPr>
          <w:p>
            <w:pPr>
              <w:ind w:left="214" w:right="138"/>
              <w:jc w:val="left"/>
              <w:spacing w:after="0" w:line="240" w:lineRule="auto"/>
              <w:tabs>
                <w:tab w:val="left" w:pos="72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Внутри помещения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фреонопровод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эле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ктрический кабель или дренажный шланг укладываются в жгуте, обматываются белой лентой и крепятся клипсами к стене. Поставщик обязан не допускать заломов и порывов дренажного шланга при протаскивании через отверстие в стене. Отверстие в стене после укладки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фреонопровода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электрического кабеля и дренажного шланга заполняется теплоизолятором во избежание промерзания воды и появления сквозняков в помещении. Стены здания кирпичные.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jc w:val="center"/>
          <w:trHeight w:val="237"/>
        </w:trPr>
        <w:tc>
          <w:tcPr>
            <w:shd w:val="clear" w:color="ffffff" w:fill="ffffff"/>
            <w:tcMar>
              <w:left w:w="0" w:type="dxa"/>
              <w:top w:w="0" w:type="dxa"/>
              <w:right w:w="0" w:type="dxa"/>
              <w:bottom w:w="0" w:type="dxa"/>
            </w:tcMar>
            <w:tcW w:w="638" w:type="dxa"/>
            <w:vAlign w:val="center"/>
            <w:textDirection w:val="lrTb"/>
            <w:noWrap w:val="false"/>
          </w:tcPr>
          <w:p>
            <w:pPr>
              <w:ind w:firstLine="709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Mar>
              <w:left w:w="0" w:type="dxa"/>
              <w:top w:w="0" w:type="dxa"/>
              <w:right w:w="0" w:type="dxa"/>
              <w:bottom w:w="0" w:type="dxa"/>
            </w:tcMar>
            <w:tcW w:w="368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tabs>
                <w:tab w:val="left" w:pos="7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Подключение электропитания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Mar>
              <w:left w:w="0" w:type="dxa"/>
              <w:top w:w="0" w:type="dxa"/>
              <w:right w:w="0" w:type="dxa"/>
              <w:bottom w:w="0" w:type="dxa"/>
            </w:tcMar>
            <w:tcW w:w="6025" w:type="dxa"/>
            <w:vAlign w:val="center"/>
            <w:textDirection w:val="lrTb"/>
            <w:noWrap w:val="false"/>
          </w:tcPr>
          <w:p>
            <w:pPr>
              <w:ind w:left="214" w:right="138"/>
              <w:jc w:val="left"/>
              <w:spacing w:after="0" w:line="240" w:lineRule="auto"/>
              <w:tabs>
                <w:tab w:val="left" w:pos="72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Электропитание подключается от существующей электрической розетки.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jc w:val="center"/>
          <w:trHeight w:val="237"/>
        </w:trPr>
        <w:tc>
          <w:tcPr>
            <w:shd w:val="clear" w:color="ffffff" w:fill="ffffff"/>
            <w:tcMar>
              <w:left w:w="0" w:type="dxa"/>
              <w:top w:w="0" w:type="dxa"/>
              <w:right w:w="0" w:type="dxa"/>
              <w:bottom w:w="0" w:type="dxa"/>
            </w:tcMar>
            <w:tcW w:w="638" w:type="dxa"/>
            <w:vAlign w:val="center"/>
            <w:textDirection w:val="lrTb"/>
            <w:noWrap w:val="false"/>
          </w:tcPr>
          <w:p>
            <w:pPr>
              <w:ind w:firstLine="709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Mar>
              <w:left w:w="0" w:type="dxa"/>
              <w:top w:w="0" w:type="dxa"/>
              <w:right w:w="0" w:type="dxa"/>
              <w:bottom w:w="0" w:type="dxa"/>
            </w:tcMar>
            <w:tcW w:w="368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tabs>
                <w:tab w:val="left" w:pos="7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Дозаправка хладагентом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Mar>
              <w:left w:w="0" w:type="dxa"/>
              <w:top w:w="0" w:type="dxa"/>
              <w:right w:w="0" w:type="dxa"/>
              <w:bottom w:w="0" w:type="dxa"/>
            </w:tcMar>
            <w:tcW w:w="6025" w:type="dxa"/>
            <w:vAlign w:val="center"/>
            <w:textDirection w:val="lrTb"/>
            <w:noWrap w:val="false"/>
          </w:tcPr>
          <w:p>
            <w:pPr>
              <w:ind w:left="214" w:right="138"/>
              <w:jc w:val="left"/>
              <w:spacing w:after="0" w:line="240" w:lineRule="auto"/>
              <w:tabs>
                <w:tab w:val="left" w:pos="72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Дозаправка хладагентом выполняется при необходимости для обеспечения работоспособности оборудования.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jc w:val="center"/>
          <w:trHeight w:val="237"/>
        </w:trPr>
        <w:tc>
          <w:tcPr>
            <w:shd w:val="clear" w:color="ffffff" w:fill="ffffff"/>
            <w:tcMar>
              <w:left w:w="0" w:type="dxa"/>
              <w:top w:w="0" w:type="dxa"/>
              <w:right w:w="0" w:type="dxa"/>
              <w:bottom w:w="0" w:type="dxa"/>
            </w:tcMar>
            <w:tcW w:w="638" w:type="dxa"/>
            <w:vAlign w:val="center"/>
            <w:textDirection w:val="lrTb"/>
            <w:noWrap w:val="false"/>
          </w:tcPr>
          <w:p>
            <w:pPr>
              <w:ind w:firstLine="709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Mar>
              <w:left w:w="0" w:type="dxa"/>
              <w:top w:w="0" w:type="dxa"/>
              <w:right w:w="0" w:type="dxa"/>
              <w:bottom w:w="0" w:type="dxa"/>
            </w:tcMar>
            <w:tcW w:w="368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tabs>
                <w:tab w:val="left" w:pos="7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Тестовый запуск Товара во всех режимах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Mar>
              <w:left w:w="0" w:type="dxa"/>
              <w:top w:w="0" w:type="dxa"/>
              <w:right w:w="0" w:type="dxa"/>
              <w:bottom w:w="0" w:type="dxa"/>
            </w:tcMar>
            <w:tcW w:w="6025" w:type="dxa"/>
            <w:vAlign w:val="center"/>
            <w:textDirection w:val="lrTb"/>
            <w:noWrap w:val="false"/>
          </w:tcPr>
          <w:p>
            <w:pPr>
              <w:ind w:left="214" w:right="138"/>
              <w:jc w:val="left"/>
              <w:spacing w:after="0" w:line="240" w:lineRule="auto"/>
              <w:tabs>
                <w:tab w:val="left" w:pos="72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После установки Товара его работа тестируется во всех режимах. При тестировании производятся замеры напряжения в сети, энергопотребление, давление хладагента, температура при входе и выходе из внутреннего блока.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jc w:val="center"/>
          <w:trHeight w:val="237"/>
        </w:trPr>
        <w:tc>
          <w:tcPr>
            <w:shd w:val="clear" w:color="ffffff" w:fill="ffffff"/>
            <w:tcMar>
              <w:left w:w="0" w:type="dxa"/>
              <w:top w:w="0" w:type="dxa"/>
              <w:right w:w="0" w:type="dxa"/>
              <w:bottom w:w="0" w:type="dxa"/>
            </w:tcMar>
            <w:tcW w:w="638" w:type="dxa"/>
            <w:vAlign w:val="center"/>
            <w:textDirection w:val="lrTb"/>
            <w:noWrap w:val="false"/>
          </w:tcPr>
          <w:p>
            <w:pPr>
              <w:ind w:firstLine="709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Mar>
              <w:left w:w="0" w:type="dxa"/>
              <w:top w:w="0" w:type="dxa"/>
              <w:right w:w="0" w:type="dxa"/>
              <w:bottom w:w="0" w:type="dxa"/>
            </w:tcMar>
            <w:tcW w:w="368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tabs>
                <w:tab w:val="left" w:pos="7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Обучение специалистов Заказчика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Mar>
              <w:left w:w="0" w:type="dxa"/>
              <w:top w:w="0" w:type="dxa"/>
              <w:right w:w="0" w:type="dxa"/>
              <w:bottom w:w="0" w:type="dxa"/>
            </w:tcMar>
            <w:tcW w:w="6025" w:type="dxa"/>
            <w:vAlign w:val="center"/>
            <w:textDirection w:val="lrTb"/>
            <w:noWrap w:val="false"/>
          </w:tcPr>
          <w:p>
            <w:pPr>
              <w:ind w:left="214" w:right="138"/>
              <w:jc w:val="left"/>
              <w:spacing w:after="0" w:line="240" w:lineRule="auto"/>
              <w:tabs>
                <w:tab w:val="left" w:pos="72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После ввода в эксплуатацию Товара необходимо провести инструктаж работников Заказчика о правилах эксплуатации оборудования и по самостоятельной работе с оборудованием в различных производственных ситуациях.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jc w:val="center"/>
          <w:trHeight w:val="237"/>
        </w:trPr>
        <w:tc>
          <w:tcPr>
            <w:shd w:val="clear" w:color="ffffff" w:fill="ffffff"/>
            <w:tcMar>
              <w:left w:w="0" w:type="dxa"/>
              <w:top w:w="0" w:type="dxa"/>
              <w:right w:w="0" w:type="dxa"/>
              <w:bottom w:w="0" w:type="dxa"/>
            </w:tcMar>
            <w:tcW w:w="638" w:type="dxa"/>
            <w:vAlign w:val="center"/>
            <w:textDirection w:val="lrTb"/>
            <w:noWrap w:val="false"/>
          </w:tcPr>
          <w:p>
            <w:pPr>
              <w:ind w:firstLine="709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Mar>
              <w:left w:w="0" w:type="dxa"/>
              <w:top w:w="0" w:type="dxa"/>
              <w:right w:w="0" w:type="dxa"/>
              <w:bottom w:w="0" w:type="dxa"/>
            </w:tcMar>
            <w:tcW w:w="368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tabs>
                <w:tab w:val="left" w:pos="7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Уборка мусора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Mar>
              <w:left w:w="0" w:type="dxa"/>
              <w:top w:w="0" w:type="dxa"/>
              <w:right w:w="0" w:type="dxa"/>
              <w:bottom w:w="0" w:type="dxa"/>
            </w:tcMar>
            <w:tcW w:w="6025" w:type="dxa"/>
            <w:vAlign w:val="center"/>
            <w:textDirection w:val="lrTb"/>
            <w:noWrap w:val="false"/>
          </w:tcPr>
          <w:p>
            <w:pPr>
              <w:ind w:left="214" w:right="138"/>
              <w:jc w:val="left"/>
              <w:spacing w:after="0" w:line="240" w:lineRule="auto"/>
              <w:tabs>
                <w:tab w:val="left" w:pos="72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Образовавшийся му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сор после сборки товара и работ по установке Товара, а также упаковочные материалы, должны быть вывезены силами и за счет средств Поставщика. Уборка мусора и упаковочного материала должна осуществляться сразу после сборки Товара и завершения его установки.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jc w:val="left"/>
        <w:spacing w:after="0" w:afterAutospacing="0" w:line="264" w:lineRule="auto"/>
        <w:tabs>
          <w:tab w:val="right" w:pos="10148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left"/>
        <w:spacing w:after="0" w:afterAutospacing="0" w:line="264" w:lineRule="auto"/>
        <w:tabs>
          <w:tab w:val="right" w:pos="10148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Тип фасада здания: кирпичная кладка. Фасад здания явлется объектом культурного наследния.</w:t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left"/>
        <w:spacing w:after="0" w:afterAutospacing="0" w:line="264" w:lineRule="auto"/>
        <w:tabs>
          <w:tab w:val="right" w:pos="10148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contextualSpacing/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zh-CN"/>
        </w:rPr>
        <w:t xml:space="preserve">6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zh-CN"/>
        </w:rPr>
        <w:t xml:space="preserve">.  Требования к упаковке, безопасности товара и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  <w:t xml:space="preserve">иные требования, связанные с определением соответствия поставляемого Товара, потребностям Заказчика: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</w:p>
    <w:p>
      <w:pPr>
        <w:contextualSpacing/>
        <w:ind w:firstLine="284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     Товар поставляется в оригинальной заводской упаковке, обеспечивающей защиту Товара от внешних воздействующих факторов (в т. ч. климатических, механических) при транспортировании, хранении и погрузочно-разгрузочных работах.  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</w:p>
    <w:p>
      <w:pPr>
        <w:contextualSpacing/>
        <w:ind w:firstLine="284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     Товар должен быть новым, не бывшим в употреблении, в ремонте, в том числе не должен быть восстановленным, а также у него не должна быть осуществлена замена составных частей, и не должны быть восстановлены потребительские свойства.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</w:p>
    <w:p>
      <w:pPr>
        <w:contextualSpacing/>
        <w:ind w:firstLine="284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     Товар должен быть без дефектов, без механических, термических, биологических повреждений, без повреждений водой, без повреждений, вызванных неправильным хранением, транспортировкой или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  <w:t xml:space="preserve">неосторожной выгрузкой.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</w:p>
    <w:p>
      <w:pPr>
        <w:contextualSpacing/>
        <w:ind w:firstLine="284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  <w:t xml:space="preserve">     Товар должен быть упакован и маркирован в соответствии с технической (эксплуатационной)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  <w:t xml:space="preserve">документацией производителя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</w:p>
    <w:p>
      <w:pPr>
        <w:contextualSpacing/>
        <w:ind w:firstLine="284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  <w:t xml:space="preserve">      Поставляемый Товар должны быть свободным от любых прав третьих лиц и соответствовать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 требованиям действующего законодательства Российской Федерации. 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</w:p>
    <w:p>
      <w:pPr>
        <w:contextualSpacing/>
        <w:ind w:firstLine="284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      Все материалы, которые использовались при производстве Товара, должны соответствовать нормам безопасности, установленным в Российской Федерации.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</w:p>
    <w:p>
      <w:pPr>
        <w:contextualSpacing/>
        <w:ind w:firstLine="284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  <w:t xml:space="preserve">    Поставщик обязан при поставке Товара представить сертификаты, инструкции, гарантийные талоны и (или) иные документы, обязательные для поставляемого Товара, подтверждающие качество Товара, оформленные в соответствии с законодательств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  <w:t xml:space="preserve">ом Российской Федерации. В случае если Товар, поставляемый в рамках Договора, произведен за пределами Российской Федерации, Поставщик обязуется документально подтвердить Заказчику, что Товар выпущен в свободное обращение на территории Российской Федерации.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</w:r>
    </w:p>
    <w:p>
      <w:pPr>
        <w:contextualSpacing/>
        <w:ind w:firstLine="284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zh-CN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zh-CN"/>
        </w:rPr>
      </w:r>
    </w:p>
    <w:p>
      <w:pPr>
        <w:pStyle w:val="688"/>
        <w:numPr>
          <w:ilvl w:val="0"/>
          <w:numId w:val="13"/>
        </w:numPr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Требования к гарантии качества: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r>
    </w:p>
    <w:p>
      <w:pPr>
        <w:ind w:firstLine="284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 xml:space="preserve">Качество Товара должно соответствовать требованиям: санитарных, техн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 xml:space="preserve">ических и всех иных применяемых норм и стандартов Российской Федерации и подтверждаться предоставленными Поставщиком сопроводительными документами. Указанные выше документы должны обязательно содержать информацию о стране происхождения поставляемого Товара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284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Срок гарантии качества на поставляемый Товар – не менее 36 (Тридцати шести)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месяцев с момента подписания документа о приемке. </w:t>
      </w:r>
      <w:bookmarkStart w:id="0" w:name="undefined"/>
      <w:r/>
      <w:bookmarkEnd w:id="0"/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firstLine="284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Гарантия качества Товара распространяется на все составляющие и комплектующие его части. Предоставление гарантии осуществляется вместе с поставкой Товара.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firstLine="284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случае обнаружения Товара, в котором присутствует производственный брак,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течение гарантийного срока </w:t>
      </w:r>
      <w:r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Заказчик вправе выставить письменную претензию в отношении качества такого Товара</w:t>
      </w:r>
      <w:bookmarkStart w:id="0" w:name="undefined"/>
      <w:r/>
      <w:bookmarkEnd w:id="0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Поставщику. Срок исполнения гарантийных обязательств не более 10 (Десяти) рабочих дней с момента получения письменной претензии Поставщиком.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firstLine="284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Поставка Товара (доставка, погрузка, разгрузка, сборка, демонтаж, монтаж с привлечением подъёмного оборудования) осуществляются за счет Поставщика.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firstLine="284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Гарантийный срок на работы по установки (монтажу) и проведению пуско-наладочных работ 24 месяца с даты ввода в эксплуатацию Товара (исчисляется с даты подписания Заказчиком документа о приемке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ind w:firstLine="284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Поставка материалов и оборудования на объект осуществляется транспортом и силами Поставщика. Все виды погрузочно-разгрузочных работ, включая работы с применением подъемного оборудования, осуществляются за счет Поставщика.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284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Даты, сроки проведение демонтажно-монтажных работ в обязательном порядке согласовываются с Заказчиком (представителем Заказчика).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left"/>
        <w:spacing w:after="0" w:afterAutospacing="0" w:line="264" w:lineRule="auto"/>
        <w:tabs>
          <w:tab w:val="right" w:pos="10148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left"/>
        <w:spacing w:after="0" w:afterAutospacing="0" w:line="264" w:lineRule="auto"/>
        <w:tabs>
          <w:tab w:val="right" w:pos="10148" w:leader="none"/>
        </w:tabs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tbl>
      <w:tblPr>
        <w:tblW w:w="1063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699"/>
        <w:gridCol w:w="215"/>
        <w:gridCol w:w="1762"/>
        <w:gridCol w:w="215"/>
        <w:gridCol w:w="2510"/>
        <w:gridCol w:w="287"/>
        <w:gridCol w:w="1686"/>
        <w:gridCol w:w="1262"/>
      </w:tblGrid>
      <w:tr>
        <w:tblPrEx/>
        <w:trPr/>
        <w:tc>
          <w:tcPr>
            <w:gridSpan w:val="4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2" w:type="dxa"/>
            <w:textDirection w:val="lrTb"/>
            <w:noWrap w:val="false"/>
          </w:tcPr>
          <w:p>
            <w:pPr>
              <w:jc w:val="both"/>
              <w:spacing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bookmarkStart w:id="0" w:name="undefined"/>
            <w:r>
              <w:rPr>
                <w:sz w:val="24"/>
                <w:szCs w:val="24"/>
              </w:rPr>
            </w:r>
            <w:bookmarkEnd w:id="0"/>
            <w:r>
              <w:rPr>
                <w:sz w:val="24"/>
                <w:szCs w:val="24"/>
              </w:rPr>
            </w:r>
            <w:bookmarkStart w:id="0" w:name="undefine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Заказчик: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gridSpan w:val="4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4" w:type="dxa"/>
            <w:textDirection w:val="lrTb"/>
            <w:noWrap w:val="false"/>
          </w:tcPr>
          <w:p>
            <w:pPr>
              <w:jc w:val="both"/>
              <w:spacing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Поставщик: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2" w:type="dxa"/>
            <w:textDirection w:val="lrTb"/>
            <w:noWrap w:val="false"/>
          </w:tcPr>
          <w:p>
            <w:pPr>
              <w:jc w:val="both"/>
              <w:spacing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b/>
                <w:bCs/>
                <w:sz w:val="24"/>
                <w:szCs w:val="18"/>
              </w:rPr>
              <w:t xml:space="preserve">ТУ Росимущества в Пермском крае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gridSpan w:val="4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4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gridSpan w:val="4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2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gridSpan w:val="4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4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699" w:type="dxa"/>
            <w:textDirection w:val="lrTb"/>
            <w:noWrap w:val="false"/>
          </w:tcPr>
          <w:p>
            <w:pPr>
              <w:jc w:val="both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15" w:type="dxa"/>
            <w:textDirection w:val="lrTb"/>
            <w:noWrap w:val="false"/>
          </w:tcPr>
          <w:p>
            <w:pPr>
              <w:jc w:val="both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762" w:type="dxa"/>
            <w:textDirection w:val="lrTb"/>
            <w:noWrap w:val="false"/>
          </w:tcPr>
          <w:p>
            <w:pPr>
              <w:jc w:val="both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Миронова Е.В.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5" w:type="dxa"/>
            <w:textDirection w:val="lrTb"/>
            <w:noWrap w:val="false"/>
          </w:tcPr>
          <w:p>
            <w:pPr>
              <w:jc w:val="both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510" w:type="dxa"/>
            <w:textDirection w:val="lrTb"/>
            <w:noWrap w:val="false"/>
          </w:tcPr>
          <w:p>
            <w:pPr>
              <w:jc w:val="both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87" w:type="dxa"/>
            <w:textDirection w:val="lrTb"/>
            <w:noWrap w:val="false"/>
          </w:tcPr>
          <w:p>
            <w:pPr>
              <w:jc w:val="both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686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2" w:type="dxa"/>
            <w:textDirection w:val="lrTb"/>
            <w:noWrap w:val="false"/>
          </w:tcPr>
          <w:p>
            <w:pPr>
              <w:jc w:val="both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2" w:type="dxa"/>
            <w:textDirection w:val="lrTb"/>
            <w:noWrap w:val="false"/>
          </w:tcPr>
          <w:p>
            <w:pPr>
              <w:jc w:val="both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«_____»___________2026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4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4" w:type="dxa"/>
            <w:textDirection w:val="lrTb"/>
            <w:noWrap w:val="false"/>
          </w:tcPr>
          <w:p>
            <w:pPr>
              <w:jc w:val="both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«_____»___________2026 г.</w:t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jc w:val="both"/>
        <w:spacing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1134" w:right="737" w:bottom="1134" w:left="1304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Times New Roman">
    <w:panose1 w:val="02020603050405020304"/>
  </w:font>
  <w:font w:name="XO Thames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1119" w:hanging="360"/>
      </w:pPr>
      <w:rPr>
        <w:rFonts w:hint="default"/>
        <w:b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83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5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7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9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1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3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5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7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XO Thames" w:hAnsi="XO Thames" w:eastAsia="Times New Roman" w:cs="Times New Roman"/>
        <w:color w:val="000000"/>
        <w:sz w:val="24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4">
    <w:name w:val="Default Paragraph Font"/>
    <w:uiPriority w:val="1"/>
    <w:semiHidden/>
    <w:unhideWhenUsed/>
  </w:style>
  <w:style w:type="character" w:styleId="675">
    <w:name w:val="Heading 1 Char"/>
    <w:basedOn w:val="674"/>
    <w:link w:val="855"/>
    <w:uiPriority w:val="9"/>
    <w:rPr>
      <w:rFonts w:ascii="Arial" w:hAnsi="Arial" w:eastAsia="Arial" w:cs="Arial"/>
      <w:sz w:val="40"/>
      <w:szCs w:val="40"/>
    </w:rPr>
  </w:style>
  <w:style w:type="character" w:styleId="676">
    <w:name w:val="Heading 2 Char"/>
    <w:basedOn w:val="674"/>
    <w:link w:val="877"/>
    <w:uiPriority w:val="9"/>
    <w:rPr>
      <w:rFonts w:ascii="Arial" w:hAnsi="Arial" w:eastAsia="Arial" w:cs="Arial"/>
      <w:sz w:val="34"/>
    </w:rPr>
  </w:style>
  <w:style w:type="character" w:styleId="677">
    <w:name w:val="Heading 3 Char"/>
    <w:basedOn w:val="674"/>
    <w:link w:val="849"/>
    <w:uiPriority w:val="9"/>
    <w:rPr>
      <w:rFonts w:ascii="Arial" w:hAnsi="Arial" w:eastAsia="Arial" w:cs="Arial"/>
      <w:sz w:val="30"/>
      <w:szCs w:val="30"/>
    </w:rPr>
  </w:style>
  <w:style w:type="character" w:styleId="678">
    <w:name w:val="Heading 4 Char"/>
    <w:basedOn w:val="674"/>
    <w:link w:val="875"/>
    <w:uiPriority w:val="9"/>
    <w:rPr>
      <w:rFonts w:ascii="Arial" w:hAnsi="Arial" w:eastAsia="Arial" w:cs="Arial"/>
      <w:b/>
      <w:bCs/>
      <w:sz w:val="26"/>
      <w:szCs w:val="26"/>
    </w:rPr>
  </w:style>
  <w:style w:type="character" w:styleId="679">
    <w:name w:val="Heading 5 Char"/>
    <w:basedOn w:val="674"/>
    <w:link w:val="853"/>
    <w:uiPriority w:val="9"/>
    <w:rPr>
      <w:rFonts w:ascii="Arial" w:hAnsi="Arial" w:eastAsia="Arial" w:cs="Arial"/>
      <w:b/>
      <w:bCs/>
      <w:sz w:val="24"/>
      <w:szCs w:val="24"/>
    </w:rPr>
  </w:style>
  <w:style w:type="paragraph" w:styleId="680">
    <w:name w:val="Heading 6"/>
    <w:basedOn w:val="837"/>
    <w:next w:val="837"/>
    <w:link w:val="6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1">
    <w:name w:val="Heading 6 Char"/>
    <w:basedOn w:val="674"/>
    <w:link w:val="680"/>
    <w:uiPriority w:val="9"/>
    <w:rPr>
      <w:rFonts w:ascii="Arial" w:hAnsi="Arial" w:eastAsia="Arial" w:cs="Arial"/>
      <w:b/>
      <w:bCs/>
      <w:sz w:val="22"/>
      <w:szCs w:val="22"/>
    </w:rPr>
  </w:style>
  <w:style w:type="paragraph" w:styleId="682">
    <w:name w:val="Heading 7"/>
    <w:basedOn w:val="837"/>
    <w:next w:val="837"/>
    <w:link w:val="68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3">
    <w:name w:val="Heading 7 Char"/>
    <w:basedOn w:val="674"/>
    <w:link w:val="68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4">
    <w:name w:val="Heading 8"/>
    <w:basedOn w:val="837"/>
    <w:next w:val="837"/>
    <w:link w:val="68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5">
    <w:name w:val="Heading 8 Char"/>
    <w:basedOn w:val="674"/>
    <w:link w:val="684"/>
    <w:uiPriority w:val="9"/>
    <w:rPr>
      <w:rFonts w:ascii="Arial" w:hAnsi="Arial" w:eastAsia="Arial" w:cs="Arial"/>
      <w:i/>
      <w:iCs/>
      <w:sz w:val="22"/>
      <w:szCs w:val="22"/>
    </w:rPr>
  </w:style>
  <w:style w:type="paragraph" w:styleId="686">
    <w:name w:val="Heading 9"/>
    <w:basedOn w:val="837"/>
    <w:next w:val="837"/>
    <w:link w:val="68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7">
    <w:name w:val="Heading 9 Char"/>
    <w:basedOn w:val="674"/>
    <w:link w:val="686"/>
    <w:uiPriority w:val="9"/>
    <w:rPr>
      <w:rFonts w:ascii="Arial" w:hAnsi="Arial" w:eastAsia="Arial" w:cs="Arial"/>
      <w:i/>
      <w:iCs/>
      <w:sz w:val="21"/>
      <w:szCs w:val="21"/>
    </w:rPr>
  </w:style>
  <w:style w:type="paragraph" w:styleId="688">
    <w:name w:val="List Paragraph"/>
    <w:basedOn w:val="837"/>
    <w:uiPriority w:val="34"/>
    <w:qFormat/>
    <w:pPr>
      <w:contextualSpacing/>
      <w:ind w:left="720"/>
    </w:pPr>
  </w:style>
  <w:style w:type="paragraph" w:styleId="689">
    <w:name w:val="No Spacing"/>
    <w:uiPriority w:val="1"/>
    <w:qFormat/>
    <w:pPr>
      <w:spacing w:before="0" w:after="0" w:line="240" w:lineRule="auto"/>
    </w:pPr>
  </w:style>
  <w:style w:type="character" w:styleId="690">
    <w:name w:val="Title Char"/>
    <w:basedOn w:val="674"/>
    <w:link w:val="873"/>
    <w:uiPriority w:val="10"/>
    <w:rPr>
      <w:sz w:val="48"/>
      <w:szCs w:val="48"/>
    </w:rPr>
  </w:style>
  <w:style w:type="character" w:styleId="691">
    <w:name w:val="Subtitle Char"/>
    <w:basedOn w:val="674"/>
    <w:link w:val="871"/>
    <w:uiPriority w:val="11"/>
    <w:rPr>
      <w:sz w:val="24"/>
      <w:szCs w:val="24"/>
    </w:rPr>
  </w:style>
  <w:style w:type="paragraph" w:styleId="692">
    <w:name w:val="Quote"/>
    <w:basedOn w:val="837"/>
    <w:next w:val="837"/>
    <w:link w:val="693"/>
    <w:uiPriority w:val="29"/>
    <w:qFormat/>
    <w:pPr>
      <w:ind w:left="720" w:right="720"/>
    </w:pPr>
    <w:rPr>
      <w:i/>
    </w:rPr>
  </w:style>
  <w:style w:type="character" w:styleId="693">
    <w:name w:val="Quote Char"/>
    <w:link w:val="692"/>
    <w:uiPriority w:val="29"/>
    <w:rPr>
      <w:i/>
    </w:rPr>
  </w:style>
  <w:style w:type="paragraph" w:styleId="694">
    <w:name w:val="Intense Quote"/>
    <w:basedOn w:val="837"/>
    <w:next w:val="837"/>
    <w:link w:val="69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5">
    <w:name w:val="Intense Quote Char"/>
    <w:link w:val="694"/>
    <w:uiPriority w:val="30"/>
    <w:rPr>
      <w:i/>
    </w:rPr>
  </w:style>
  <w:style w:type="paragraph" w:styleId="696">
    <w:name w:val="Header"/>
    <w:basedOn w:val="837"/>
    <w:link w:val="69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7">
    <w:name w:val="Header Char"/>
    <w:basedOn w:val="674"/>
    <w:link w:val="696"/>
    <w:uiPriority w:val="99"/>
  </w:style>
  <w:style w:type="paragraph" w:styleId="698">
    <w:name w:val="Footer"/>
    <w:basedOn w:val="837"/>
    <w:link w:val="70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9">
    <w:name w:val="Footer Char"/>
    <w:basedOn w:val="674"/>
    <w:link w:val="698"/>
    <w:uiPriority w:val="99"/>
  </w:style>
  <w:style w:type="paragraph" w:styleId="700">
    <w:name w:val="Caption"/>
    <w:basedOn w:val="837"/>
    <w:next w:val="837"/>
    <w:link w:val="70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1">
    <w:name w:val="Caption Char"/>
    <w:basedOn w:val="700"/>
    <w:link w:val="698"/>
    <w:uiPriority w:val="99"/>
  </w:style>
  <w:style w:type="table" w:styleId="70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8">
    <w:name w:val="footnote text"/>
    <w:basedOn w:val="837"/>
    <w:link w:val="829"/>
    <w:uiPriority w:val="99"/>
    <w:semiHidden/>
    <w:unhideWhenUsed/>
    <w:pPr>
      <w:spacing w:after="40" w:line="240" w:lineRule="auto"/>
    </w:pPr>
    <w:rPr>
      <w:sz w:val="18"/>
    </w:rPr>
  </w:style>
  <w:style w:type="character" w:styleId="829">
    <w:name w:val="Footnote Text Char"/>
    <w:link w:val="828"/>
    <w:uiPriority w:val="99"/>
    <w:rPr>
      <w:sz w:val="18"/>
    </w:rPr>
  </w:style>
  <w:style w:type="character" w:styleId="830">
    <w:name w:val="footnote reference"/>
    <w:basedOn w:val="674"/>
    <w:uiPriority w:val="99"/>
    <w:unhideWhenUsed/>
    <w:rPr>
      <w:vertAlign w:val="superscript"/>
    </w:rPr>
  </w:style>
  <w:style w:type="paragraph" w:styleId="831">
    <w:name w:val="endnote text"/>
    <w:basedOn w:val="837"/>
    <w:link w:val="832"/>
    <w:uiPriority w:val="99"/>
    <w:semiHidden/>
    <w:unhideWhenUsed/>
    <w:pPr>
      <w:spacing w:after="0" w:line="240" w:lineRule="auto"/>
    </w:pPr>
    <w:rPr>
      <w:sz w:val="20"/>
    </w:rPr>
  </w:style>
  <w:style w:type="character" w:styleId="832">
    <w:name w:val="Endnote Text Char"/>
    <w:link w:val="831"/>
    <w:uiPriority w:val="99"/>
    <w:rPr>
      <w:sz w:val="20"/>
    </w:rPr>
  </w:style>
  <w:style w:type="character" w:styleId="833">
    <w:name w:val="endnote reference"/>
    <w:basedOn w:val="674"/>
    <w:uiPriority w:val="99"/>
    <w:semiHidden/>
    <w:unhideWhenUsed/>
    <w:rPr>
      <w:vertAlign w:val="superscript"/>
    </w:rPr>
  </w:style>
  <w:style w:type="paragraph" w:styleId="834">
    <w:name w:val="TOC Heading"/>
    <w:uiPriority w:val="39"/>
    <w:unhideWhenUsed/>
  </w:style>
  <w:style w:type="paragraph" w:styleId="835">
    <w:name w:val="table of figures"/>
    <w:basedOn w:val="837"/>
    <w:next w:val="837"/>
    <w:uiPriority w:val="99"/>
    <w:unhideWhenUsed/>
    <w:pPr>
      <w:spacing w:after="0" w:afterAutospacing="0"/>
    </w:pPr>
  </w:style>
  <w:style w:type="paragraph" w:styleId="836" w:default="1">
    <w:name w:val="Normal"/>
    <w:link w:val="837"/>
    <w:uiPriority w:val="0"/>
    <w:qFormat/>
    <w:pPr>
      <w:jc w:val="both"/>
      <w:spacing w:line="240" w:lineRule="auto"/>
    </w:pPr>
    <w:rPr>
      <w:rFonts w:ascii="XO Thames" w:hAnsi="XO Thames"/>
      <w:sz w:val="28"/>
    </w:rPr>
  </w:style>
  <w:style w:type="character" w:styleId="837" w:default="1">
    <w:name w:val="Normal"/>
    <w:link w:val="836"/>
    <w:rPr>
      <w:rFonts w:ascii="XO Thames" w:hAnsi="XO Thames"/>
      <w:sz w:val="28"/>
    </w:rPr>
  </w:style>
  <w:style w:type="paragraph" w:styleId="838">
    <w:name w:val="toc 2"/>
    <w:next w:val="836"/>
    <w:link w:val="839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styleId="839">
    <w:name w:val="toc 2"/>
    <w:link w:val="838"/>
    <w:rPr>
      <w:rFonts w:ascii="XO Thames" w:hAnsi="XO Thames"/>
      <w:sz w:val="28"/>
    </w:rPr>
  </w:style>
  <w:style w:type="paragraph" w:styleId="840">
    <w:name w:val="toc 4"/>
    <w:next w:val="836"/>
    <w:link w:val="841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styleId="841">
    <w:name w:val="toc 4"/>
    <w:link w:val="840"/>
    <w:rPr>
      <w:rFonts w:ascii="XO Thames" w:hAnsi="XO Thames"/>
      <w:sz w:val="28"/>
    </w:rPr>
  </w:style>
  <w:style w:type="paragraph" w:styleId="842">
    <w:name w:val="toc 6"/>
    <w:next w:val="836"/>
    <w:link w:val="843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styleId="843">
    <w:name w:val="toc 6"/>
    <w:link w:val="842"/>
    <w:rPr>
      <w:rFonts w:ascii="XO Thames" w:hAnsi="XO Thames"/>
      <w:sz w:val="28"/>
    </w:rPr>
  </w:style>
  <w:style w:type="paragraph" w:styleId="844">
    <w:name w:val="toc 7"/>
    <w:next w:val="836"/>
    <w:link w:val="845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styleId="845">
    <w:name w:val="toc 7"/>
    <w:link w:val="844"/>
    <w:rPr>
      <w:rFonts w:ascii="XO Thames" w:hAnsi="XO Thames"/>
      <w:sz w:val="28"/>
    </w:rPr>
  </w:style>
  <w:style w:type="paragraph" w:styleId="846">
    <w:name w:val="Endnote"/>
    <w:link w:val="847"/>
    <w:pPr>
      <w:ind w:left="0" w:firstLine="851"/>
      <w:jc w:val="both"/>
    </w:pPr>
    <w:rPr>
      <w:rFonts w:ascii="XO Thames" w:hAnsi="XO Thames"/>
      <w:sz w:val="22"/>
    </w:rPr>
  </w:style>
  <w:style w:type="character" w:styleId="847">
    <w:name w:val="Endnote"/>
    <w:link w:val="846"/>
    <w:rPr>
      <w:rFonts w:ascii="XO Thames" w:hAnsi="XO Thames"/>
      <w:sz w:val="22"/>
    </w:rPr>
  </w:style>
  <w:style w:type="paragraph" w:styleId="848">
    <w:name w:val="Heading 3"/>
    <w:next w:val="836"/>
    <w:link w:val="849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character" w:styleId="849">
    <w:name w:val="Heading 3"/>
    <w:link w:val="848"/>
    <w:rPr>
      <w:rFonts w:ascii="XO Thames" w:hAnsi="XO Thames"/>
      <w:b/>
      <w:sz w:val="26"/>
    </w:rPr>
  </w:style>
  <w:style w:type="paragraph" w:styleId="850">
    <w:name w:val="toc 3"/>
    <w:next w:val="836"/>
    <w:link w:val="851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styleId="851">
    <w:name w:val="toc 3"/>
    <w:link w:val="850"/>
    <w:rPr>
      <w:rFonts w:ascii="XO Thames" w:hAnsi="XO Thames"/>
      <w:sz w:val="28"/>
    </w:rPr>
  </w:style>
  <w:style w:type="paragraph" w:styleId="852">
    <w:name w:val="Heading 5"/>
    <w:next w:val="836"/>
    <w:link w:val="853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character" w:styleId="853">
    <w:name w:val="Heading 5"/>
    <w:link w:val="852"/>
    <w:rPr>
      <w:rFonts w:ascii="XO Thames" w:hAnsi="XO Thames"/>
      <w:b/>
      <w:sz w:val="22"/>
    </w:rPr>
  </w:style>
  <w:style w:type="paragraph" w:styleId="854">
    <w:name w:val="Heading 1"/>
    <w:next w:val="836"/>
    <w:link w:val="855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character" w:styleId="855">
    <w:name w:val="Heading 1"/>
    <w:link w:val="854"/>
    <w:rPr>
      <w:rFonts w:ascii="XO Thames" w:hAnsi="XO Thames"/>
      <w:b/>
      <w:sz w:val="32"/>
    </w:rPr>
  </w:style>
  <w:style w:type="paragraph" w:styleId="856">
    <w:name w:val="Hyperlink"/>
    <w:link w:val="857"/>
    <w:rPr>
      <w:color w:val="0000ff"/>
      <w:u w:val="single"/>
    </w:rPr>
  </w:style>
  <w:style w:type="character" w:styleId="857">
    <w:name w:val="Hyperlink"/>
    <w:link w:val="856"/>
    <w:rPr>
      <w:color w:val="0000ff"/>
      <w:u w:val="single"/>
    </w:rPr>
  </w:style>
  <w:style w:type="paragraph" w:styleId="858">
    <w:name w:val="Footnote"/>
    <w:link w:val="859"/>
    <w:pPr>
      <w:ind w:left="0" w:firstLine="851"/>
      <w:jc w:val="both"/>
    </w:pPr>
    <w:rPr>
      <w:rFonts w:ascii="XO Thames" w:hAnsi="XO Thames"/>
      <w:sz w:val="22"/>
    </w:rPr>
  </w:style>
  <w:style w:type="character" w:styleId="859">
    <w:name w:val="Footnote"/>
    <w:link w:val="858"/>
    <w:rPr>
      <w:rFonts w:ascii="XO Thames" w:hAnsi="XO Thames"/>
      <w:sz w:val="22"/>
    </w:rPr>
  </w:style>
  <w:style w:type="paragraph" w:styleId="860">
    <w:name w:val="toc 1"/>
    <w:next w:val="836"/>
    <w:link w:val="861"/>
    <w:uiPriority w:val="39"/>
    <w:pPr>
      <w:ind w:left="0" w:firstLine="0"/>
      <w:jc w:val="left"/>
    </w:pPr>
    <w:rPr>
      <w:rFonts w:ascii="XO Thames" w:hAnsi="XO Thames"/>
      <w:b/>
      <w:sz w:val="28"/>
    </w:rPr>
  </w:style>
  <w:style w:type="character" w:styleId="861">
    <w:name w:val="toc 1"/>
    <w:link w:val="860"/>
    <w:rPr>
      <w:rFonts w:ascii="XO Thames" w:hAnsi="XO Thames"/>
      <w:b/>
      <w:sz w:val="28"/>
    </w:rPr>
  </w:style>
  <w:style w:type="paragraph" w:styleId="862">
    <w:name w:val="Header and Footer"/>
    <w:link w:val="863"/>
    <w:pPr>
      <w:jc w:val="both"/>
      <w:spacing w:line="240" w:lineRule="auto"/>
    </w:pPr>
    <w:rPr>
      <w:rFonts w:ascii="XO Thames" w:hAnsi="XO Thames"/>
      <w:sz w:val="28"/>
    </w:rPr>
  </w:style>
  <w:style w:type="character" w:styleId="863">
    <w:name w:val="Header and Footer"/>
    <w:link w:val="862"/>
    <w:rPr>
      <w:rFonts w:ascii="XO Thames" w:hAnsi="XO Thames"/>
      <w:sz w:val="28"/>
    </w:rPr>
  </w:style>
  <w:style w:type="paragraph" w:styleId="864">
    <w:name w:val="toc 9"/>
    <w:next w:val="836"/>
    <w:link w:val="865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styleId="865">
    <w:name w:val="toc 9"/>
    <w:link w:val="864"/>
    <w:rPr>
      <w:rFonts w:ascii="XO Thames" w:hAnsi="XO Thames"/>
      <w:sz w:val="28"/>
    </w:rPr>
  </w:style>
  <w:style w:type="paragraph" w:styleId="866">
    <w:name w:val="toc 8"/>
    <w:next w:val="836"/>
    <w:link w:val="867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styleId="867">
    <w:name w:val="toc 8"/>
    <w:link w:val="866"/>
    <w:rPr>
      <w:rFonts w:ascii="XO Thames" w:hAnsi="XO Thames"/>
      <w:sz w:val="28"/>
    </w:rPr>
  </w:style>
  <w:style w:type="paragraph" w:styleId="868">
    <w:name w:val="toc 5"/>
    <w:next w:val="836"/>
    <w:link w:val="869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styleId="869">
    <w:name w:val="toc 5"/>
    <w:link w:val="868"/>
    <w:rPr>
      <w:rFonts w:ascii="XO Thames" w:hAnsi="XO Thames"/>
      <w:sz w:val="28"/>
    </w:rPr>
  </w:style>
  <w:style w:type="paragraph" w:styleId="870">
    <w:name w:val="Subtitle"/>
    <w:next w:val="836"/>
    <w:link w:val="871"/>
    <w:uiPriority w:val="11"/>
    <w:qFormat/>
    <w:pPr>
      <w:jc w:val="both"/>
    </w:pPr>
    <w:rPr>
      <w:rFonts w:ascii="XO Thames" w:hAnsi="XO Thames"/>
      <w:i/>
      <w:sz w:val="24"/>
    </w:rPr>
  </w:style>
  <w:style w:type="character" w:styleId="871">
    <w:name w:val="Subtitle"/>
    <w:link w:val="870"/>
    <w:rPr>
      <w:rFonts w:ascii="XO Thames" w:hAnsi="XO Thames"/>
      <w:i/>
      <w:sz w:val="24"/>
    </w:rPr>
  </w:style>
  <w:style w:type="paragraph" w:styleId="872">
    <w:name w:val="Title"/>
    <w:next w:val="836"/>
    <w:link w:val="873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873">
    <w:name w:val="Title"/>
    <w:link w:val="872"/>
    <w:rPr>
      <w:rFonts w:ascii="XO Thames" w:hAnsi="XO Thames"/>
      <w:b/>
      <w:caps/>
      <w:sz w:val="40"/>
    </w:rPr>
  </w:style>
  <w:style w:type="paragraph" w:styleId="874">
    <w:name w:val="Heading 4"/>
    <w:next w:val="836"/>
    <w:link w:val="875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character" w:styleId="875">
    <w:name w:val="Heading 4"/>
    <w:link w:val="874"/>
    <w:rPr>
      <w:rFonts w:ascii="XO Thames" w:hAnsi="XO Thames"/>
      <w:b/>
      <w:sz w:val="24"/>
    </w:rPr>
  </w:style>
  <w:style w:type="paragraph" w:styleId="876">
    <w:name w:val="Heading 2"/>
    <w:next w:val="836"/>
    <w:link w:val="877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character" w:styleId="877">
    <w:name w:val="Heading 2"/>
    <w:link w:val="876"/>
    <w:rPr>
      <w:rFonts w:ascii="XO Thames" w:hAnsi="XO Thames"/>
      <w:b/>
      <w:sz w:val="28"/>
    </w:rPr>
  </w:style>
  <w:style w:type="numbering" w:styleId="878" w:default="1">
    <w:name w:val="No List"/>
    <w:uiPriority w:val="99"/>
    <w:semiHidden/>
    <w:unhideWhenUsed/>
  </w:style>
  <w:style w:type="table" w:styleId="87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Arial"/>
        <a:cs typeface="Arial"/>
      </a:majorFont>
      <a:minorFont>
        <a:latin typeface="XO Thame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mariia.ivanova</cp:lastModifiedBy>
  <cp:revision>22</cp:revision>
  <dcterms:modified xsi:type="dcterms:W3CDTF">2026-08-05T12:38:06Z</dcterms:modified>
</cp:coreProperties>
</file>