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hanging="142"/>
        <w:jc w:val="center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Обоснование начальной (максимальной) цены контракта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</w:rPr>
        <w:t xml:space="preserve">на </w:t>
      </w:r>
      <w:r>
        <w:rPr>
          <w:rFonts w:ascii="Times New Roman" w:hAnsi="Times New Roman"/>
          <w:b/>
          <w:sz w:val="24"/>
          <w:szCs w:val="24"/>
        </w:rPr>
        <w:t xml:space="preserve">поставку запасных частей, комплектующих для АРМ</w:t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/>
          <w:b/>
          <w:bCs/>
          <w:sz w:val="24"/>
          <w:szCs w:val="24"/>
        </w:rPr>
      </w:r>
      <w:r>
        <w:rPr>
          <w:rFonts w:ascii="Times New Roman" w:hAnsi="Times New Roman" w:eastAsia="Calibri"/>
          <w:b/>
          <w:bCs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Начальная (максимальная) цена сформирована с учетом расходов на уплату налогов и других обязательных платежей.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Цена контракта формируется участником на основе прилагаемого заказчиком расчета начальной (максимальной) цены с учетом расходов на страхование, налогов и других обязательных платежей.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708"/>
        <w:jc w:val="both"/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eastAsia="ru-RU"/>
        </w:rPr>
        <w:t xml:space="preserve">В целях повышения эффективности использования бюджетных средств и обеспечения конкуренции, а также на основании Методических рекомендаций по применению методов определения начальной (максимальной) цены контракта (утв. приказом Ми</w:t>
      </w:r>
      <w:r>
        <w:rPr>
          <w:rFonts w:ascii="Times New Roman" w:hAnsi="Times New Roman"/>
          <w:sz w:val="24"/>
          <w:szCs w:val="24"/>
          <w:lang w:eastAsia="ru-RU"/>
        </w:rPr>
        <w:t xml:space="preserve">нистерства экономического развития РФ от 2 октября 2013 г. N 567) проведено исследование рынка путем направления запросов о предоставлении ценовой информации, изучения общедоступных источников информации (информация, о ценах товаров, работ, услуг, содержащ</w:t>
      </w:r>
      <w:r>
        <w:rPr>
          <w:rFonts w:ascii="Times New Roman" w:hAnsi="Times New Roman"/>
          <w:sz w:val="24"/>
          <w:szCs w:val="24"/>
          <w:lang w:eastAsia="ru-RU"/>
        </w:rPr>
        <w:t xml:space="preserve">аяся в рекламе, каталогах, описаниях товаров и в других предложениях, обращенных к неопределенному кругу лиц), в целях выявления имеющихся на рынке товаров, работ, услуг, отвечающих требованиям поставляемого Товара (выполняемой Работе, оказываемой Услуги).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Расчет начальной (максимальной) цены контракта произведен с применением метода сопоставимых рыночных цен (анализа рынка) в соответствии с ч. 2-5 ст. 22 Федерального закона от 05.04.2013 № 44-ФЗ.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</w:p>
    <w:tbl>
      <w:tblPr>
        <w:tblW w:w="10639" w:type="dxa"/>
        <w:tblInd w:w="-5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809"/>
        <w:gridCol w:w="567"/>
        <w:gridCol w:w="993"/>
        <w:gridCol w:w="1134"/>
        <w:gridCol w:w="1134"/>
        <w:gridCol w:w="1134"/>
        <w:gridCol w:w="1134"/>
        <w:gridCol w:w="2126"/>
      </w:tblGrid>
      <w:tr>
        <w:tblPrEx/>
        <w:trPr>
          <w:trHeight w:val="4654"/>
        </w:trPr>
        <w:tc>
          <w:tcPr>
            <w:shd w:val="clear" w:color="ffffff" w:fill="ffffff"/>
            <w:tcW w:w="6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53" w:leader="none"/>
              </w:tabs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0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Наименование товара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Ед. изм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Кол-во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Источник№1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Источник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shd w:val="clear" w:color="ffffff" w:fill="ffffff"/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Источник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1062245</wp:posOffset>
                      </wp:positionV>
                      <wp:extent cx="732790" cy="335915"/>
                      <wp:effectExtent l="0" t="0" r="0" b="0"/>
                      <wp:wrapNone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1041382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732789" cy="33591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round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-5.40pt;mso-position-horizontal:absolute;mso-position-vertical-relative:text;margin-top:83.64pt;mso-position-vertical:absolute;width:57.70pt;height:26.45pt;mso-wrap-distance-left:9.00pt;mso-wrap-distance-top:0.00pt;mso-wrap-distance-right:9.00pt;mso-wrap-distance-bottom:0.00pt;" stroked="f" strokeweight="0.75pt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Средняя арифметическая цена за единицу     &lt;ц&gt;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</w:tc>
        <w:tc>
          <w:tcPr>
            <w:tcW w:w="2126" w:type="dxa"/>
            <w:vAlign w:val="bottom"/>
            <w:textDirection w:val="lrTb"/>
            <w:noWrap w:val="false"/>
          </w:tcPr>
          <w:tbl>
            <w:tblPr>
              <w:tblpPr w:horzAnchor="margin" w:tblpXSpec="left" w:vertAnchor="text" w:tblpY="-40" w:leftFromText="180" w:topFromText="0" w:rightFromText="180" w:bottomFromText="0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0"/>
            </w:tblGrid>
            <w:tr>
              <w:tblPrEx/>
              <w:trPr>
                <w:tblCellSpacing w:w="0" w:type="dxa"/>
                <w:trHeight w:val="3045"/>
              </w:trPr>
              <w:tc>
                <w:tcPr>
                  <w:shd w:val="clear" w:color="ffffff" w:fill="ffffff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00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66040</wp:posOffset>
                            </wp:positionH>
                            <wp:positionV relativeFrom="paragraph">
                              <wp:posOffset>2320024</wp:posOffset>
                            </wp:positionV>
                            <wp:extent cx="161925" cy="238125"/>
                            <wp:effectExtent l="0" t="0" r="0" b="0"/>
                            <wp:wrapNone/>
                            <wp:docPr id="2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4992602" name="Picture 6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0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61924" cy="2381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1" o:spid="_x0000_s1" type="#_x0000_t75" style="position:absolute;z-index:251660288;o:allowoverlap:true;o:allowincell:true;mso-position-horizontal-relative:text;margin-left:5.20pt;mso-position-horizontal:absolute;mso-position-vertical-relative:text;margin-top:182.68pt;mso-position-vertical:absolute;width:12.75pt;height:18.75pt;mso-wrap-distance-left:9.00pt;mso-wrap-distance-top:0.00pt;mso-wrap-distance-right:9.00pt;mso-wrap-distance-bottom:0.00pt;" stroked="f" strokeweight="0.75pt">
                            <v:path textboxrect="0,0,0,0"/>
                            <v:imagedata r:id="rId10" o:title="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eastAsia="ru-RU"/>
                    </w:rPr>
                    <mc:AlternateContent>
                      <mc:Choice Requires="wpg">
                        <w:drawing>
      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-15240</wp:posOffset>
                            </wp:positionH>
                            <wp:positionV relativeFrom="paragraph">
                              <wp:posOffset>2556786</wp:posOffset>
                            </wp:positionV>
                            <wp:extent cx="1199693" cy="351130"/>
                            <wp:effectExtent l="0" t="0" r="0" b="0"/>
                            <wp:wrapNone/>
                            <wp:docPr id="3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96845808" name="Picture 5"/>
                                    <pic:cNvPicPr>
                                      <a:picLocks noChangeAspect="1"/>
                                    </pic:cNvPicPr>
                                    <pic:nvPr/>
                                  </pic:nvPicPr>
                                  <pic:blipFill>
                                    <a:blip r:embed="rId12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13"/>
                                        </a:ext>
                                      </a:extLst>
                                    </a:blip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199692" cy="3511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round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type="#_x0000_t75" o:spt="75" coordsize="21600,21600" o:preferrelative="t" path="m@4@5l@4@11@9@11@9@5xe"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</v:shapetype>
                          <v:shape id="_x0000_i2" o:spid="_x0000_s2" type="#_x0000_t75" style="position:absolute;z-index:251661312;o:allowoverlap:true;o:allowincell:true;mso-position-horizontal-relative:text;margin-left:-1.20pt;mso-position-horizontal:absolute;mso-position-vertical-relative:text;margin-top:201.32pt;mso-position-vertical:absolute;width:94.46pt;height:27.65pt;mso-wrap-distance-left:9.00pt;mso-wrap-distance-top:0.00pt;mso-wrap-distance-right:9.00pt;mso-wrap-distance-bottom:0.00pt;" stroked="f" strokeweight="0.75pt">
                            <v:path textboxrect="0,0,0,0"/>
                            <v:imagedata r:id="rId12" o:title="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Расчет Н(М)ЦК по формуле                     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v - количество (объем) закупаемого товара (работы, услуги);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 xml:space="preserve">n - количество значений, используемых в расчете;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 xml:space="preserve">i - номер источника ценовой информации;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br/>
                    <w:t xml:space="preserve">     - цена единицы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</w:r>
          </w:p>
          <w:p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blPrEx/>
        <w:trPr>
          <w:trHeight w:val="1413"/>
        </w:trPr>
        <w:tc>
          <w:tcPr>
            <w:shd w:val="clear" w:color="ffffff" w:fill="ffffff"/>
            <w:tcW w:w="60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  <w:outlineLvl w:val="0"/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Блок питания DEEPCOOL PF500 [R-PF500D-HA0B-EU] черный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/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2799,00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3130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2910,00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2946,33</w:t>
            </w:r>
            <w:r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14731,65</w:t>
            </w:r>
            <w:r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1413"/>
        </w:trPr>
        <w:tc>
          <w:tcPr>
            <w:shd w:val="clear" w:color="ffffff" w:fill="ffffff"/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spacing w:after="0" w:line="319" w:lineRule="atLeast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ТБ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Жесткий диск WD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Purple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[WD33PURZ]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или эквивалент</w:t>
            </w:r>
            <w:r/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14499,00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16180,00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15990,00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15556,33</w:t>
            </w:r>
            <w:r/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15556,33</w:t>
            </w:r>
            <w:r/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14:ligatures w14:val="none"/>
              </w:rPr>
            </w:r>
          </w:p>
        </w:tc>
      </w:tr>
      <w:tr>
        <w:tblPrEx/>
        <w:trPr>
          <w:trHeight w:val="1413"/>
        </w:trPr>
        <w:tc>
          <w:tcPr>
            <w:shd w:val="clear" w:color="ffffff" w:fill="ffffff"/>
            <w:tcW w:w="60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shd w:val="clear" w:color="ffffff" w:fill="ffffff"/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Аккумуляторная батарея дл</w:t>
            </w:r>
            <w:r>
              <w:rPr>
                <w:rFonts w:ascii="Times New Roman" w:hAnsi="Times New Roman"/>
                <w:sz w:val="20"/>
              </w:rPr>
              <w:t xml:space="preserve">я </w:t>
            </w:r>
            <w:r>
              <w:rPr>
                <w:rFonts w:ascii="Times New Roman" w:hAnsi="Times New Roman"/>
                <w:sz w:val="20"/>
              </w:rPr>
              <w:t xml:space="preserve">ИБП WBR HR1234W F2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left="0" w:right="0" w:firstLine="0"/>
              <w:spacing w:before="0" w:after="0" w:line="319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</w:r>
            <w:r>
              <w:rPr>
                <w:sz w:val="32"/>
              </w:rPr>
            </w:r>
            <w:r/>
          </w:p>
        </w:tc>
        <w:tc>
          <w:tcPr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шт.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14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1950,00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1795,00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1609,00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1784,67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24985,38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W w:w="851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Итого: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55273,36</w:t>
            </w:r>
            <w:r/>
          </w:p>
        </w:tc>
      </w:tr>
    </w:tbl>
    <w:p>
      <w:pPr>
        <w:ind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Начальная (максимальная) цена контракта была определена по формуле: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rPr>
          <w:rFonts w:ascii="Times New Roman" w:hAnsi="Times New Roman"/>
          <w:sz w:val="24"/>
          <w:szCs w:val="24"/>
        </w:rPr>
        <w:outlineLvl w:val="0"/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628775" cy="400050"/>
                <wp:effectExtent l="19050" t="0" r="0" b="0"/>
                <wp:docPr id="4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5544382" name="Рисунок 8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>
                          <a:extLst>
                            <a:ext uri="{96DAC541-7B7A-43D3-8B79-37D633B846F1}">
                              <asvg:svgBlip xmlns:asvg="http://schemas.microsoft.com/office/drawing/2016/SVG/main" r:embed="rId1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6287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28.25pt;height:31.50pt;mso-wrap-distance-left:0.00pt;mso-wrap-distance-top:0.00pt;mso-wrap-distance-right:0.00pt;mso-wrap-distance-bottom:0.0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где: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85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position w:val="-10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6275" cy="228600"/>
                <wp:effectExtent l="19050" t="0" r="9525" b="0"/>
                <wp:docPr id="5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6044291" name="Рисунок 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76274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53.25pt;height:18.00pt;mso-wrap-distance-left:0.00pt;mso-wrap-distance-top:0.00pt;mso-wrap-distance-right:0.00pt;mso-wrap-distance-bottom:0.00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- НМЦК, определяемая методом сопоставимых рыночных цен (анализа рынка);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42875"/>
                <wp:effectExtent l="19050" t="0" r="9525" b="0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1195734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123824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9.75pt;height:11.25pt;mso-wrap-distance-left:0.00pt;mso-wrap-distance-top:0.00pt;mso-wrap-distance-right:0.00pt;mso-wrap-distance-bottom:0.00pt;" stroked="f" strokeweight="0.75pt">
                <v:path textboxrect="0,0,0,0"/>
                <v:imagedata r:id="rId18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- количество (объем) закупаемого товара (работы, услуги);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23825" cy="142875"/>
                <wp:effectExtent l="19050" t="0" r="9525" b="0"/>
                <wp:docPr id="7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8897076" name="Рисунок 5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123824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9.75pt;height:11.25pt;mso-wrap-distance-left:0.00pt;mso-wrap-distance-top:0.00pt;mso-wrap-distance-right:0.00pt;mso-wrap-distance-bottom:0.00pt;" stroked="f" strokeweight="0.75pt">
                <v:path textboxrect="0,0,0,0"/>
                <v:imagedata r:id="rId19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- количество значений, используемых в расчете;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" cy="161925"/>
                <wp:effectExtent l="19050" t="0" r="9525" b="0"/>
                <wp:docPr id="8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5089580" name="Рисунок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85725" cy="161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6.7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- номер источника ценовой информации;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52400" cy="228600"/>
                <wp:effectExtent l="19050" t="0" r="0" b="0"/>
                <wp:docPr id="9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2309663" name="Рисунок 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152399" cy="22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12.00pt;height:18.00pt;mso-wrap-distance-left:0.00pt;mso-wrap-distance-top:0.00pt;mso-wrap-distance-right:0.00pt;mso-wrap-distance-bottom:0.00pt;" stroked="f" strokeweight="0.75pt">
                <v:path textboxrect="0,0,0,0"/>
                <v:imagedata r:id="rId21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- цена единицы товара, работы, услуг представленная в источнике с номером </w:t>
      </w: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5725" cy="161925"/>
                <wp:effectExtent l="19050" t="0" r="9525" b="0"/>
                <wp:docPr id="10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85503549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85725" cy="1619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6.75pt;height:12.75pt;mso-wrap-distance-left:0.00pt;mso-wrap-distance-top:0.00pt;mso-wrap-distance-right:0.00pt;mso-wrap-distance-bottom:0.00pt;" stroked="f" strokeweight="0.75pt">
                <v:path textboxrect="0,0,0,0"/>
                <v:imagedata r:id="rId20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скорректированная с учетом коэффициентов (индексов), применяемых для пересчета цен товаров, работ, услуг с учетом различий в характеристиках товаров, коммерческих и (или) финансовых условий поставок товаров, выполнения работ, оказания услуг.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целях определения однородности совокупности значений цен, используемых в расчете начальной (максимальной) цены контракта, определен коэффициент вариации цен по следующей формуле: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33500" cy="571500"/>
                <wp:effectExtent l="19050" t="0" r="0" b="0"/>
                <wp:docPr id="11" name="Рисунок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1610961" name="Picture 9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33499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105.00pt;height:45.00pt;mso-wrap-distance-left:0.00pt;mso-wrap-distance-top:0.00pt;mso-wrap-distance-right:0.00pt;mso-wrap-distance-bottom:0.00pt;" stroked="f" strokeweight="0.75pt">
                <v:path textboxrect="0,0,0,0"/>
                <v:imagedata r:id="rId23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где: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outlineLvl w:val="0"/>
      </w:pPr>
      <w:r>
        <w:rPr>
          <w:rFonts w:ascii="Times New Roman" w:hAnsi="Times New Roman"/>
          <w:sz w:val="24"/>
          <w:szCs w:val="24"/>
          <w:lang w:eastAsia="ru-RU"/>
        </w:rPr>
        <w:t xml:space="preserve">V – коэффициент вариации,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fldChar w:fldCharType="begin"/>
      </w:r>
      <w:r>
        <w:rPr>
          <w:rFonts w:ascii="Times New Roman" w:hAnsi="Times New Roman"/>
          <w:sz w:val="24"/>
          <w:szCs w:val="24"/>
          <w:lang w:eastAsia="ru-RU"/>
        </w:rPr>
        <w:instrText xml:space="preserve"> QUOTE </w:instrText>
      </w:r>
      <w:r>
        <w:rPr>
          <w:rFonts w:ascii="Times New Roman" w:hAnsi="Times New Roman"/>
          <w:position w:val="-45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0" cy="609600"/>
                <wp:effectExtent l="19050" t="0" r="0" b="0"/>
                <wp:docPr id="1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2786082" name="Picture 1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52549" cy="6095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106.50pt;height:48.00pt;mso-wrap-distance-left:0.00pt;mso-wrap-distance-top:0.00pt;mso-wrap-distance-right:0.00pt;mso-wrap-distance-bottom:0.00pt;" stroked="f" strokeweight="0.75pt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instrText xml:space="preserve"> </w:instrText>
      </w:r>
      <w:r>
        <w:rPr>
          <w:rFonts w:ascii="Times New Roman" w:hAnsi="Times New Roman"/>
          <w:sz w:val="24"/>
          <w:szCs w:val="24"/>
          <w:lang w:eastAsia="ru-RU"/>
        </w:rPr>
        <w:fldChar w:fldCharType="separate"/>
      </w:r>
      <w:r>
        <w:rPr>
          <w:rFonts w:ascii="Times New Roman" w:hAnsi="Times New Roman"/>
          <w:position w:val="-45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352550" cy="609600"/>
                <wp:effectExtent l="19050" t="0" r="0" b="0"/>
                <wp:docPr id="13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9750837" name="Picture 1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</a:blip>
                        <a:stretch/>
                      </pic:blipFill>
                      <pic:spPr bwMode="auto">
                        <a:xfrm>
                          <a:off x="0" y="0"/>
                          <a:ext cx="1352549" cy="6095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106.50pt;height:48.00pt;mso-wrap-distance-left:0.00pt;mso-wrap-distance-top:0.00pt;mso-wrap-distance-right:0.00pt;mso-wrap-distance-bottom:0.00pt;" stroked="f" strokeweight="0.75pt">
                <v:path textboxrect="0,0,0,0"/>
                <v:imagedata r:id="rId24" o:title="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ru-RU"/>
        </w:rPr>
        <w:fldChar w:fldCharType="end"/>
      </w:r>
      <w:r>
        <w:rPr>
          <w:rFonts w:ascii="Times New Roman" w:hAnsi="Times New Roman"/>
          <w:sz w:val="24"/>
          <w:szCs w:val="24"/>
          <w:lang w:eastAsia="ru-RU"/>
        </w:rPr>
        <w:t xml:space="preserve"> – среднеквадратичное отклонение,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цi – цена услуги, указанная в источнике с номером i,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ц – средняя арифметическая величина цены услуги,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right="650" w:firstLine="567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n – количество значений, используемых в расчете.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Коэффициент вариации цены на </w:t>
      </w:r>
      <w:r>
        <w:rPr>
          <w:rFonts w:ascii="Times New Roman" w:hAnsi="Times New Roman"/>
          <w:sz w:val="26"/>
          <w:szCs w:val="26"/>
        </w:rPr>
        <w:t xml:space="preserve">поставку запасных частей, комплектующих для АРМ</w:t>
      </w:r>
      <w:r>
        <w:rPr>
          <w:rFonts w:ascii="Times New Roman" w:hAnsi="Times New Roman"/>
          <w:sz w:val="26"/>
          <w:szCs w:val="26"/>
        </w:rPr>
        <w:t xml:space="preserve"> не превышает 33%, таким образом, выявлена однородность совокупности значений, используемых в расчете при определении НМЦК.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учетом предельных объемов бюджетных обязательств на реализацию данной закупки, НМЦК устанавливается равной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55 </w:t>
      </w:r>
      <w:bookmarkStart w:id="0" w:name="undefined"/>
      <w:r/>
      <w:bookmarkEnd w:id="0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000 (пятьдесят пять тысяч) рублей 00 копеек.</w:t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  <w:r>
        <w:rPr>
          <w:rFonts w:ascii="Times New Roman" w:hAnsi="Times New Roman"/>
          <w:b/>
          <w:color w:val="000000" w:themeColor="text1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eastAsiaTheme="minorHAnsi"/>
          <w:color w:val="000000" w:themeColor="text1"/>
        </w:rPr>
      </w:pPr>
      <w:r>
        <w:rPr>
          <w:rFonts w:ascii="Times New Roman" w:hAnsi="Times New Roman" w:eastAsiaTheme="minorHAnsi"/>
          <w:color w:val="000000" w:themeColor="text1"/>
        </w:rPr>
      </w:r>
      <w:r>
        <w:rPr>
          <w:rFonts w:ascii="Times New Roman" w:hAnsi="Times New Roman" w:eastAsiaTheme="minorHAnsi"/>
          <w:color w:val="000000" w:themeColor="text1"/>
        </w:rPr>
      </w:r>
      <w:r>
        <w:rPr>
          <w:rFonts w:ascii="Times New Roman" w:hAnsi="Times New Roman" w:eastAsiaTheme="minorHAnsi"/>
          <w:color w:val="000000" w:themeColor="text1"/>
        </w:rPr>
      </w:r>
    </w:p>
    <w:p>
      <w:pPr>
        <w:spacing w:after="0" w:line="240" w:lineRule="auto"/>
        <w:rPr>
          <w:rFonts w:ascii="Times New Roman" w:hAnsi="Times New Roman" w:eastAsiaTheme="minorHAnsi"/>
          <w:highlight w:val="white"/>
        </w:rPr>
      </w:pPr>
      <w:r>
        <w:rPr>
          <w:rFonts w:ascii="Times New Roman" w:hAnsi="Times New Roman" w:eastAsiaTheme="minorHAnsi"/>
          <w:lang w:eastAsia="en-US"/>
        </w:rPr>
        <w:t xml:space="preserve">Работник контрактной службы</w:t>
      </w:r>
      <w:r>
        <w:rPr>
          <w:rFonts w:ascii="Times New Roman" w:hAnsi="Times New Roman" w:eastAsiaTheme="minorHAnsi"/>
          <w:lang w:eastAsia="en-US"/>
        </w:rPr>
        <w:t xml:space="preserve">: </w:t>
      </w:r>
      <w:r>
        <w:rPr>
          <w:rFonts w:ascii="Times New Roman" w:hAnsi="Times New Roman" w:eastAsiaTheme="minorHAnsi"/>
          <w:highlight w:val="none"/>
          <w:lang w:eastAsia="en-US"/>
        </w:rPr>
        <w:t xml:space="preserve">главный специалист-эксперт</w:t>
      </w:r>
      <w:r>
        <w:rPr>
          <w:rFonts w:ascii="Times New Roman" w:hAnsi="Times New Roman" w:eastAsiaTheme="minorHAnsi"/>
          <w:highlight w:val="white"/>
          <w:lang w:eastAsia="en-US"/>
        </w:rPr>
        <w:t xml:space="preserve"> </w:t>
      </w:r>
      <w:r>
        <w:rPr>
          <w:rFonts w:ascii="Times New Roman" w:hAnsi="Times New Roman" w:eastAsiaTheme="minorHAnsi"/>
          <w:highlight w:val="white"/>
          <w:lang w:eastAsia="en-US"/>
        </w:rPr>
        <w:t xml:space="preserve">а</w:t>
      </w:r>
      <w:r>
        <w:rPr>
          <w:rFonts w:ascii="Times New Roman" w:hAnsi="Times New Roman" w:eastAsiaTheme="minorHAnsi"/>
          <w:highlight w:val="white"/>
          <w:lang w:eastAsia="en-US"/>
        </w:rPr>
        <w:t xml:space="preserve">дминистративно-хозяйственного отдела</w:t>
      </w:r>
      <w:r>
        <w:rPr>
          <w:rFonts w:ascii="Times New Roman" w:hAnsi="Times New Roman" w:eastAsiaTheme="minorHAnsi"/>
          <w:highlight w:val="white"/>
        </w:rPr>
      </w:r>
      <w:r>
        <w:rPr>
          <w:rFonts w:ascii="Times New Roman" w:hAnsi="Times New Roman" w:eastAsiaTheme="minorHAnsi"/>
          <w:highlight w:val="white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Theme="minorHAnsi"/>
          <w:lang w:eastAsia="en-US"/>
        </w:rPr>
      </w:pP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  <w:r>
        <w:rPr>
          <w:rFonts w:ascii="Times New Roman" w:hAnsi="Times New Roman" w:eastAsiaTheme="minorHAnsi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Theme="minorHAnsi"/>
          <w:sz w:val="16"/>
          <w:szCs w:val="16"/>
          <w:lang w:eastAsia="en-US"/>
        </w:rPr>
      </w:pP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    _______________/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Головина Е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.А./</w:t>
      </w:r>
      <w:r>
        <w:rPr>
          <w:rFonts w:ascii="Times New Roman" w:hAnsi="Times New Roman" w:eastAsiaTheme="minorHAnsi"/>
          <w:sz w:val="16"/>
          <w:szCs w:val="16"/>
          <w:lang w:eastAsia="en-US"/>
        </w:rPr>
      </w:r>
      <w:r>
        <w:rPr>
          <w:rFonts w:ascii="Times New Roman" w:hAnsi="Times New Roman" w:eastAsiaTheme="minorHAnsi"/>
          <w:sz w:val="16"/>
          <w:szCs w:val="16"/>
          <w:lang w:eastAsia="en-US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Theme="minorHAnsi"/>
          <w:sz w:val="16"/>
          <w:szCs w:val="16"/>
          <w:lang w:eastAsia="en-US"/>
        </w:rPr>
      </w:pP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         </w:t>
      </w:r>
      <w:r>
        <w:rPr>
          <w:rFonts w:ascii="Times New Roman" w:hAnsi="Times New Roman" w:eastAsiaTheme="minorHAnsi"/>
          <w:sz w:val="16"/>
          <w:szCs w:val="16"/>
          <w:lang w:eastAsia="en-US"/>
        </w:rPr>
      </w:r>
      <w:r>
        <w:rPr>
          <w:rFonts w:ascii="Times New Roman" w:hAnsi="Times New Roman" w:eastAsiaTheme="minorHAnsi"/>
          <w:sz w:val="16"/>
          <w:szCs w:val="16"/>
          <w:lang w:eastAsia="en-US"/>
        </w:rPr>
      </w:r>
    </w:p>
    <w:p>
      <w:pPr>
        <w:jc w:val="both"/>
        <w:spacing w:after="0" w:line="240" w:lineRule="auto"/>
        <w:widowControl w:val="off"/>
      </w:pP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    "___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" </w:t>
      </w:r>
      <w:r>
        <w:rPr>
          <w:rFonts w:ascii="Times New Roman" w:hAnsi="Times New Roman" w:eastAsiaTheme="minorHAnsi"/>
          <w:sz w:val="16"/>
          <w:szCs w:val="16"/>
          <w:lang w:eastAsia="en-US"/>
        </w:rPr>
        <w:t xml:space="preserve">июня 2026г.</w:t>
      </w:r>
      <w:r/>
    </w:p>
    <w:p>
      <w:pPr>
        <w:jc w:val="both"/>
        <w:spacing w:after="0" w:line="240" w:lineRule="auto"/>
        <w:widowControl w:val="off"/>
      </w:pPr>
      <w:r/>
      <w:r/>
    </w:p>
    <w:sectPr>
      <w:footnotePr/>
      <w:endnotePr/>
      <w:type w:val="nextPage"/>
      <w:pgSz w:w="11906" w:h="16838" w:orient="portrait"/>
      <w:pgMar w:top="1134" w:right="567" w:bottom="1134" w:left="155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5"/>
    <w:uiPriority w:val="10"/>
    <w:rPr>
      <w:sz w:val="48"/>
      <w:szCs w:val="48"/>
    </w:rPr>
  </w:style>
  <w:style w:type="character" w:styleId="664">
    <w:name w:val="Subtitle Char"/>
    <w:basedOn w:val="681"/>
    <w:link w:val="697"/>
    <w:uiPriority w:val="11"/>
    <w:rPr>
      <w:sz w:val="24"/>
      <w:szCs w:val="24"/>
    </w:rPr>
  </w:style>
  <w:style w:type="character" w:styleId="665">
    <w:name w:val="Quote Char"/>
    <w:link w:val="699"/>
    <w:uiPriority w:val="29"/>
    <w:rPr>
      <w:i/>
    </w:rPr>
  </w:style>
  <w:style w:type="character" w:styleId="666">
    <w:name w:val="Intense Quote Char"/>
    <w:link w:val="701"/>
    <w:uiPriority w:val="30"/>
    <w:rPr>
      <w:i/>
    </w:rPr>
  </w:style>
  <w:style w:type="character" w:styleId="667">
    <w:name w:val="Header Char"/>
    <w:basedOn w:val="681"/>
    <w:link w:val="703"/>
    <w:uiPriority w:val="99"/>
  </w:style>
  <w:style w:type="character" w:styleId="668">
    <w:name w:val="Caption Char"/>
    <w:basedOn w:val="707"/>
    <w:link w:val="705"/>
    <w:uiPriority w:val="99"/>
  </w:style>
  <w:style w:type="character" w:styleId="669">
    <w:name w:val="Footnote Text Char"/>
    <w:link w:val="835"/>
    <w:uiPriority w:val="99"/>
    <w:rPr>
      <w:sz w:val="18"/>
    </w:rPr>
  </w:style>
  <w:style w:type="character" w:styleId="670">
    <w:name w:val="Endnote Text Char"/>
    <w:link w:val="838"/>
    <w:uiPriority w:val="99"/>
    <w:rPr>
      <w:sz w:val="20"/>
    </w:rPr>
  </w:style>
  <w:style w:type="paragraph" w:styleId="671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ar-SA"/>
    </w:rPr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basedOn w:val="681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List Paragraph"/>
    <w:basedOn w:val="671"/>
    <w:uiPriority w:val="34"/>
    <w:qFormat/>
    <w:pPr>
      <w:contextualSpacing/>
      <w:ind w:left="720"/>
    </w:pPr>
  </w:style>
  <w:style w:type="paragraph" w:styleId="694">
    <w:name w:val="No Spacing"/>
    <w:uiPriority w:val="1"/>
    <w:qFormat/>
    <w:pPr>
      <w:spacing w:after="0" w:line="240" w:lineRule="auto"/>
    </w:pPr>
  </w:style>
  <w:style w:type="paragraph" w:styleId="695">
    <w:name w:val="Title"/>
    <w:basedOn w:val="671"/>
    <w:next w:val="671"/>
    <w:link w:val="696"/>
    <w:uiPriority w:val="10"/>
    <w:qFormat/>
    <w:pPr>
      <w:contextualSpacing/>
      <w:spacing w:before="300"/>
    </w:pPr>
    <w:rPr>
      <w:sz w:val="48"/>
      <w:szCs w:val="48"/>
    </w:rPr>
  </w:style>
  <w:style w:type="character" w:styleId="696" w:customStyle="1">
    <w:name w:val="Заголовок Знак"/>
    <w:basedOn w:val="681"/>
    <w:link w:val="695"/>
    <w:uiPriority w:val="10"/>
    <w:rPr>
      <w:sz w:val="48"/>
      <w:szCs w:val="48"/>
    </w:rPr>
  </w:style>
  <w:style w:type="paragraph" w:styleId="697">
    <w:name w:val="Subtitle"/>
    <w:basedOn w:val="671"/>
    <w:next w:val="671"/>
    <w:link w:val="698"/>
    <w:uiPriority w:val="11"/>
    <w:qFormat/>
    <w:pPr>
      <w:spacing w:before="200"/>
    </w:pPr>
    <w:rPr>
      <w:sz w:val="24"/>
      <w:szCs w:val="24"/>
    </w:rPr>
  </w:style>
  <w:style w:type="character" w:styleId="698" w:customStyle="1">
    <w:name w:val="Подзаголовок Знак"/>
    <w:basedOn w:val="681"/>
    <w:link w:val="697"/>
    <w:uiPriority w:val="11"/>
    <w:rPr>
      <w:sz w:val="24"/>
      <w:szCs w:val="24"/>
    </w:rPr>
  </w:style>
  <w:style w:type="paragraph" w:styleId="699">
    <w:name w:val="Quote"/>
    <w:basedOn w:val="671"/>
    <w:next w:val="671"/>
    <w:link w:val="700"/>
    <w:uiPriority w:val="29"/>
    <w:qFormat/>
    <w:pPr>
      <w:ind w:left="720" w:right="720"/>
    </w:pPr>
    <w:rPr>
      <w:i/>
    </w:rPr>
  </w:style>
  <w:style w:type="character" w:styleId="700" w:customStyle="1">
    <w:name w:val="Цитата 2 Знак"/>
    <w:link w:val="699"/>
    <w:uiPriority w:val="29"/>
    <w:rPr>
      <w:i/>
    </w:rPr>
  </w:style>
  <w:style w:type="paragraph" w:styleId="701">
    <w:name w:val="Intense Quote"/>
    <w:basedOn w:val="671"/>
    <w:next w:val="671"/>
    <w:link w:val="7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2" w:customStyle="1">
    <w:name w:val="Выделенная цитата Знак"/>
    <w:link w:val="701"/>
    <w:uiPriority w:val="30"/>
    <w:rPr>
      <w:i/>
    </w:rPr>
  </w:style>
  <w:style w:type="paragraph" w:styleId="703">
    <w:name w:val="Header"/>
    <w:basedOn w:val="671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Верхний колонтитул Знак"/>
    <w:basedOn w:val="681"/>
    <w:link w:val="703"/>
    <w:uiPriority w:val="99"/>
  </w:style>
  <w:style w:type="paragraph" w:styleId="705">
    <w:name w:val="Footer"/>
    <w:basedOn w:val="671"/>
    <w:link w:val="70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6" w:customStyle="1">
    <w:name w:val="Footer Char"/>
    <w:basedOn w:val="681"/>
    <w:uiPriority w:val="99"/>
  </w:style>
  <w:style w:type="paragraph" w:styleId="707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8" w:customStyle="1">
    <w:name w:val="Нижний колонтитул Знак"/>
    <w:link w:val="705"/>
    <w:uiPriority w:val="99"/>
  </w:style>
  <w:style w:type="table" w:styleId="709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0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8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9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0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1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2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3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0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1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2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3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4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5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7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0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1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2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3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4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5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6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5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6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7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8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9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0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2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3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4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5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6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7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8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9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0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1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2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3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563c1" w:themeColor="hyperlink"/>
      <w:u w:val="single"/>
    </w:rPr>
  </w:style>
  <w:style w:type="paragraph" w:styleId="835">
    <w:name w:val="footnote text"/>
    <w:basedOn w:val="671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basedOn w:val="681"/>
    <w:uiPriority w:val="99"/>
    <w:unhideWhenUsed/>
    <w:rPr>
      <w:vertAlign w:val="superscript"/>
    </w:rPr>
  </w:style>
  <w:style w:type="paragraph" w:styleId="838">
    <w:name w:val="endnote text"/>
    <w:basedOn w:val="671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basedOn w:val="681"/>
    <w:uiPriority w:val="99"/>
    <w:semiHidden/>
    <w:unhideWhenUsed/>
    <w:rPr>
      <w:vertAlign w:val="superscript"/>
    </w:rPr>
  </w:style>
  <w:style w:type="paragraph" w:styleId="841">
    <w:name w:val="toc 1"/>
    <w:basedOn w:val="671"/>
    <w:next w:val="671"/>
    <w:uiPriority w:val="39"/>
    <w:unhideWhenUsed/>
    <w:pPr>
      <w:spacing w:after="57"/>
    </w:pPr>
  </w:style>
  <w:style w:type="paragraph" w:styleId="842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3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4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5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6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7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8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9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671"/>
    <w:next w:val="671"/>
    <w:uiPriority w:val="99"/>
    <w:unhideWhenUsed/>
    <w:pPr>
      <w:spacing w:after="0"/>
    </w:pPr>
  </w:style>
  <w:style w:type="table" w:styleId="852" w:customStyle="1">
    <w:name w:val="Сетка таблицы5"/>
    <w:basedOn w:val="682"/>
    <w:next w:val="85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3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4">
    <w:name w:val="Balloon Text"/>
    <w:basedOn w:val="671"/>
    <w:link w:val="85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5" w:customStyle="1">
    <w:name w:val="Текст выноски Знак"/>
    <w:basedOn w:val="681"/>
    <w:link w:val="854"/>
    <w:uiPriority w:val="99"/>
    <w:semiHidden/>
    <w:rPr>
      <w:rFonts w:ascii="Tahoma" w:hAnsi="Tahoma" w:eastAsia="Times New Roman" w:cs="Tahoma"/>
      <w:sz w:val="16"/>
      <w:szCs w:val="16"/>
      <w:lang w:eastAsia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media1.svg"/><Relationship Id="rId10" Type="http://schemas.openxmlformats.org/officeDocument/2006/relationships/image" Target="media/image2.png"/><Relationship Id="rId11" Type="http://schemas.openxmlformats.org/officeDocument/2006/relationships/image" Target="media/media2.svg"/><Relationship Id="rId12" Type="http://schemas.openxmlformats.org/officeDocument/2006/relationships/image" Target="media/image3.png"/><Relationship Id="rId13" Type="http://schemas.openxmlformats.org/officeDocument/2006/relationships/image" Target="media/media3.svg"/><Relationship Id="rId14" Type="http://schemas.openxmlformats.org/officeDocument/2006/relationships/image" Target="media/image4.png"/><Relationship Id="rId15" Type="http://schemas.openxmlformats.org/officeDocument/2006/relationships/image" Target="media/media4.svg"/><Relationship Id="rId16" Type="http://schemas.openxmlformats.org/officeDocument/2006/relationships/image" Target="media/image5.png"/><Relationship Id="rId17" Type="http://schemas.openxmlformats.org/officeDocument/2006/relationships/image" Target="media/media5.sv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media6.svg"/><Relationship Id="rId23" Type="http://schemas.openxmlformats.org/officeDocument/2006/relationships/image" Target="media/image10.png"/><Relationship Id="rId24" Type="http://schemas.openxmlformats.org/officeDocument/2006/relationships/image" Target="media/image1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Светлана Алексеевна</dc:creator>
  <cp:revision>25</cp:revision>
  <dcterms:created xsi:type="dcterms:W3CDTF">2024-03-26T13:57:00Z</dcterms:created>
  <dcterms:modified xsi:type="dcterms:W3CDTF">2026-06-17T14:45:31Z</dcterms:modified>
</cp:coreProperties>
</file>