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2" w:firstLine="0"/>
        <w:jc w:val="right"/>
        <w:spacing w:after="0"/>
        <w:shd w:val="clear" w:color="auto" w:fill="ffffff"/>
        <w:rPr>
          <w:rFonts w:ascii="Times New Roman" w:hAnsi="Times New Roman"/>
          <w:b/>
          <w:bCs/>
          <w:spacing w:val="1"/>
          <w:sz w:val="22"/>
          <w:szCs w:val="22"/>
        </w:rPr>
      </w:pPr>
      <w:r>
        <w:rPr>
          <w:rFonts w:ascii="Times New Roman" w:hAnsi="Times New Roman"/>
          <w:b w:val="0"/>
          <w:bCs w:val="0"/>
          <w:spacing w:val="1"/>
          <w:sz w:val="22"/>
          <w:szCs w:val="22"/>
        </w:rPr>
        <w:t xml:space="preserve">Приложение №1 </w:t>
      </w:r>
      <w:r>
        <w:rPr>
          <w:b w:val="0"/>
          <w:bCs w:val="0"/>
        </w:rPr>
      </w:r>
      <w:r>
        <w:rPr>
          <w:rFonts w:ascii="Times New Roman" w:hAnsi="Times New Roman"/>
          <w:b w:val="0"/>
          <w:bCs w:val="0"/>
          <w:spacing w:val="1"/>
          <w:sz w:val="22"/>
          <w:szCs w:val="22"/>
        </w:rPr>
      </w:r>
    </w:p>
    <w:p>
      <w:pPr>
        <w:ind w:right="-19"/>
        <w:jc w:val="center"/>
        <w:spacing w:after="0" w:line="240" w:lineRule="auto"/>
        <w:shd w:val="clear" w:color="auto" w:fill="ffffff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pacing w:val="1"/>
          <w:sz w:val="22"/>
          <w:szCs w:val="22"/>
        </w:rPr>
        <w:t xml:space="preserve">                                                                                                        к контракту №</w:t>
      </w:r>
      <w:r>
        <w:rPr>
          <w:rFonts w:ascii="Times New Roman" w:hAnsi="Times New Roman"/>
          <w:b w:val="0"/>
          <w:bCs w:val="0"/>
          <w:spacing w:val="1"/>
          <w:sz w:val="22"/>
          <w:szCs w:val="22"/>
        </w:rPr>
        <w:t xml:space="preserve">___________________</w:t>
      </w:r>
      <w:r>
        <w:rPr>
          <w:rFonts w:ascii="Times New Roman" w:hAnsi="Times New Roman" w:eastAsia="Calibri"/>
          <w:b w:val="0"/>
          <w:bCs w:val="0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b w:val="0"/>
          <w:bCs w:val="0"/>
          <w:sz w:val="24"/>
          <w:szCs w:val="24"/>
          <w:highlight w:val="none"/>
          <w:lang w:eastAsia="en-US"/>
        </w:rPr>
      </w:r>
    </w:p>
    <w:p>
      <w:pPr>
        <w:ind w:right="-19"/>
        <w:jc w:val="center"/>
        <w:spacing w:after="0" w:line="240" w:lineRule="auto"/>
        <w:shd w:val="clear" w:color="auto" w:fill="ffffff"/>
        <w:rPr>
          <w:rFonts w:ascii="Times New Roman" w:hAnsi="Times New Roman" w:eastAsia="Calibri"/>
          <w:b/>
          <w:bCs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highlight w:val="none"/>
          <w:lang w:eastAsia="en-US"/>
        </w:rPr>
      </w:r>
    </w:p>
    <w:p>
      <w:pPr>
        <w:ind w:right="-19"/>
        <w:jc w:val="center"/>
        <w:spacing w:after="0" w:line="240" w:lineRule="auto"/>
        <w:shd w:val="clear" w:color="auto" w:fill="ffffff"/>
        <w:rPr>
          <w:rFonts w:ascii="Times New Roman" w:hAnsi="Times New Roman" w:eastAsia="Calibri"/>
          <w:b/>
          <w:bCs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Описание объекта закупки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 w:eastAsia="Calibri"/>
          <w:b/>
          <w:bCs/>
          <w:sz w:val="24"/>
          <w:szCs w:val="24"/>
          <w:highlight w:val="none"/>
          <w:lang w:eastAsia="en-US"/>
        </w:rPr>
      </w:r>
    </w:p>
    <w:p>
      <w:pPr>
        <w:jc w:val="center"/>
        <w:spacing w:after="0" w:line="240" w:lineRule="auto"/>
        <w:tabs>
          <w:tab w:val="left" w:pos="23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поставка запасных частей, комплектующих для АРМ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/>
        <w:jc w:val="center"/>
        <w:spacing w:after="0" w:line="240" w:lineRule="auto"/>
        <w:tabs>
          <w:tab w:val="left" w:pos="23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43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Поставляемый товар должен быть новым, не </w:t>
      </w:r>
      <w:r>
        <w:rPr>
          <w:rFonts w:ascii="Times New Roman" w:hAnsi="Times New Roman"/>
          <w:sz w:val="24"/>
          <w:szCs w:val="24"/>
          <w:lang w:eastAsia="ru-RU"/>
        </w:rPr>
        <w:t xml:space="preserve">бывшим в употреблении, не прошедшим ремонт, в том числе восстановление, замену составных частей, восстановление потребительских свойств, без следов механических повреждений и изменения вида комплектующих, работоспособным, обеспечивать предусмотренную произ</w:t>
      </w:r>
      <w:r>
        <w:rPr>
          <w:rFonts w:ascii="Times New Roman" w:hAnsi="Times New Roman"/>
          <w:sz w:val="24"/>
          <w:szCs w:val="24"/>
          <w:lang w:eastAsia="ru-RU"/>
        </w:rPr>
        <w:t xml:space="preserve">водителем функциональность, свободным от любых прав третьих лиц, не являться контрафактной продукцией в соответствии с законодательством РФ в области защиты интеллектуальной собственности на товарные знаки, патентованные технологии и промышленные образцы.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/>
        <w:jc w:val="both"/>
        <w:spacing w:after="0" w:line="240" w:lineRule="auto"/>
        <w:tabs>
          <w:tab w:val="left" w:pos="23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Style w:val="1125"/>
        <w:tblW w:w="99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5"/>
        <w:gridCol w:w="8"/>
        <w:gridCol w:w="2943"/>
        <w:gridCol w:w="1984"/>
        <w:gridCol w:w="1533"/>
        <w:gridCol w:w="795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2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характеристики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характеристики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Единица измерения хар-ки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1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319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 питания DEEPCOOL PF500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[R-PF500D-HA0B-EU] черный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94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 (номинал)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tcW w:w="2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94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Форм-фактор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ATX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tcW w:w="2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94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55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tcW w:w="2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94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сновной разъем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20+4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pin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55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tcW w:w="2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94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Разъемы для питания процессора (CPU)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4+4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pin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Разъемы для питания видеокарты (PCI-E)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6+2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pin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разъемов 15-pin SATA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разъемов 4-pin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Molex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9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Разъем 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Floppy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Длина основного кабеля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Длина кабеля питания процессора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Длина кабеля питания PCI-E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Длина кабеля питания SATA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Длина кабеля питания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Molex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 по линии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 по линии +12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12V1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0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 по линии +3.3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9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 по линии +5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 дежурного источника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(+5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2.5А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Standby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 по линии -12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0.3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Диапазон входного напряжения сети 200-240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64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охлаждения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Размеры вентиляторов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Регулировка оборотов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автоматическая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72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Переключатель режима работы вентилятора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Hybrid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4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Сертификат 80 PLUS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Standard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Корректор коэффициента мощности (PFC)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Сетевой кабель в комплекте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64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плоские кабели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 - 1.3 кг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ТБ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Жесткий диск WD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Purple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[WD33PURZ]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эквивалент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жесткий диск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</w:tcBorders>
            <w:tcW w:w="7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HDD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кэш-памяти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256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8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Скорость вращения шпинделя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5400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Максимальная скорость передачи данных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175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Мбайт/сек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Интерфейс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SATA III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Пропускная способность интерфейса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Гбит/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Оптимизация под RAID-массивы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записи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CMR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101.6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147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Аккумуляторная батарея дл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ИБП WBR HR1234W F2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аккумуляторная батарея для ИБП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AGM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Основной цвет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зеленый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винцово-кислотный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51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Емкость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  <w:r>
              <w:rPr>
                <w:rFonts w:ascii="Times New Roman" w:hAnsi="Times New Roman"/>
                <w:szCs w:val="24"/>
                <w:lang w:eastAsia="ru-RU"/>
              </w:rPr>
            </w:r>
          </w:p>
        </w:tc>
      </w:tr>
      <w:tr>
        <w:tblPrEx/>
        <w:trPr>
          <w:trHeight w:val="48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Клеммы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T2/F2 (под клемму 250)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3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Максимальный ток заряда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Максимальный ток разряда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Внутреннее сопротивление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циклов полной зарядки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элементов в блоке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Срок службы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-20 °C ~ 60 °C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Хранение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-40 °C ~ 60 °C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-40 °C ~ 60 °C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 корпуса ABS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Ручка для переноски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Конструктивные особенности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ind w:left="0" w:right="-216" w:firstLine="0"/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необслуживаемые,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ударопрочный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93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Высота с учетом клеммы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95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57" w:lineRule="atLeast"/>
              <w:shd w:val="clear" w:color="ffffff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795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center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Место поставки товара.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59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Поставка Товара осуществляется на склад Заказчика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одной партией</w:t>
      </w:r>
      <w:r/>
      <w:r>
        <w:rPr>
          <w:rFonts w:ascii="Times New Roman" w:hAnsi="Times New Roman"/>
          <w:sz w:val="24"/>
          <w:szCs w:val="24"/>
          <w:lang w:eastAsia="ru-RU"/>
        </w:rPr>
        <w:t xml:space="preserve"> по адресу:                  г. Смоленск, ул. Полтавская, д. 8.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59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Сроки поставки товара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sz w:val="24"/>
          <w:szCs w:val="24"/>
          <w:lang w:eastAsia="ru-RU"/>
        </w:rPr>
        <w:t xml:space="preserve"> с момента заключения контракта до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13.07.2026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Поставка о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существляется в рабочее время Заказчика: Пн. – Чт.: с 9.00 до 18.00 часов, перерыв с 13.00-13.45 часов; Пт.: с 9.00 до 16.45 часов, перерыв с 13.00-13.45 часов. </w:t>
      </w:r>
      <w:r>
        <w:rPr>
          <w:rFonts w:ascii="Times New Roman" w:hAnsi="Times New Roman"/>
          <w:bCs/>
          <w:iCs/>
          <w:sz w:val="24"/>
          <w:szCs w:val="24"/>
        </w:rPr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ОКПД 26.20.40.190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b/>
          <w:bCs/>
          <w:sz w:val="24"/>
          <w:szCs w:val="24"/>
          <w:highlight w:val="none"/>
        </w:rPr>
        <w:suppressLineNumbers w:val="0"/>
      </w:pPr>
      <w:r>
        <w:rPr>
          <w:rFonts w:ascii="Tinos" w:hAnsi="Tinos" w:eastAsia="Tinos" w:cs="Tinos" w:eastAsiaTheme="minorHAnsi"/>
          <w:b/>
          <w:bCs/>
          <w:sz w:val="24"/>
          <w:szCs w:val="24"/>
          <w:highlight w:val="none"/>
          <w:lang w:eastAsia="en-US"/>
        </w:rPr>
        <w:t xml:space="preserve">4. Условия поставки товара.</w:t>
      </w:r>
      <w:r>
        <w:rPr>
          <w:rFonts w:ascii="Tinos" w:hAnsi="Tinos" w:cs="Tinos" w:eastAsiaTheme="minorHAnsi"/>
          <w:b/>
          <w:bCs/>
          <w:sz w:val="24"/>
          <w:szCs w:val="24"/>
          <w:highlight w:val="none"/>
        </w:rPr>
      </w:r>
      <w:r>
        <w:rPr>
          <w:rFonts w:ascii="Tinos" w:hAnsi="Tinos" w:cs="Tinos" w:eastAsiaTheme="minorHAnsi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В процессе поставки Товара Поставщик обязан соблюдать внутренний пропускной режим Заказчика.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Поставщик обязан уведомить Заказчика о времени и дате поставки Товара                      не позднее, чем за два дня до момента его доставки к месту поставки.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Поставщик (либо представитель Поставщика) при доставке Товара демонстрирует Заказчику соответствие поставляемого Товара требованиям, указанным в данном описании объекта закупки.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Товар и упаковка должны соответствовать стандартам и техническим условиям  изготовителя, иметь предусмотренные законодательством сертификаты, действующие                    на территории Российской Федерации.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Поставка товара осуществляется с выполнением погрузочно-разгрузочных работ,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 включая размещение товар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а на складе Заказчика. Все виды погрузочно-разгрузочных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                         за счет Поставщика.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Поставщик гарантирует, что товар передается свободным от прав третьих лиц                  и не является предметом залога, ареста или иного обремен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ения.</w:t>
      </w:r>
      <w:r>
        <w:rPr>
          <w:rFonts w:ascii="Tinos" w:hAnsi="Tinos" w:cs="Tinos" w:eastAsiaTheme="minorHAnsi"/>
          <w:b w:val="0"/>
          <w:bCs w:val="0"/>
          <w:sz w:val="24"/>
          <w:szCs w:val="24"/>
          <w:highlight w:val="none"/>
        </w:rPr>
      </w:r>
      <w:r>
        <w:rPr>
          <w:rFonts w:ascii="Tinos" w:hAnsi="Tinos" w:cs="Tinos" w:eastAsiaTheme="minorHAnsi"/>
          <w:b w:val="0"/>
          <w:bCs w:val="0"/>
          <w:sz w:val="24"/>
          <w:szCs w:val="24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b/>
          <w:bCs/>
          <w:sz w:val="24"/>
          <w:szCs w:val="24"/>
          <w:highlight w:val="none"/>
        </w:rPr>
        <w:suppressLineNumbers w:val="0"/>
      </w:pPr>
      <w:r>
        <w:rPr>
          <w:rFonts w:ascii="Tinos" w:hAnsi="Tinos" w:eastAsia="Tinos" w:cs="Tinos" w:eastAsiaTheme="minorHAnsi"/>
          <w:b/>
          <w:bCs/>
          <w:sz w:val="24"/>
          <w:szCs w:val="24"/>
          <w:highlight w:val="none"/>
          <w:lang w:eastAsia="en-US"/>
        </w:rPr>
        <w:t xml:space="preserve">5. Качество товара и гарантийный срок</w:t>
      </w:r>
      <w:r>
        <w:rPr>
          <w:rFonts w:ascii="Tinos" w:hAnsi="Tinos" w:eastAsia="Tinos" w:cs="Tinos" w:eastAsiaTheme="minorHAnsi"/>
          <w:b/>
          <w:bCs/>
          <w:sz w:val="24"/>
          <w:szCs w:val="24"/>
          <w:highlight w:val="none"/>
          <w:lang w:eastAsia="en-US"/>
        </w:rPr>
        <w:t xml:space="preserve">.</w:t>
      </w:r>
      <w:r>
        <w:rPr>
          <w:rFonts w:ascii="Tinos" w:hAnsi="Tinos" w:cs="Tinos" w:eastAsiaTheme="minorHAnsi"/>
          <w:b/>
          <w:bCs/>
          <w:sz w:val="24"/>
          <w:szCs w:val="24"/>
          <w:highlight w:val="none"/>
        </w:rPr>
      </w:r>
      <w:r>
        <w:rPr>
          <w:rFonts w:ascii="Tinos" w:hAnsi="Tinos" w:cs="Tinos" w:eastAsiaTheme="minorHAnsi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5.1. Поставщик гарантирует, что поставляемый Товар новый и соответствует требованиям, у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становленным Контрактом.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              и законодательством Российской Феде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рации.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5.3. Товар должен быть упакован и замаркирован в соответствии с действующими стандартами.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Поставщик поставляет Товар в у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5.4. Н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а поставляемый Товар Поставщик дает гарантию качества, которая составляет 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не менее 12 месяцев 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и исчисляется с момента подписания документа о приемке Заказчиком. Вм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есте с поставляемым Товаром Поставщик должен передать документы, подтверждающие гарантию производителя и Поставщика на Товар. Поставщик гарантирует, что будет осуществлять гарантийное обслуживание поставляемого Товара согласно перечню, но не исключительно: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709" w:right="0" w:firstLine="0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замену вышедших из строя комплектующ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их Товара и запасных частей в случае обнар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ужения производственного брака или поломки;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709" w:right="0" w:firstLine="0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ремонт Товара и его комплектующих;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709" w:right="0" w:firstLine="0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замену вышедшего из строя Товара в целом, в случае невозможности его ремонта.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Гарантийный ремонт производится на основании письменного заявления (заявки) Заказчика о неисправности Товара. Заявление Заказчика о неисправности может быть подано посредством телефонной, почтовой связи или на электронную почту Поставщика.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Если произвести ремонт Товара на месте его использования не представляется возможным, то Поставщик обязан за свой счет вывезти его и произвести необходимый ремонт.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Ремонт Товара, замену его комплектующих и/или запасных частей и возврат Товара Заказчику Поставщик обязан осуществить за свой счет и в срок, не превышающий                     10 (десять) рабочих дней с момента подписания акта осмотра Товара.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nos" w:hAnsi="Tinos" w:cs="Tinos" w:eastAsiaTheme="minorHAnsi"/>
          <w:sz w:val="24"/>
          <w:szCs w:val="24"/>
          <w:highlight w:val="none"/>
          <w14:ligatures w14:val="none"/>
        </w:rPr>
        <w:suppressLineNumbers w:val="0"/>
      </w:pPr>
      <w:r>
        <w:rPr>
          <w:rFonts w:ascii="Tinos" w:hAnsi="Tinos" w:cs="Tinos" w:eastAsiaTheme="minorHAnsi"/>
          <w:sz w:val="24"/>
          <w:szCs w:val="24"/>
          <w:lang w:eastAsia="en-US"/>
        </w:rPr>
        <w:t xml:space="preserve">В случае невозможности отремонтировать Тов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ар или произвести замену вышедших из строя комплектующих и/или запасных частей Товара Поставщик обязан произвести полную замену Товара на Товар, полностью соответствующий по своим техническим, функциональным и иным характеристикам Товару, подлежащему замен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е, в соответствии с требованиями условий контракта и настоящего описания объекта закупки в срок не более 10 (десяти) рабочих дней с даты осмотра Товара. Поставщик обязан предоставить Заказчику документ о невозможности проведения ремонта Товара, подтверждаю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щий его освидетельствование авторизированным сервисным центром, в срок, не превышающий            5 (пяти) календарных дней с даты осмотра Товара. В случае обнаружения дефектов Товара в течение гарантийного сро</w:t>
      </w:r>
      <w:r>
        <w:rPr>
          <w:rFonts w:ascii="Tinos" w:hAnsi="Tinos" w:cs="Tinos" w:eastAsiaTheme="minorHAnsi"/>
          <w:sz w:val="24"/>
          <w:szCs w:val="24"/>
          <w:lang w:eastAsia="en-US"/>
        </w:rPr>
        <w:t xml:space="preserve">ка, гарантийный срок продлевается на срок их устранения. </w:t>
      </w:r>
      <w:r>
        <w:rPr>
          <w:rFonts w:ascii="Tinos" w:hAnsi="Tinos" w:cs="Tinos" w:eastAsiaTheme="minorHAnsi"/>
          <w:sz w:val="24"/>
          <w:szCs w:val="24"/>
          <w:highlight w:val="none"/>
          <w14:ligatures w14:val="none"/>
        </w:rPr>
      </w:r>
      <w:r>
        <w:rPr>
          <w:rFonts w:ascii="Tinos" w:hAnsi="Tinos" w:cs="Tinos" w:eastAsiaTheme="minorHAnsi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113" w:line="240" w:lineRule="auto"/>
        <w:rPr>
          <w:rFonts w:ascii="Tinos" w:hAnsi="Tinos" w:cs="Tinos" w:eastAsiaTheme="minorHAnsi"/>
          <w:sz w:val="24"/>
          <w:szCs w:val="24"/>
          <w14:ligatures w14:val="none"/>
        </w:rPr>
        <w:suppressLineNumbers w:val="0"/>
      </w:pPr>
      <w:r>
        <w:rPr>
          <w:rFonts w:ascii="Tinos" w:hAnsi="Tinos" w:cs="Tinos" w:eastAsiaTheme="minorHAnsi"/>
          <w:b/>
          <w:bCs/>
          <w:sz w:val="24"/>
          <w:szCs w:val="24"/>
          <w:highlight w:val="none"/>
          <w:lang w:eastAsia="en-US"/>
          <w14:ligatures w14:val="none"/>
        </w:rPr>
        <w:t xml:space="preserve">6. </w:t>
      </w:r>
      <w:r>
        <w:rPr>
          <w:rFonts w:ascii="Tinos" w:hAnsi="Tinos" w:cs="Tinos" w:eastAsiaTheme="minorHAnsi"/>
          <w:sz w:val="24"/>
          <w:szCs w:val="24"/>
          <w:highlight w:val="none"/>
          <w:lang w:eastAsia="en-US"/>
          <w14:ligatures w14:val="none"/>
        </w:rPr>
        <w:t xml:space="preserve">При подаче предложений участник закупки в отношении предлагаемого товара  должен предоставить информацию о стране происхождения товара, конкретные характеристики товара, марку, модель, товарный знак (при наличии).</w:t>
      </w:r>
      <w:r>
        <w:rPr>
          <w:rFonts w:ascii="Tinos" w:hAnsi="Tinos" w:cs="Tinos" w:eastAsiaTheme="minorHAnsi"/>
          <w:sz w:val="24"/>
          <w:szCs w:val="24"/>
          <w14:ligatures w14:val="none"/>
        </w:rPr>
      </w:r>
      <w:r>
        <w:rPr>
          <w:rFonts w:ascii="Tinos" w:hAnsi="Tinos" w:cs="Tinos" w:eastAsiaTheme="minorHAnsi"/>
          <w:sz w:val="24"/>
          <w:szCs w:val="24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Theme="minorHAnsi"/>
          <w:sz w:val="24"/>
          <w:szCs w:val="24"/>
          <w:highlight w:val="none"/>
          <w:lang w:eastAsia="ru-RU"/>
          <w14:ligatures w14:val="none"/>
        </w:rPr>
      </w:r>
    </w:p>
    <w:tbl>
      <w:tblPr>
        <w:tblpPr w:horzAnchor="margin" w:tblpXSpec="left" w:vertAnchor="text" w:tblpY="128" w:leftFromText="180" w:topFromText="0" w:rightFromText="180" w:bottomFromText="0"/>
        <w:tblW w:w="9430" w:type="dxa"/>
        <w:tblLayout w:type="fixed"/>
        <w:tblLook w:val="00A0" w:firstRow="1" w:lastRow="0" w:firstColumn="1" w:lastColumn="0" w:noHBand="0" w:noVBand="0"/>
      </w:tblPr>
      <w:tblGrid>
        <w:gridCol w:w="4786"/>
        <w:gridCol w:w="4643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ind w:right="252"/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spacing w:after="0" w:line="240" w:lineRule="auto"/>
              <w:tabs>
                <w:tab w:val="left" w:pos="-180" w:leader="none"/>
                <w:tab w:val="left" w:pos="0" w:leader="none"/>
                <w:tab w:val="left" w:pos="400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 Росреестра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252"/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252"/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252"/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252"/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 С.В. Сафонова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252"/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Поставщик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-180" w:leader="none"/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Univers">
    <w:panose1 w:val="02000603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Univers" w:hAnsi="Univer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4">
    <w:name w:val="Heading 1 Char"/>
    <w:basedOn w:val="951"/>
    <w:link w:val="942"/>
    <w:uiPriority w:val="9"/>
    <w:rPr>
      <w:rFonts w:ascii="Arial" w:hAnsi="Arial" w:eastAsia="Arial" w:cs="Arial"/>
      <w:sz w:val="40"/>
      <w:szCs w:val="40"/>
    </w:rPr>
  </w:style>
  <w:style w:type="character" w:styleId="925">
    <w:name w:val="Heading 2 Char"/>
    <w:basedOn w:val="951"/>
    <w:link w:val="943"/>
    <w:uiPriority w:val="9"/>
    <w:rPr>
      <w:rFonts w:ascii="Arial" w:hAnsi="Arial" w:eastAsia="Arial" w:cs="Arial"/>
      <w:sz w:val="34"/>
    </w:rPr>
  </w:style>
  <w:style w:type="character" w:styleId="926">
    <w:name w:val="Heading 3 Char"/>
    <w:basedOn w:val="951"/>
    <w:link w:val="944"/>
    <w:uiPriority w:val="9"/>
    <w:rPr>
      <w:rFonts w:ascii="Arial" w:hAnsi="Arial" w:eastAsia="Arial" w:cs="Arial"/>
      <w:sz w:val="30"/>
      <w:szCs w:val="30"/>
    </w:rPr>
  </w:style>
  <w:style w:type="character" w:styleId="927">
    <w:name w:val="Heading 4 Char"/>
    <w:basedOn w:val="951"/>
    <w:link w:val="945"/>
    <w:uiPriority w:val="9"/>
    <w:rPr>
      <w:rFonts w:ascii="Arial" w:hAnsi="Arial" w:eastAsia="Arial" w:cs="Arial"/>
      <w:b/>
      <w:bCs/>
      <w:sz w:val="26"/>
      <w:szCs w:val="26"/>
    </w:rPr>
  </w:style>
  <w:style w:type="character" w:styleId="928">
    <w:name w:val="Heading 5 Char"/>
    <w:basedOn w:val="951"/>
    <w:link w:val="946"/>
    <w:uiPriority w:val="9"/>
    <w:rPr>
      <w:rFonts w:ascii="Arial" w:hAnsi="Arial" w:eastAsia="Arial" w:cs="Arial"/>
      <w:b/>
      <w:bCs/>
      <w:sz w:val="24"/>
      <w:szCs w:val="24"/>
    </w:rPr>
  </w:style>
  <w:style w:type="character" w:styleId="929">
    <w:name w:val="Heading 6 Char"/>
    <w:basedOn w:val="951"/>
    <w:link w:val="947"/>
    <w:uiPriority w:val="9"/>
    <w:rPr>
      <w:rFonts w:ascii="Arial" w:hAnsi="Arial" w:eastAsia="Arial" w:cs="Arial"/>
      <w:b/>
      <w:bCs/>
      <w:sz w:val="22"/>
      <w:szCs w:val="22"/>
    </w:rPr>
  </w:style>
  <w:style w:type="character" w:styleId="930">
    <w:name w:val="Heading 7 Char"/>
    <w:basedOn w:val="951"/>
    <w:link w:val="9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1">
    <w:name w:val="Heading 8 Char"/>
    <w:basedOn w:val="951"/>
    <w:link w:val="949"/>
    <w:uiPriority w:val="9"/>
    <w:rPr>
      <w:rFonts w:ascii="Arial" w:hAnsi="Arial" w:eastAsia="Arial" w:cs="Arial"/>
      <w:i/>
      <w:iCs/>
      <w:sz w:val="22"/>
      <w:szCs w:val="22"/>
    </w:rPr>
  </w:style>
  <w:style w:type="character" w:styleId="932">
    <w:name w:val="Heading 9 Char"/>
    <w:basedOn w:val="951"/>
    <w:link w:val="950"/>
    <w:uiPriority w:val="9"/>
    <w:rPr>
      <w:rFonts w:ascii="Arial" w:hAnsi="Arial" w:eastAsia="Arial" w:cs="Arial"/>
      <w:i/>
      <w:iCs/>
      <w:sz w:val="21"/>
      <w:szCs w:val="21"/>
    </w:rPr>
  </w:style>
  <w:style w:type="character" w:styleId="933">
    <w:name w:val="Title Char"/>
    <w:basedOn w:val="951"/>
    <w:link w:val="964"/>
    <w:uiPriority w:val="10"/>
    <w:rPr>
      <w:sz w:val="48"/>
      <w:szCs w:val="48"/>
    </w:rPr>
  </w:style>
  <w:style w:type="character" w:styleId="934">
    <w:name w:val="Subtitle Char"/>
    <w:basedOn w:val="951"/>
    <w:link w:val="966"/>
    <w:uiPriority w:val="11"/>
    <w:rPr>
      <w:sz w:val="24"/>
      <w:szCs w:val="24"/>
    </w:rPr>
  </w:style>
  <w:style w:type="character" w:styleId="935">
    <w:name w:val="Quote Char"/>
    <w:link w:val="968"/>
    <w:uiPriority w:val="29"/>
    <w:rPr>
      <w:i/>
    </w:rPr>
  </w:style>
  <w:style w:type="character" w:styleId="936">
    <w:name w:val="Intense Quote Char"/>
    <w:link w:val="970"/>
    <w:uiPriority w:val="30"/>
    <w:rPr>
      <w:i/>
    </w:rPr>
  </w:style>
  <w:style w:type="character" w:styleId="937">
    <w:name w:val="Header Char"/>
    <w:basedOn w:val="951"/>
    <w:link w:val="972"/>
    <w:uiPriority w:val="99"/>
  </w:style>
  <w:style w:type="character" w:styleId="938">
    <w:name w:val="Caption Char"/>
    <w:basedOn w:val="976"/>
    <w:link w:val="974"/>
    <w:uiPriority w:val="99"/>
  </w:style>
  <w:style w:type="character" w:styleId="939">
    <w:name w:val="Footnote Text Char"/>
    <w:link w:val="1104"/>
    <w:uiPriority w:val="99"/>
    <w:rPr>
      <w:sz w:val="18"/>
    </w:rPr>
  </w:style>
  <w:style w:type="character" w:styleId="940">
    <w:name w:val="Endnote Text Char"/>
    <w:link w:val="1107"/>
    <w:uiPriority w:val="99"/>
    <w:rPr>
      <w:sz w:val="20"/>
    </w:rPr>
  </w:style>
  <w:style w:type="paragraph" w:styleId="941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ar-SA"/>
    </w:rPr>
  </w:style>
  <w:style w:type="paragraph" w:styleId="942">
    <w:name w:val="Heading 1"/>
    <w:basedOn w:val="941"/>
    <w:next w:val="941"/>
    <w:link w:val="95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43">
    <w:name w:val="Heading 2"/>
    <w:basedOn w:val="941"/>
    <w:next w:val="941"/>
    <w:link w:val="95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44">
    <w:name w:val="Heading 3"/>
    <w:basedOn w:val="941"/>
    <w:next w:val="941"/>
    <w:link w:val="95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45">
    <w:name w:val="Heading 4"/>
    <w:basedOn w:val="941"/>
    <w:next w:val="941"/>
    <w:link w:val="95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6">
    <w:name w:val="Heading 5"/>
    <w:basedOn w:val="941"/>
    <w:next w:val="941"/>
    <w:link w:val="95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47">
    <w:name w:val="Heading 6"/>
    <w:basedOn w:val="941"/>
    <w:next w:val="941"/>
    <w:link w:val="95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48">
    <w:name w:val="Heading 7"/>
    <w:basedOn w:val="941"/>
    <w:next w:val="941"/>
    <w:link w:val="96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49">
    <w:name w:val="Heading 8"/>
    <w:basedOn w:val="941"/>
    <w:next w:val="941"/>
    <w:link w:val="96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50">
    <w:name w:val="Heading 9"/>
    <w:basedOn w:val="941"/>
    <w:next w:val="941"/>
    <w:link w:val="96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character" w:styleId="954" w:customStyle="1">
    <w:name w:val="Заголовок 1 Знак"/>
    <w:basedOn w:val="951"/>
    <w:link w:val="942"/>
    <w:uiPriority w:val="9"/>
    <w:rPr>
      <w:rFonts w:ascii="Arial" w:hAnsi="Arial" w:eastAsia="Arial" w:cs="Arial"/>
      <w:sz w:val="40"/>
      <w:szCs w:val="40"/>
    </w:rPr>
  </w:style>
  <w:style w:type="character" w:styleId="955" w:customStyle="1">
    <w:name w:val="Заголовок 2 Знак"/>
    <w:basedOn w:val="951"/>
    <w:link w:val="943"/>
    <w:uiPriority w:val="9"/>
    <w:rPr>
      <w:rFonts w:ascii="Arial" w:hAnsi="Arial" w:eastAsia="Arial" w:cs="Arial"/>
      <w:sz w:val="34"/>
    </w:rPr>
  </w:style>
  <w:style w:type="character" w:styleId="956" w:customStyle="1">
    <w:name w:val="Заголовок 3 Знак"/>
    <w:basedOn w:val="951"/>
    <w:link w:val="944"/>
    <w:uiPriority w:val="9"/>
    <w:rPr>
      <w:rFonts w:ascii="Arial" w:hAnsi="Arial" w:eastAsia="Arial" w:cs="Arial"/>
      <w:sz w:val="30"/>
      <w:szCs w:val="30"/>
    </w:rPr>
  </w:style>
  <w:style w:type="character" w:styleId="957" w:customStyle="1">
    <w:name w:val="Заголовок 4 Знак"/>
    <w:basedOn w:val="951"/>
    <w:link w:val="945"/>
    <w:uiPriority w:val="9"/>
    <w:rPr>
      <w:rFonts w:ascii="Arial" w:hAnsi="Arial" w:eastAsia="Arial" w:cs="Arial"/>
      <w:b/>
      <w:bCs/>
      <w:sz w:val="26"/>
      <w:szCs w:val="26"/>
    </w:rPr>
  </w:style>
  <w:style w:type="character" w:styleId="958" w:customStyle="1">
    <w:name w:val="Заголовок 5 Знак"/>
    <w:basedOn w:val="951"/>
    <w:link w:val="946"/>
    <w:uiPriority w:val="9"/>
    <w:rPr>
      <w:rFonts w:ascii="Arial" w:hAnsi="Arial" w:eastAsia="Arial" w:cs="Arial"/>
      <w:b/>
      <w:bCs/>
      <w:sz w:val="24"/>
      <w:szCs w:val="24"/>
    </w:rPr>
  </w:style>
  <w:style w:type="character" w:styleId="959" w:customStyle="1">
    <w:name w:val="Заголовок 6 Знак"/>
    <w:basedOn w:val="951"/>
    <w:link w:val="947"/>
    <w:uiPriority w:val="9"/>
    <w:rPr>
      <w:rFonts w:ascii="Arial" w:hAnsi="Arial" w:eastAsia="Arial" w:cs="Arial"/>
      <w:b/>
      <w:bCs/>
      <w:sz w:val="22"/>
      <w:szCs w:val="22"/>
    </w:rPr>
  </w:style>
  <w:style w:type="character" w:styleId="960" w:customStyle="1">
    <w:name w:val="Заголовок 7 Знак"/>
    <w:basedOn w:val="951"/>
    <w:link w:val="9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1" w:customStyle="1">
    <w:name w:val="Заголовок 8 Знак"/>
    <w:basedOn w:val="951"/>
    <w:link w:val="949"/>
    <w:uiPriority w:val="9"/>
    <w:rPr>
      <w:rFonts w:ascii="Arial" w:hAnsi="Arial" w:eastAsia="Arial" w:cs="Arial"/>
      <w:i/>
      <w:iCs/>
      <w:sz w:val="22"/>
      <w:szCs w:val="22"/>
    </w:rPr>
  </w:style>
  <w:style w:type="character" w:styleId="962" w:customStyle="1">
    <w:name w:val="Заголовок 9 Знак"/>
    <w:basedOn w:val="951"/>
    <w:link w:val="950"/>
    <w:uiPriority w:val="9"/>
    <w:rPr>
      <w:rFonts w:ascii="Arial" w:hAnsi="Arial" w:eastAsia="Arial" w:cs="Arial"/>
      <w:i/>
      <w:iCs/>
      <w:sz w:val="21"/>
      <w:szCs w:val="21"/>
    </w:rPr>
  </w:style>
  <w:style w:type="paragraph" w:styleId="963">
    <w:name w:val="No Spacing"/>
    <w:uiPriority w:val="1"/>
    <w:qFormat/>
    <w:pPr>
      <w:spacing w:after="0" w:line="240" w:lineRule="auto"/>
    </w:pPr>
  </w:style>
  <w:style w:type="paragraph" w:styleId="964">
    <w:name w:val="Title"/>
    <w:basedOn w:val="941"/>
    <w:next w:val="941"/>
    <w:link w:val="965"/>
    <w:uiPriority w:val="10"/>
    <w:qFormat/>
    <w:pPr>
      <w:contextualSpacing/>
      <w:spacing w:before="300"/>
    </w:pPr>
    <w:rPr>
      <w:sz w:val="48"/>
      <w:szCs w:val="48"/>
    </w:rPr>
  </w:style>
  <w:style w:type="character" w:styleId="965" w:customStyle="1">
    <w:name w:val="Заголовок Знак"/>
    <w:basedOn w:val="951"/>
    <w:link w:val="964"/>
    <w:uiPriority w:val="10"/>
    <w:rPr>
      <w:sz w:val="48"/>
      <w:szCs w:val="48"/>
    </w:rPr>
  </w:style>
  <w:style w:type="paragraph" w:styleId="966">
    <w:name w:val="Subtitle"/>
    <w:basedOn w:val="941"/>
    <w:next w:val="941"/>
    <w:link w:val="967"/>
    <w:uiPriority w:val="11"/>
    <w:qFormat/>
    <w:pPr>
      <w:spacing w:before="200"/>
    </w:pPr>
    <w:rPr>
      <w:sz w:val="24"/>
      <w:szCs w:val="24"/>
    </w:rPr>
  </w:style>
  <w:style w:type="character" w:styleId="967" w:customStyle="1">
    <w:name w:val="Подзаголовок Знак"/>
    <w:basedOn w:val="951"/>
    <w:link w:val="966"/>
    <w:uiPriority w:val="11"/>
    <w:rPr>
      <w:sz w:val="24"/>
      <w:szCs w:val="24"/>
    </w:rPr>
  </w:style>
  <w:style w:type="paragraph" w:styleId="968">
    <w:name w:val="Quote"/>
    <w:basedOn w:val="941"/>
    <w:next w:val="941"/>
    <w:link w:val="969"/>
    <w:uiPriority w:val="29"/>
    <w:qFormat/>
    <w:pPr>
      <w:ind w:left="720" w:right="720"/>
    </w:pPr>
    <w:rPr>
      <w:i/>
    </w:rPr>
  </w:style>
  <w:style w:type="character" w:styleId="969" w:customStyle="1">
    <w:name w:val="Цитата 2 Знак"/>
    <w:link w:val="968"/>
    <w:uiPriority w:val="29"/>
    <w:rPr>
      <w:i/>
    </w:rPr>
  </w:style>
  <w:style w:type="paragraph" w:styleId="970">
    <w:name w:val="Intense Quote"/>
    <w:basedOn w:val="941"/>
    <w:next w:val="941"/>
    <w:link w:val="9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1" w:customStyle="1">
    <w:name w:val="Выделенная цитата Знак"/>
    <w:link w:val="970"/>
    <w:uiPriority w:val="30"/>
    <w:rPr>
      <w:i/>
    </w:rPr>
  </w:style>
  <w:style w:type="paragraph" w:styleId="972">
    <w:name w:val="Header"/>
    <w:basedOn w:val="941"/>
    <w:link w:val="9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73" w:customStyle="1">
    <w:name w:val="Верхний колонтитул Знак"/>
    <w:basedOn w:val="951"/>
    <w:link w:val="972"/>
    <w:uiPriority w:val="99"/>
  </w:style>
  <w:style w:type="paragraph" w:styleId="974">
    <w:name w:val="Footer"/>
    <w:basedOn w:val="941"/>
    <w:link w:val="9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75" w:customStyle="1">
    <w:name w:val="Footer Char"/>
    <w:basedOn w:val="951"/>
    <w:uiPriority w:val="99"/>
  </w:style>
  <w:style w:type="paragraph" w:styleId="976">
    <w:name w:val="Caption"/>
    <w:basedOn w:val="941"/>
    <w:next w:val="94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977" w:customStyle="1">
    <w:name w:val="Нижний колонтитул Знак"/>
    <w:link w:val="974"/>
    <w:uiPriority w:val="99"/>
  </w:style>
  <w:style w:type="table" w:styleId="978" w:customStyle="1">
    <w:name w:val="Table Grid Light"/>
    <w:basedOn w:val="9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79">
    <w:name w:val="Plain Table 1"/>
    <w:basedOn w:val="9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0">
    <w:name w:val="Plain Table 2"/>
    <w:basedOn w:val="95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1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2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4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6" w:customStyle="1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07" w:customStyle="1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8" w:customStyle="1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09" w:customStyle="1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10" w:customStyle="1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11" w:customStyle="1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12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13" w:customStyle="1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14" w:customStyle="1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15" w:customStyle="1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16" w:customStyle="1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17" w:customStyle="1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18" w:customStyle="1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19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0" w:customStyle="1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21" w:customStyle="1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22" w:customStyle="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23" w:customStyle="1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24" w:customStyle="1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5" w:customStyle="1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6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41" w:customStyle="1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42" w:customStyle="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43" w:customStyle="1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44" w:customStyle="1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45" w:customStyle="1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46" w:customStyle="1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47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 w:customStyle="1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2" w:customStyle="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3" w:customStyle="1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4" w:customStyle="1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5" w:customStyle="1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6" w:customStyle="1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7" w:customStyle="1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8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9" w:customStyle="1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70" w:customStyle="1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71" w:customStyle="1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72" w:customStyle="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73" w:customStyle="1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74" w:customStyle="1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75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ned - Accent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3" w:customStyle="1">
    <w:name w:val="Lined - Accent 1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4" w:customStyle="1">
    <w:name w:val="Lined - Accent 2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5" w:customStyle="1">
    <w:name w:val="Lined - Accent 3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6" w:customStyle="1">
    <w:name w:val="Lined - Accent 4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87" w:customStyle="1">
    <w:name w:val="Lined - Accent 5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8" w:customStyle="1">
    <w:name w:val="Lined - Accent 6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9" w:customStyle="1">
    <w:name w:val="Bordered &amp; Lined - Accent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90" w:customStyle="1">
    <w:name w:val="Bordered &amp; Lined - Accent 1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91" w:customStyle="1">
    <w:name w:val="Bordered &amp; Lined - Accent 2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92" w:customStyle="1">
    <w:name w:val="Bordered &amp; Lined - Accent 3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93" w:customStyle="1">
    <w:name w:val="Bordered &amp; Lined - Accent 4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94" w:customStyle="1">
    <w:name w:val="Bordered &amp; Lined - Accent 5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95" w:customStyle="1">
    <w:name w:val="Bordered &amp; Lined - Accent 6"/>
    <w:basedOn w:val="9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96" w:customStyle="1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97" w:customStyle="1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98" w:customStyle="1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99" w:customStyle="1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00" w:customStyle="1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01" w:customStyle="1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02" w:customStyle="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03">
    <w:name w:val="Hyperlink"/>
    <w:uiPriority w:val="99"/>
    <w:unhideWhenUsed/>
    <w:rPr>
      <w:color w:val="0563c1" w:themeColor="hyperlink"/>
      <w:u w:val="single"/>
    </w:rPr>
  </w:style>
  <w:style w:type="paragraph" w:styleId="1104">
    <w:name w:val="footnote text"/>
    <w:basedOn w:val="941"/>
    <w:link w:val="1105"/>
    <w:uiPriority w:val="99"/>
    <w:semiHidden/>
    <w:unhideWhenUsed/>
    <w:pPr>
      <w:spacing w:after="40" w:line="240" w:lineRule="auto"/>
    </w:pPr>
    <w:rPr>
      <w:sz w:val="18"/>
    </w:rPr>
  </w:style>
  <w:style w:type="character" w:styleId="1105" w:customStyle="1">
    <w:name w:val="Текст сноски Знак"/>
    <w:link w:val="1104"/>
    <w:uiPriority w:val="99"/>
    <w:rPr>
      <w:sz w:val="18"/>
    </w:rPr>
  </w:style>
  <w:style w:type="character" w:styleId="1106">
    <w:name w:val="footnote reference"/>
    <w:basedOn w:val="951"/>
    <w:uiPriority w:val="99"/>
    <w:unhideWhenUsed/>
    <w:rPr>
      <w:vertAlign w:val="superscript"/>
    </w:rPr>
  </w:style>
  <w:style w:type="paragraph" w:styleId="1107">
    <w:name w:val="endnote text"/>
    <w:basedOn w:val="941"/>
    <w:link w:val="1108"/>
    <w:uiPriority w:val="99"/>
    <w:semiHidden/>
    <w:unhideWhenUsed/>
    <w:pPr>
      <w:spacing w:after="0" w:line="240" w:lineRule="auto"/>
    </w:pPr>
    <w:rPr>
      <w:sz w:val="20"/>
    </w:rPr>
  </w:style>
  <w:style w:type="character" w:styleId="1108" w:customStyle="1">
    <w:name w:val="Текст концевой сноски Знак"/>
    <w:link w:val="1107"/>
    <w:uiPriority w:val="99"/>
    <w:rPr>
      <w:sz w:val="20"/>
    </w:rPr>
  </w:style>
  <w:style w:type="character" w:styleId="1109">
    <w:name w:val="endnote reference"/>
    <w:basedOn w:val="951"/>
    <w:uiPriority w:val="99"/>
    <w:semiHidden/>
    <w:unhideWhenUsed/>
    <w:rPr>
      <w:vertAlign w:val="superscript"/>
    </w:rPr>
  </w:style>
  <w:style w:type="paragraph" w:styleId="1110">
    <w:name w:val="toc 1"/>
    <w:basedOn w:val="941"/>
    <w:next w:val="941"/>
    <w:uiPriority w:val="39"/>
    <w:unhideWhenUsed/>
    <w:pPr>
      <w:spacing w:after="57"/>
    </w:pPr>
  </w:style>
  <w:style w:type="paragraph" w:styleId="1111">
    <w:name w:val="toc 2"/>
    <w:basedOn w:val="941"/>
    <w:next w:val="941"/>
    <w:uiPriority w:val="39"/>
    <w:unhideWhenUsed/>
    <w:pPr>
      <w:ind w:left="283"/>
      <w:spacing w:after="57"/>
    </w:pPr>
  </w:style>
  <w:style w:type="paragraph" w:styleId="1112">
    <w:name w:val="toc 3"/>
    <w:basedOn w:val="941"/>
    <w:next w:val="941"/>
    <w:uiPriority w:val="39"/>
    <w:unhideWhenUsed/>
    <w:pPr>
      <w:ind w:left="567"/>
      <w:spacing w:after="57"/>
    </w:pPr>
  </w:style>
  <w:style w:type="paragraph" w:styleId="1113">
    <w:name w:val="toc 4"/>
    <w:basedOn w:val="941"/>
    <w:next w:val="941"/>
    <w:uiPriority w:val="39"/>
    <w:unhideWhenUsed/>
    <w:pPr>
      <w:ind w:left="850"/>
      <w:spacing w:after="57"/>
    </w:pPr>
  </w:style>
  <w:style w:type="paragraph" w:styleId="1114">
    <w:name w:val="toc 5"/>
    <w:basedOn w:val="941"/>
    <w:next w:val="941"/>
    <w:uiPriority w:val="39"/>
    <w:unhideWhenUsed/>
    <w:pPr>
      <w:ind w:left="1134"/>
      <w:spacing w:after="57"/>
    </w:pPr>
  </w:style>
  <w:style w:type="paragraph" w:styleId="1115">
    <w:name w:val="toc 6"/>
    <w:basedOn w:val="941"/>
    <w:next w:val="941"/>
    <w:uiPriority w:val="39"/>
    <w:unhideWhenUsed/>
    <w:pPr>
      <w:ind w:left="1417"/>
      <w:spacing w:after="57"/>
    </w:pPr>
  </w:style>
  <w:style w:type="paragraph" w:styleId="1116">
    <w:name w:val="toc 7"/>
    <w:basedOn w:val="941"/>
    <w:next w:val="941"/>
    <w:uiPriority w:val="39"/>
    <w:unhideWhenUsed/>
    <w:pPr>
      <w:ind w:left="1701"/>
      <w:spacing w:after="57"/>
    </w:pPr>
  </w:style>
  <w:style w:type="paragraph" w:styleId="1117">
    <w:name w:val="toc 8"/>
    <w:basedOn w:val="941"/>
    <w:next w:val="941"/>
    <w:uiPriority w:val="39"/>
    <w:unhideWhenUsed/>
    <w:pPr>
      <w:ind w:left="1984"/>
      <w:spacing w:after="57"/>
    </w:pPr>
  </w:style>
  <w:style w:type="paragraph" w:styleId="1118">
    <w:name w:val="toc 9"/>
    <w:basedOn w:val="941"/>
    <w:next w:val="941"/>
    <w:uiPriority w:val="39"/>
    <w:unhideWhenUsed/>
    <w:pPr>
      <w:ind w:left="2268"/>
      <w:spacing w:after="57"/>
    </w:pPr>
  </w:style>
  <w:style w:type="paragraph" w:styleId="1119">
    <w:name w:val="TOC Heading"/>
    <w:uiPriority w:val="39"/>
    <w:unhideWhenUsed/>
  </w:style>
  <w:style w:type="paragraph" w:styleId="1120">
    <w:name w:val="table of figures"/>
    <w:basedOn w:val="941"/>
    <w:next w:val="941"/>
    <w:uiPriority w:val="99"/>
    <w:unhideWhenUsed/>
    <w:pPr>
      <w:spacing w:after="0"/>
    </w:pPr>
  </w:style>
  <w:style w:type="paragraph" w:styleId="1121">
    <w:name w:val="List Paragraph"/>
    <w:basedOn w:val="941"/>
    <w:link w:val="1122"/>
    <w:uiPriority w:val="34"/>
    <w:qFormat/>
    <w:pPr>
      <w:contextualSpacing/>
      <w:ind w:left="720"/>
    </w:pPr>
  </w:style>
  <w:style w:type="character" w:styleId="1122" w:customStyle="1">
    <w:name w:val="Абзац списка Знак"/>
    <w:link w:val="1121"/>
    <w:uiPriority w:val="34"/>
    <w:rPr>
      <w:rFonts w:ascii="Calibri" w:hAnsi="Calibri" w:eastAsia="Times New Roman" w:cs="Times New Roman"/>
      <w:lang w:eastAsia="ar-SA"/>
    </w:rPr>
  </w:style>
  <w:style w:type="table" w:styleId="1123" w:customStyle="1">
    <w:name w:val="Сетка таблицы1"/>
    <w:basedOn w:val="952"/>
    <w:next w:val="1124"/>
    <w:uiPriority w:val="59"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24">
    <w:name w:val="Table Grid"/>
    <w:basedOn w:val="95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25" w:customStyle="1">
    <w:name w:val="Сетка таблицы2"/>
    <w:basedOn w:val="952"/>
    <w:next w:val="112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6" w:customStyle="1">
    <w:name w:val="msonormalmrcssattrmrcssattr_mr_css_attr"/>
    <w:basedOn w:val="941"/>
    <w:pPr>
      <w:spacing w:before="100" w:beforeAutospacing="1" w:after="100" w:afterAutospacing="1" w:line="240" w:lineRule="auto"/>
    </w:pPr>
    <w:rPr>
      <w:rFonts w:ascii="Times New Roman" w:hAnsi="Times New Roman" w:eastAsiaTheme="minorHAnsi"/>
      <w:sz w:val="24"/>
      <w:szCs w:val="24"/>
      <w:lang w:eastAsia="ru-RU"/>
    </w:rPr>
  </w:style>
  <w:style w:type="paragraph" w:styleId="1127">
    <w:name w:val="Balloon Text"/>
    <w:basedOn w:val="941"/>
    <w:link w:val="112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28" w:customStyle="1">
    <w:name w:val="Текст выноски Знак"/>
    <w:basedOn w:val="951"/>
    <w:link w:val="1127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Светлана Алексеевна</dc:creator>
  <cp:keywords/>
  <dc:description/>
  <cp:revision>27</cp:revision>
  <dcterms:created xsi:type="dcterms:W3CDTF">2025-02-04T13:21:00Z</dcterms:created>
  <dcterms:modified xsi:type="dcterms:W3CDTF">2026-06-24T08:40:39Z</dcterms:modified>
</cp:coreProperties>
</file>