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ИКЗ </w:t>
      </w:r>
      <w:r>
        <w:rPr>
          <w:rFonts w:ascii="Times New Roman" w:hAnsi="Times New Roman"/>
          <w:b/>
          <w:color w:val="ff0000"/>
          <w:sz w:val="24"/>
        </w:rPr>
        <w:t xml:space="preserve">26 1 4101133149 410101001 0017 0000 000244</w:t>
      </w:r>
      <w:r>
        <w:rPr>
          <w:rFonts w:ascii="Times New Roman" w:hAnsi="Times New Roman"/>
          <w:b/>
          <w:color w:val="ff0000"/>
          <w:sz w:val="24"/>
        </w:rPr>
      </w:r>
      <w:r>
        <w:rPr>
          <w:rFonts w:ascii="Times New Roman" w:hAnsi="Times New Roman"/>
          <w:b/>
          <w:color w:val="ff0000"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Государственный контракт № ____ ГК-26</w:t>
      </w:r>
      <w:r>
        <w:rPr>
          <w:b/>
          <w:sz w:val="24"/>
        </w:rPr>
        <w:t xml:space="preserve">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sz w:val="24"/>
        </w:rPr>
      </w:pPr>
      <w:r>
        <w:rPr>
          <w:sz w:val="24"/>
        </w:rPr>
        <w:t xml:space="preserve">н</w:t>
      </w:r>
      <w:r>
        <w:rPr>
          <w:sz w:val="24"/>
        </w:rPr>
        <w:t xml:space="preserve">а</w:t>
      </w:r>
      <w:r>
        <w:rPr>
          <w:sz w:val="24"/>
        </w:rPr>
        <w:t xml:space="preserve"> о</w:t>
      </w:r>
      <w:r>
        <w:rPr>
          <w:sz w:val="24"/>
        </w:rPr>
        <w:t xml:space="preserve">казание услуг</w:t>
      </w:r>
      <w:r>
        <w:rPr>
          <w:sz w:val="24"/>
        </w:rPr>
        <w:t xml:space="preserve"> </w:t>
      </w:r>
      <w:r>
        <w:rPr>
          <w:sz w:val="24"/>
        </w:rPr>
        <w:t xml:space="preserve">по оценке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141"/>
        <w:rPr>
          <w:sz w:val="24"/>
        </w:rPr>
      </w:pPr>
      <w:r>
        <w:rPr>
          <w:sz w:val="24"/>
        </w:rPr>
        <w:t xml:space="preserve">г. Петропавловск-Камчатский                                                 </w:t>
      </w:r>
      <w:r>
        <w:rPr>
          <w:sz w:val="24"/>
        </w:rPr>
        <w:t xml:space="preserve">                </w:t>
      </w:r>
      <w:bookmarkStart w:id="1" w:name="_GoBack"/>
      <w:r/>
      <w:bookmarkEnd w:id="1"/>
      <w:r>
        <w:rPr>
          <w:sz w:val="24"/>
        </w:rPr>
        <w:t xml:space="preserve">      «</w:t>
      </w:r>
      <w:r>
        <w:rPr>
          <w:sz w:val="24"/>
        </w:rPr>
        <w:t xml:space="preserve">___</w:t>
      </w:r>
      <w:r>
        <w:rPr>
          <w:sz w:val="24"/>
        </w:rPr>
        <w:t xml:space="preserve">» </w:t>
      </w:r>
      <w:r>
        <w:rPr>
          <w:sz w:val="24"/>
        </w:rPr>
        <w:t xml:space="preserve"> ________202_ </w:t>
      </w:r>
      <w:r>
        <w:rPr>
          <w:sz w:val="24"/>
        </w:rPr>
        <w:t xml:space="preserve">года</w:t>
      </w:r>
      <w:r>
        <w:rPr>
          <w:sz w:val="24"/>
        </w:rPr>
      </w:r>
      <w:r>
        <w:rPr>
          <w:sz w:val="24"/>
        </w:rPr>
      </w:r>
    </w:p>
    <w:p>
      <w:pPr>
        <w:ind w:right="141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36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Территориальное управление Федерального агентства по управлению государственным имуществом в Камчатском крае, именуемое в дальнейшем «Заказчик», в лице Врио руководителя Миранович Алены Викторовны, действующего на основании Приказа от 21.07.2026 № 494л</w:t>
      </w:r>
      <w:r>
        <w:rPr>
          <w:sz w:val="24"/>
        </w:rPr>
        <w:t xml:space="preserve">, с одной стороны, и ____________________________________________________________________________________</w:t>
      </w:r>
      <w:r>
        <w:rPr>
          <w:sz w:val="24"/>
        </w:rPr>
        <w:t xml:space="preserve">, именуемым в дальнейшем Исполнитель, в лице ____________________________________________, действующего  на основании _____________</w:t>
      </w:r>
      <w:r>
        <w:rPr>
          <w:sz w:val="24"/>
        </w:rPr>
        <w:t xml:space="preserve">, с другой стороны, в дальнейшем совместно именуемые - Стороны,</w:t>
      </w:r>
      <w:r>
        <w:rPr>
          <w:sz w:val="24"/>
        </w:rPr>
        <w:t xml:space="preserve"> в соответствии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ascii="Times New Roman" w:hAnsi="Times New Roman"/>
          <w:sz w:val="24"/>
        </w:rPr>
        <w:t xml:space="preserve">а так же проведенной процедуры закупки на ЕАТ «Березка» итоговый протокол закупочной сессии </w:t>
      </w:r>
      <w:r>
        <w:rPr>
          <w:rFonts w:ascii="Times New Roman" w:hAnsi="Times New Roman"/>
          <w:sz w:val="24"/>
        </w:rPr>
        <w:t xml:space="preserve">_______________________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«____» ___________ </w:t>
      </w:r>
      <w:r>
        <w:rPr>
          <w:rFonts w:ascii="Times New Roman" w:hAnsi="Times New Roman"/>
          <w:sz w:val="24"/>
        </w:rPr>
        <w:t xml:space="preserve">202_ года </w:t>
      </w:r>
      <w:r>
        <w:rPr>
          <w:rFonts w:ascii="Times New Roman" w:hAnsi="Times New Roman"/>
          <w:sz w:val="24"/>
        </w:rPr>
        <w:t xml:space="preserve">заключили настоящий </w:t>
      </w:r>
      <w:r>
        <w:rPr>
          <w:rFonts w:ascii="Times New Roman" w:hAnsi="Times New Roman"/>
          <w:sz w:val="24"/>
        </w:rPr>
        <w:t xml:space="preserve">Государственный контракт (далее - Контракт)</w:t>
      </w:r>
      <w:r>
        <w:rPr>
          <w:rFonts w:ascii="Times New Roman" w:hAnsi="Times New Roman"/>
          <w:sz w:val="24"/>
        </w:rPr>
        <w:t xml:space="preserve"> о нижеследующем: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tabs>
          <w:tab w:val="left" w:pos="57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61"/>
        <w:ind w:left="0" w:firstLine="720"/>
        <w:jc w:val="both"/>
        <w:spacing w:after="0"/>
        <w:tabs>
          <w:tab w:val="left" w:pos="57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Предмет </w:t>
      </w:r>
      <w:r>
        <w:rPr>
          <w:b/>
          <w:smallCaps/>
          <w:sz w:val="24"/>
        </w:rPr>
        <w:t xml:space="preserve">контракта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Исполнитель</w:t>
      </w:r>
      <w:r>
        <w:rPr>
          <w:sz w:val="24"/>
        </w:rPr>
        <w:t xml:space="preserve"> обязуется </w:t>
      </w:r>
      <w:r>
        <w:rPr>
          <w:sz w:val="24"/>
        </w:rPr>
        <w:t xml:space="preserve">оказать услуги</w:t>
      </w:r>
      <w:r>
        <w:rPr>
          <w:sz w:val="24"/>
        </w:rPr>
        <w:t xml:space="preserve"> </w:t>
      </w:r>
      <w:r>
        <w:rPr>
          <w:sz w:val="24"/>
        </w:rPr>
        <w:t xml:space="preserve">по оценке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</w:r>
      <w:r>
        <w:rPr>
          <w:sz w:val="24"/>
        </w:rPr>
        <w:t xml:space="preserve"> </w:t>
      </w:r>
      <w:r>
        <w:rPr>
          <w:sz w:val="24"/>
        </w:rPr>
        <w:t xml:space="preserve">(далее – «</w:t>
      </w:r>
      <w:r>
        <w:rPr>
          <w:sz w:val="24"/>
        </w:rPr>
        <w:t xml:space="preserve">Услуги</w:t>
      </w:r>
      <w:r>
        <w:rPr>
          <w:sz w:val="24"/>
        </w:rPr>
        <w:t xml:space="preserve">») в </w:t>
      </w:r>
      <w:r>
        <w:rPr>
          <w:sz w:val="24"/>
        </w:rPr>
        <w:t xml:space="preserve">порядке и на условиях</w:t>
      </w:r>
      <w:r>
        <w:rPr>
          <w:sz w:val="24"/>
        </w:rPr>
        <w:t xml:space="preserve"> настоящего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, а </w:t>
      </w:r>
      <w:r>
        <w:rPr>
          <w:sz w:val="24"/>
        </w:rPr>
        <w:t xml:space="preserve">Заказчик</w:t>
      </w:r>
      <w:r>
        <w:rPr>
          <w:sz w:val="24"/>
        </w:rPr>
        <w:t xml:space="preserve"> обязуется принимать и оплачивать </w:t>
      </w:r>
      <w:r>
        <w:rPr>
          <w:sz w:val="24"/>
        </w:rPr>
        <w:t xml:space="preserve">Услуги</w:t>
      </w:r>
      <w:r>
        <w:rPr>
          <w:sz w:val="24"/>
        </w:rPr>
        <w:t xml:space="preserve"> в соответствии с </w:t>
      </w:r>
      <w:r>
        <w:rPr>
          <w:sz w:val="24"/>
        </w:rPr>
        <w:t xml:space="preserve">К</w:t>
      </w:r>
      <w:r>
        <w:rPr>
          <w:sz w:val="24"/>
        </w:rPr>
        <w:t xml:space="preserve">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Содержание и объем </w:t>
      </w:r>
      <w:r>
        <w:rPr>
          <w:sz w:val="24"/>
        </w:rPr>
        <w:t xml:space="preserve">оказываемых услуг</w:t>
      </w:r>
      <w:r>
        <w:rPr>
          <w:sz w:val="24"/>
        </w:rPr>
        <w:t xml:space="preserve"> </w:t>
      </w:r>
      <w:r>
        <w:rPr>
          <w:sz w:val="24"/>
        </w:rPr>
        <w:t xml:space="preserve">указаны в </w:t>
      </w:r>
      <w:r>
        <w:rPr>
          <w:sz w:val="24"/>
        </w:rPr>
        <w:t xml:space="preserve">техническом задании</w:t>
      </w:r>
      <w:r>
        <w:rPr>
          <w:sz w:val="24"/>
        </w:rPr>
        <w:t xml:space="preserve">, приложение</w:t>
      </w:r>
      <w:r>
        <w:rPr>
          <w:sz w:val="24"/>
        </w:rPr>
        <w:t xml:space="preserve"> 1</w:t>
      </w:r>
      <w:r>
        <w:rPr>
          <w:sz w:val="24"/>
        </w:rPr>
        <w:t xml:space="preserve"> к настоящему </w:t>
      </w:r>
      <w:r>
        <w:rPr>
          <w:sz w:val="24"/>
        </w:rPr>
        <w:t xml:space="preserve">К</w:t>
      </w:r>
      <w:r>
        <w:rPr>
          <w:sz w:val="24"/>
        </w:rPr>
        <w:t xml:space="preserve">онтракт</w:t>
      </w:r>
      <w:r>
        <w:rPr>
          <w:sz w:val="24"/>
        </w:rPr>
        <w:t xml:space="preserve">у (далее – </w:t>
      </w:r>
      <w:r>
        <w:rPr>
          <w:sz w:val="24"/>
        </w:rPr>
        <w:t xml:space="preserve">Техническое задание</w:t>
      </w:r>
      <w:r>
        <w:rPr>
          <w:sz w:val="24"/>
        </w:rPr>
        <w:t xml:space="preserve">). 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Условия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, требования к качеству результата </w:t>
      </w:r>
      <w:r>
        <w:rPr>
          <w:sz w:val="24"/>
        </w:rPr>
        <w:t xml:space="preserve">услуг</w:t>
      </w:r>
      <w:r>
        <w:rPr>
          <w:sz w:val="24"/>
        </w:rPr>
        <w:t xml:space="preserve">, прочие требования, связанные</w:t>
      </w:r>
      <w:r>
        <w:rPr>
          <w:sz w:val="24"/>
        </w:rPr>
        <w:t xml:space="preserve"> </w:t>
      </w:r>
      <w:r>
        <w:rPr>
          <w:sz w:val="24"/>
        </w:rPr>
        <w:t xml:space="preserve">с определением соответствия </w:t>
      </w:r>
      <w:r>
        <w:rPr>
          <w:sz w:val="24"/>
        </w:rPr>
        <w:t xml:space="preserve">оказываемых услуг </w:t>
      </w:r>
      <w:r>
        <w:rPr>
          <w:sz w:val="24"/>
        </w:rPr>
        <w:t xml:space="preserve">потребностям Заказчика, определены настоящим Контрактом и</w:t>
      </w:r>
      <w:r>
        <w:rPr>
          <w:sz w:val="24"/>
        </w:rPr>
        <w:t xml:space="preserve"> приложениями к нему.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sz w:val="24"/>
        </w:rPr>
        <w:t xml:space="preserve">Идентификационный код закупки</w:t>
      </w:r>
      <w:r>
        <w:rPr>
          <w:b w:val="0"/>
          <w:bCs w:val="0"/>
          <w:sz w:val="24"/>
        </w:rPr>
        <w:t xml:space="preserve">: (</w:t>
      </w:r>
      <w:r>
        <w:rPr>
          <w:rFonts w:ascii="Times New Roman" w:hAnsi="Times New Roman"/>
          <w:b w:val="0"/>
          <w:bCs w:val="0"/>
          <w:sz w:val="24"/>
        </w:rPr>
        <w:t xml:space="preserve">ИКЗ) </w:t>
      </w:r>
      <w:r>
        <w:rPr>
          <w:rFonts w:ascii="Times New Roman" w:hAnsi="Times New Roman"/>
          <w:b w:val="0"/>
          <w:bCs w:val="0"/>
          <w:sz w:val="24"/>
        </w:rPr>
        <w:t xml:space="preserve">26 1 4101133149 410101001 0017 000 0000 244</w:t>
      </w:r>
      <w:r>
        <w:rPr>
          <w:rFonts w:ascii="Times New Roman" w:hAnsi="Times New Roman"/>
          <w:b w:val="0"/>
          <w:bCs w:val="0"/>
          <w:sz w:val="24"/>
        </w:rPr>
        <w:t xml:space="preserve"> .</w:t>
      </w:r>
      <w:r>
        <w:rPr>
          <w:rFonts w:ascii="Times New Roman" w:hAnsi="Times New Roman"/>
          <w:b w:val="0"/>
          <w:bCs w:val="0"/>
          <w:sz w:val="24"/>
        </w:rPr>
      </w:r>
      <w:r>
        <w:rPr>
          <w:rFonts w:ascii="Times New Roman" w:hAnsi="Times New Roman"/>
          <w:b w:val="0"/>
          <w:bCs w:val="0"/>
          <w:sz w:val="24"/>
        </w:rPr>
      </w:r>
    </w:p>
    <w:p>
      <w:pPr>
        <w:pStyle w:val="711"/>
        <w:contextualSpacing w:val="0"/>
        <w:ind w:left="0" w:firstLine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Цена </w:t>
      </w:r>
      <w:r>
        <w:rPr>
          <w:b/>
          <w:smallCaps/>
          <w:sz w:val="24"/>
        </w:rPr>
        <w:t xml:space="preserve">контракта</w:t>
      </w:r>
      <w:r>
        <w:rPr>
          <w:b/>
          <w:smallCaps/>
          <w:sz w:val="24"/>
        </w:rPr>
        <w:t xml:space="preserve">.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b/>
          <w:sz w:val="24"/>
        </w:rPr>
      </w:pPr>
      <w:r/>
      <w:bookmarkStart w:id="2" w:name="OLE_LINK4"/>
      <w:r/>
      <w:bookmarkEnd w:id="2"/>
      <w:r>
        <w:rPr>
          <w:sz w:val="24"/>
        </w:rPr>
        <w:t xml:space="preserve">Цена </w:t>
      </w:r>
      <w:r>
        <w:rPr>
          <w:sz w:val="24"/>
        </w:rPr>
        <w:t xml:space="preserve">Контракта</w:t>
      </w:r>
      <w:r>
        <w:rPr>
          <w:sz w:val="24"/>
        </w:rPr>
        <w:t xml:space="preserve"> является твердой,</w:t>
      </w:r>
      <w:r>
        <w:rPr>
          <w:sz w:val="24"/>
        </w:rPr>
        <w:t xml:space="preserve"> за исключением случаев, предусмотренных ч.1 ст.95 Федерального закона № 44-ФЗ,</w:t>
      </w:r>
      <w:r>
        <w:rPr>
          <w:sz w:val="24"/>
        </w:rPr>
        <w:t xml:space="preserve"> определяется на весь срок действия </w:t>
      </w:r>
      <w:r>
        <w:rPr>
          <w:sz w:val="24"/>
        </w:rPr>
        <w:t xml:space="preserve">Контракта</w:t>
      </w:r>
      <w:r>
        <w:rPr>
          <w:sz w:val="24"/>
        </w:rPr>
        <w:t xml:space="preserve"> и составляет </w:t>
      </w:r>
      <w:r>
        <w:rPr>
          <w:b/>
          <w:sz w:val="24"/>
        </w:rPr>
        <w:t xml:space="preserve">__________</w:t>
      </w:r>
      <w:r>
        <w:rPr>
          <w:b/>
          <w:sz w:val="24"/>
        </w:rPr>
        <w:t xml:space="preserve">(______________)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</w:t>
      </w:r>
      <w:r>
        <w:rPr>
          <w:b/>
          <w:sz w:val="24"/>
        </w:rPr>
        <w:t xml:space="preserve"> копеек, </w:t>
      </w:r>
      <w:r>
        <w:rPr>
          <w:rFonts w:ascii="Times New Roman" w:hAnsi="Times New Roman"/>
          <w:b/>
          <w:sz w:val="24"/>
        </w:rPr>
        <w:t xml:space="preserve"> С </w:t>
      </w:r>
      <w:r>
        <w:rPr>
          <w:rFonts w:ascii="Times New Roman" w:hAnsi="Times New Roman"/>
          <w:b/>
          <w:sz w:val="24"/>
        </w:rPr>
        <w:t xml:space="preserve">НДС / БЕЗ НДС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 сформирована из расчета</w:t>
      </w:r>
      <w:r>
        <w:rPr>
          <w:sz w:val="24"/>
        </w:rPr>
        <w:t xml:space="preserve"> стоимости единицы услуги умноженную на их объём.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Цена единицы услуг </w:t>
      </w:r>
      <w:r>
        <w:rPr>
          <w:sz w:val="24"/>
        </w:rPr>
        <w:t xml:space="preserve">определена в техническом задании (приложение 1 к настоящему </w:t>
      </w:r>
      <w:r>
        <w:rPr>
          <w:sz w:val="24"/>
        </w:rPr>
        <w:t xml:space="preserve">контракту</w:t>
      </w:r>
      <w:r>
        <w:rPr>
          <w:sz w:val="24"/>
        </w:rPr>
        <w:t xml:space="preserve">) и является неизменной на весь срок действия Контракта.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В цену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 включены: вознаграждение Исполнителю; компенсации ему всех затрат, издержек и иных расходов, связанных с исполнением настоящего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 (</w:t>
      </w:r>
      <w:r>
        <w:rPr>
          <w:sz w:val="24"/>
        </w:rPr>
        <w:t xml:space="preserve">в том числе: расходы на погрузку - разгрузку, </w:t>
      </w:r>
      <w:r>
        <w:rPr>
          <w:sz w:val="24"/>
        </w:rPr>
        <w:t xml:space="preserve">перевозку</w:t>
      </w:r>
      <w:r>
        <w:rPr>
          <w:sz w:val="24"/>
        </w:rPr>
        <w:t xml:space="preserve">, </w:t>
      </w:r>
      <w:r>
        <w:rPr>
          <w:sz w:val="24"/>
        </w:rPr>
        <w:t xml:space="preserve">обеспечение сохранности</w:t>
      </w:r>
      <w:r>
        <w:rPr>
          <w:sz w:val="24"/>
        </w:rPr>
        <w:t xml:space="preserve"> имущества</w:t>
      </w:r>
      <w:r>
        <w:rPr>
          <w:sz w:val="24"/>
        </w:rPr>
        <w:t xml:space="preserve">, обращенного в собственность государства)</w:t>
      </w:r>
      <w:r>
        <w:rPr>
          <w:sz w:val="24"/>
        </w:rPr>
        <w:t xml:space="preserve">; расходы на уплату всех предусмотренных действующим законодательством Российской Федерации налогов и сборов и других платежей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Заказчик</w:t>
      </w:r>
      <w:r>
        <w:rPr>
          <w:sz w:val="24"/>
        </w:rPr>
        <w:t xml:space="preserve"> уменьшает сумму, подлежащую уплате </w:t>
      </w:r>
      <w:r>
        <w:rPr>
          <w:sz w:val="24"/>
        </w:rPr>
        <w:t xml:space="preserve">Исполнителю</w:t>
      </w:r>
      <w:r>
        <w:rPr>
          <w:sz w:val="24"/>
        </w:rPr>
        <w:t xml:space="preserve">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 w:val="24"/>
        </w:rPr>
        <w:t xml:space="preserve">Государственны</w:t>
      </w:r>
      <w:r>
        <w:rPr>
          <w:sz w:val="24"/>
        </w:rPr>
        <w:t xml:space="preserve">м</w:t>
      </w:r>
      <w:r>
        <w:rPr>
          <w:sz w:val="24"/>
        </w:rPr>
        <w:t xml:space="preserve"> заказчик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b/>
          <w:smallCaps/>
          <w:sz w:val="24"/>
        </w:rPr>
      </w:pPr>
      <w:r>
        <w:rPr>
          <w:sz w:val="24"/>
        </w:rPr>
        <w:t xml:space="preserve">Финансирование осуществляется за счет средств федерального бюджета, Государственная программа Российской Федерации "</w:t>
      </w:r>
      <w:r>
        <w:rPr>
          <w:sz w:val="24"/>
        </w:rPr>
        <w:t xml:space="preserve">Управление федеральным имуществом</w:t>
      </w:r>
      <w:r>
        <w:rPr>
          <w:sz w:val="24"/>
        </w:rPr>
        <w:t xml:space="preserve">". О</w:t>
      </w:r>
      <w:r>
        <w:rPr>
          <w:sz w:val="24"/>
        </w:rPr>
        <w:t xml:space="preserve">сновное мероприятие программы: «</w:t>
      </w:r>
      <w:r>
        <w:rPr>
          <w:sz w:val="24"/>
        </w:rPr>
        <w:t xml:space="preserve">Обеспечение выполнения государственных функций»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contextualSpacing w:val="0"/>
        <w:ind w:left="709" w:firstLine="0"/>
        <w:jc w:val="both"/>
        <w:rPr>
          <w:b/>
          <w:smallCaps/>
          <w:sz w:val="24"/>
        </w:rPr>
      </w:pPr>
      <w:r>
        <w:rPr>
          <w:b/>
          <w:smallCaps/>
          <w:sz w:val="24"/>
        </w:rPr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Сроки </w:t>
      </w:r>
      <w:r>
        <w:rPr>
          <w:b/>
          <w:smallCaps/>
          <w:sz w:val="24"/>
        </w:rPr>
        <w:t xml:space="preserve">контракта</w:t>
      </w:r>
      <w:r>
        <w:rPr>
          <w:b/>
          <w:smallCaps/>
          <w:sz w:val="24"/>
        </w:rPr>
        <w:t xml:space="preserve">. 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numPr>
          <w:ilvl w:val="1"/>
          <w:numId w:val="1"/>
        </w:numPr>
        <w:contextualSpacing w:val="0"/>
        <w:ind w:left="0" w:firstLine="851"/>
        <w:jc w:val="both"/>
        <w:rPr>
          <w:sz w:val="24"/>
        </w:rPr>
      </w:pPr>
      <w:r>
        <w:rPr>
          <w:sz w:val="24"/>
        </w:rPr>
        <w:t xml:space="preserve">Сроки действия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: с момента заключения </w:t>
      </w:r>
      <w:r>
        <w:rPr>
          <w:sz w:val="24"/>
        </w:rPr>
        <w:t xml:space="preserve">К</w:t>
      </w:r>
      <w:r>
        <w:rPr>
          <w:sz w:val="24"/>
        </w:rPr>
        <w:t xml:space="preserve">онтракта</w:t>
      </w:r>
      <w:r>
        <w:rPr>
          <w:sz w:val="24"/>
        </w:rPr>
        <w:t xml:space="preserve"> </w:t>
      </w:r>
      <w:r>
        <w:rPr>
          <w:sz w:val="24"/>
        </w:rPr>
        <w:t xml:space="preserve">до 10 декабря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 года.</w:t>
      </w:r>
      <w:r>
        <w:rPr>
          <w:sz w:val="24"/>
        </w:rPr>
      </w:r>
      <w:r>
        <w:rPr>
          <w:sz w:val="24"/>
        </w:rPr>
      </w:r>
    </w:p>
    <w:p>
      <w:pPr>
        <w:numPr>
          <w:ilvl w:val="1"/>
          <w:numId w:val="1"/>
        </w:numPr>
        <w:contextualSpacing w:val="0"/>
        <w:ind w:left="0" w:firstLine="851"/>
        <w:jc w:val="both"/>
        <w:rPr>
          <w:sz w:val="24"/>
        </w:rPr>
      </w:pPr>
      <w:r>
        <w:rPr>
          <w:sz w:val="24"/>
        </w:rPr>
        <w:t xml:space="preserve">Срок</w:t>
      </w:r>
      <w:r>
        <w:rPr>
          <w:sz w:val="24"/>
        </w:rPr>
        <w:t xml:space="preserve">и</w:t>
      </w:r>
      <w:r>
        <w:rPr>
          <w:sz w:val="24"/>
        </w:rPr>
        <w:t xml:space="preserve">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: </w:t>
      </w:r>
      <w:r>
        <w:rPr>
          <w:sz w:val="24"/>
        </w:rPr>
        <w:t xml:space="preserve">с момента заключения</w:t>
      </w:r>
      <w:r>
        <w:rPr>
          <w:sz w:val="24"/>
        </w:rPr>
        <w:t xml:space="preserve"> по</w:t>
      </w:r>
      <w:r>
        <w:rPr>
          <w:sz w:val="24"/>
        </w:rPr>
        <w:t xml:space="preserve"> 30 ноября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 года.</w:t>
      </w:r>
      <w:r>
        <w:rPr>
          <w:sz w:val="24"/>
        </w:rPr>
      </w:r>
      <w:r>
        <w:rPr>
          <w:sz w:val="24"/>
        </w:rPr>
      </w:r>
    </w:p>
    <w:p>
      <w:pPr>
        <w:numPr>
          <w:ilvl w:val="1"/>
          <w:numId w:val="1"/>
        </w:numPr>
        <w:contextualSpacing w:val="0"/>
        <w:ind w:left="0" w:firstLine="851"/>
        <w:jc w:val="both"/>
        <w:rPr>
          <w:sz w:val="24"/>
        </w:rPr>
      </w:pPr>
      <w:r>
        <w:rPr>
          <w:sz w:val="24"/>
        </w:rPr>
        <w:t xml:space="preserve">Истечение срока действия Контракта не влечет прекращение предусмотренных Контрактом взаимных финансовых обязательств Сторон.</w:t>
      </w:r>
      <w:r>
        <w:rPr>
          <w:sz w:val="24"/>
        </w:rPr>
      </w:r>
      <w:r>
        <w:rPr>
          <w:sz w:val="24"/>
        </w:rPr>
      </w:r>
    </w:p>
    <w:p>
      <w:pPr>
        <w:ind w:right="14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Место </w:t>
      </w:r>
      <w:r>
        <w:rPr>
          <w:b/>
          <w:smallCaps/>
          <w:sz w:val="24"/>
        </w:rPr>
        <w:t xml:space="preserve">оказания услуг</w:t>
      </w:r>
      <w:r>
        <w:rPr>
          <w:b/>
          <w:smallCaps/>
          <w:sz w:val="24"/>
        </w:rPr>
        <w:t xml:space="preserve">.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Т</w:t>
      </w:r>
      <w:r>
        <w:rPr>
          <w:sz w:val="24"/>
        </w:rPr>
        <w:t xml:space="preserve">ерритория Камчатского края</w:t>
      </w:r>
      <w:r>
        <w:rPr>
          <w:sz w:val="24"/>
        </w:rPr>
        <w:t xml:space="preserve">.</w:t>
      </w:r>
      <w:r>
        <w:rPr>
          <w:sz w:val="24"/>
        </w:rPr>
        <w:t xml:space="preserve"> </w:t>
      </w:r>
      <w:r>
        <w:rPr>
          <w:sz w:val="24"/>
        </w:rPr>
        <w:t xml:space="preserve">Заказчику не может быть заранее известно место нахождения объекта </w:t>
      </w:r>
      <w:r>
        <w:rPr>
          <w:sz w:val="24"/>
        </w:rPr>
        <w:t xml:space="preserve">оценки</w:t>
      </w:r>
      <w:r>
        <w:rPr>
          <w:sz w:val="24"/>
        </w:rPr>
        <w:t xml:space="preserve">, в связи, с чем необходимые для проведения </w:t>
      </w:r>
      <w:r>
        <w:rPr>
          <w:sz w:val="24"/>
        </w:rPr>
        <w:t xml:space="preserve">оценки</w:t>
      </w:r>
      <w:r>
        <w:rPr>
          <w:sz w:val="24"/>
        </w:rPr>
        <w:t xml:space="preserve"> действия могут осуществляться на всей территории Камчатского края</w:t>
      </w:r>
      <w:r>
        <w:rPr>
          <w:sz w:val="24"/>
        </w:rPr>
      </w:r>
      <w:r>
        <w:rPr>
          <w:sz w:val="24"/>
        </w:rPr>
      </w:r>
    </w:p>
    <w:p>
      <w:pPr>
        <w:pStyle w:val="711"/>
        <w:contextualSpacing w:val="0"/>
        <w:ind w:left="709" w:firstLine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Требования к качеству </w:t>
      </w:r>
      <w:r>
        <w:rPr>
          <w:b/>
          <w:smallCaps/>
          <w:sz w:val="24"/>
        </w:rPr>
        <w:t xml:space="preserve">оказываемой</w:t>
      </w:r>
      <w:r>
        <w:rPr>
          <w:b/>
          <w:smallCaps/>
          <w:sz w:val="24"/>
        </w:rPr>
        <w:t xml:space="preserve"> </w:t>
      </w:r>
      <w:r>
        <w:rPr>
          <w:b/>
          <w:smallCaps/>
          <w:sz w:val="24"/>
        </w:rPr>
        <w:t xml:space="preserve">у</w:t>
      </w:r>
      <w:r>
        <w:rPr>
          <w:b/>
          <w:smallCaps/>
          <w:sz w:val="24"/>
        </w:rPr>
        <w:t xml:space="preserve">слуги</w:t>
      </w:r>
      <w:r>
        <w:rPr>
          <w:b/>
          <w:smallCaps/>
          <w:sz w:val="24"/>
        </w:rPr>
        <w:t xml:space="preserve">.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Оказываемая услуга</w:t>
      </w:r>
      <w:r>
        <w:rPr>
          <w:color w:val="000000" w:themeColor="text1"/>
          <w:sz w:val="24"/>
        </w:rPr>
        <w:t xml:space="preserve"> должна соответствовать всем требованиям (нормам и правилам), которые предъявляются к соответствующему </w:t>
      </w:r>
      <w:r>
        <w:rPr>
          <w:color w:val="000000" w:themeColor="text1"/>
          <w:sz w:val="24"/>
        </w:rPr>
        <w:t xml:space="preserve">виду </w:t>
      </w:r>
      <w:r>
        <w:rPr>
          <w:color w:val="000000" w:themeColor="text1"/>
          <w:sz w:val="24"/>
        </w:rPr>
        <w:t xml:space="preserve">услуг</w:t>
      </w:r>
      <w:r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 xml:space="preserve">в том числе: </w:t>
      </w:r>
      <w:r>
        <w:rPr>
          <w:color w:val="000000" w:themeColor="text1"/>
          <w:sz w:val="24"/>
        </w:rPr>
        <w:t xml:space="preserve">согласно требовани</w:t>
      </w:r>
      <w:r>
        <w:rPr>
          <w:color w:val="000000" w:themeColor="text1"/>
          <w:sz w:val="24"/>
        </w:rPr>
        <w:t xml:space="preserve">й действующего законодательства: 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711"/>
        <w:numPr>
          <w:ilvl w:val="0"/>
          <w:numId w:val="2"/>
        </w:numPr>
        <w:ind w:left="1077" w:hanging="357"/>
        <w:jc w:val="both"/>
        <w:widowControl w:val="off"/>
        <w:rPr>
          <w:color w:val="000000" w:themeColor="text1"/>
          <w:sz w:val="24"/>
        </w:rPr>
      </w:pPr>
      <w:r>
        <w:rPr>
          <w:sz w:val="24"/>
        </w:rPr>
        <w:t xml:space="preserve">ФЗ «Об оценочной деятельности» от 29.07.1998 №135-ФЗ, другими федеральными законами и иными нормативными правовыми актами РФ, федеральными стандартами оценки, а также стандартами и правилами оценочной деятельности.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Оказываемая услуга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должна соответствовать всем требованиям настоящего </w:t>
      </w:r>
      <w:r>
        <w:rPr>
          <w:color w:val="000000" w:themeColor="text1"/>
          <w:sz w:val="24"/>
        </w:rPr>
        <w:t xml:space="preserve">К</w:t>
      </w:r>
      <w:r>
        <w:rPr>
          <w:color w:val="000000" w:themeColor="text1"/>
          <w:sz w:val="24"/>
        </w:rPr>
        <w:t xml:space="preserve">онтракта</w:t>
      </w:r>
      <w:r>
        <w:rPr>
          <w:color w:val="000000" w:themeColor="text1"/>
          <w:sz w:val="24"/>
        </w:rPr>
        <w:t xml:space="preserve"> и приложений к нему.  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711"/>
        <w:ind w:left="1077" w:firstLine="0"/>
        <w:jc w:val="both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Права и обязанности Сторон</w:t>
      </w:r>
      <w:r>
        <w:rPr>
          <w:b/>
          <w:smallCaps/>
          <w:sz w:val="24"/>
        </w:rPr>
        <w:t xml:space="preserve">.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jc w:val="both"/>
        <w:rPr>
          <w:b/>
          <w:sz w:val="24"/>
        </w:rPr>
      </w:pPr>
      <w:r>
        <w:rPr>
          <w:b/>
          <w:sz w:val="24"/>
        </w:rPr>
        <w:t xml:space="preserve">Исполнитель вправе: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Требовать своевременной оплаты </w:t>
      </w:r>
      <w:r>
        <w:rPr>
          <w:sz w:val="24"/>
        </w:rPr>
        <w:t xml:space="preserve">оказанных услуг</w:t>
      </w:r>
      <w:r>
        <w:rPr>
          <w:sz w:val="24"/>
        </w:rPr>
        <w:t xml:space="preserve"> </w:t>
      </w:r>
      <w:r>
        <w:rPr>
          <w:sz w:val="24"/>
        </w:rPr>
        <w:t xml:space="preserve">в соответствии с условиями </w:t>
      </w:r>
      <w:r>
        <w:rPr>
          <w:sz w:val="24"/>
        </w:rPr>
        <w:t xml:space="preserve">Контракта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Обращаться к Заказчику за разъяснениями и консультациями по вопросам реализации различных видов имущества, что не приостанавливает и не отменяет его обязанности по Контракту.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Получать от Заказчика содействие при </w:t>
      </w:r>
      <w:r>
        <w:rPr>
          <w:sz w:val="24"/>
        </w:rPr>
        <w:t xml:space="preserve">оказании услуг</w:t>
      </w:r>
      <w:r>
        <w:rPr>
          <w:sz w:val="24"/>
        </w:rPr>
        <w:t xml:space="preserve"> в соответствии с условиями </w:t>
      </w:r>
      <w:r>
        <w:rPr>
          <w:sz w:val="24"/>
        </w:rPr>
        <w:t xml:space="preserve">Контракт</w:t>
      </w:r>
      <w:r>
        <w:rPr>
          <w:sz w:val="24"/>
        </w:rPr>
        <w:t xml:space="preserve">а, в том числе запрашивать и получать от Заказчика необходимую для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 по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 информацию.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Пользоваться иными правами, установленными </w:t>
      </w:r>
      <w:r>
        <w:rPr>
          <w:sz w:val="24"/>
        </w:rPr>
        <w:t xml:space="preserve">Контракт</w:t>
      </w:r>
      <w:r>
        <w:rPr>
          <w:sz w:val="24"/>
        </w:rPr>
        <w:t xml:space="preserve">ом и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711"/>
        <w:contextualSpacing w:val="0"/>
        <w:ind w:left="1560" w:firstLine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jc w:val="both"/>
        <w:rPr>
          <w:b/>
          <w:sz w:val="24"/>
        </w:rPr>
      </w:pPr>
      <w:r/>
      <w:bookmarkStart w:id="3" w:name="_Ref535904909"/>
      <w:r>
        <w:rPr>
          <w:b/>
          <w:sz w:val="24"/>
        </w:rPr>
        <w:t xml:space="preserve">Исполнитель обязуется:</w:t>
      </w:r>
      <w:bookmarkEnd w:id="3"/>
      <w:r>
        <w:rPr>
          <w:b/>
          <w:sz w:val="24"/>
        </w:rPr>
      </w:r>
      <w:r>
        <w:rPr>
          <w:b/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Обеспечить </w:t>
      </w:r>
      <w:r>
        <w:rPr>
          <w:sz w:val="24"/>
        </w:rPr>
        <w:t xml:space="preserve">оказание услуг</w:t>
      </w:r>
      <w:r>
        <w:rPr>
          <w:sz w:val="24"/>
        </w:rPr>
        <w:t xml:space="preserve"> </w:t>
      </w:r>
      <w:r>
        <w:rPr>
          <w:sz w:val="24"/>
        </w:rPr>
        <w:t xml:space="preserve">на условиях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Обеспечить соответствие </w:t>
      </w:r>
      <w:r>
        <w:rPr>
          <w:sz w:val="24"/>
        </w:rPr>
        <w:t xml:space="preserve">результата услуг</w:t>
      </w:r>
      <w:r>
        <w:rPr>
          <w:sz w:val="24"/>
        </w:rPr>
        <w:t xml:space="preserve"> требованиям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Предоставлять всю необходимую документацию для оплаты </w:t>
      </w:r>
      <w:r>
        <w:rPr>
          <w:sz w:val="24"/>
        </w:rPr>
        <w:t xml:space="preserve">результата услуг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Приостановить </w:t>
      </w:r>
      <w:r>
        <w:rPr>
          <w:sz w:val="24"/>
        </w:rPr>
        <w:t xml:space="preserve">оказание услуг</w:t>
      </w:r>
      <w:r>
        <w:rPr>
          <w:sz w:val="24"/>
        </w:rPr>
        <w:t xml:space="preserve"> в случае обнаружения независящих от Исполнителя обстоятельств, которые могут оказать негативное влияние на годность или прочность результатов </w:t>
      </w:r>
      <w:r>
        <w:rPr>
          <w:sz w:val="24"/>
        </w:rPr>
        <w:t xml:space="preserve">услуг</w:t>
      </w:r>
      <w:r>
        <w:rPr>
          <w:sz w:val="24"/>
        </w:rPr>
        <w:t xml:space="preserve"> или создать невозможность их завершения в установленный </w:t>
      </w:r>
      <w:r>
        <w:rPr>
          <w:sz w:val="24"/>
        </w:rPr>
        <w:t xml:space="preserve">Контракт</w:t>
      </w:r>
      <w:r>
        <w:rPr>
          <w:sz w:val="24"/>
        </w:rPr>
        <w:t xml:space="preserve">ом срок, и сообщить об этом Заказчику в день приостановления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.</w:t>
      </w:r>
      <w:r>
        <w:rPr>
          <w:sz w:val="24"/>
        </w:rPr>
        <w:t xml:space="preserve"> </w:t>
      </w:r>
      <w:r>
        <w:rPr>
          <w:sz w:val="24"/>
        </w:rPr>
        <w:t xml:space="preserve">Исполнитель, не предупредивший Заказчика об указанных в настоящем пункте обстоятельствах, либо продолживший </w:t>
      </w:r>
      <w:r>
        <w:rPr>
          <w:sz w:val="24"/>
        </w:rPr>
        <w:t xml:space="preserve">оказание услуг</w:t>
      </w:r>
      <w:r>
        <w:rPr>
          <w:sz w:val="24"/>
        </w:rPr>
        <w:t xml:space="preserve"> несмотря на своевременное указание Заказчика о прекращении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 </w:t>
      </w:r>
      <w:r>
        <w:rPr>
          <w:sz w:val="24"/>
        </w:rPr>
        <w:t xml:space="preserve">не вправе при предъявлении к Заказчику соответствующих требований ссылаться на указанные обстоятельства.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Знать и соблюдать требования действующего законодательства, </w:t>
      </w:r>
      <w:r>
        <w:rPr>
          <w:sz w:val="24"/>
        </w:rPr>
        <w:br/>
      </w:r>
      <w:r>
        <w:rPr>
          <w:sz w:val="24"/>
        </w:rPr>
        <w:t xml:space="preserve">в том числе </w:t>
      </w:r>
      <w:r>
        <w:rPr>
          <w:sz w:val="24"/>
        </w:rPr>
        <w:t xml:space="preserve">Знать и соблюдать требования действующего законодательства Российской Федерации, в том числе: 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2"/>
        </w:numPr>
        <w:ind w:left="2552" w:hanging="357"/>
        <w:jc w:val="both"/>
        <w:widowControl w:val="off"/>
        <w:rPr>
          <w:color w:val="ff0000"/>
          <w:sz w:val="24"/>
        </w:rPr>
      </w:pPr>
      <w:r>
        <w:rPr>
          <w:sz w:val="24"/>
        </w:rPr>
        <w:t xml:space="preserve">ФЗ «Об оценочной деятельности» от 29.07.1998 №135-ФЗ, други</w:t>
      </w:r>
      <w:r>
        <w:rPr>
          <w:sz w:val="24"/>
        </w:rPr>
        <w:t xml:space="preserve">е</w:t>
      </w:r>
      <w:r>
        <w:rPr>
          <w:sz w:val="24"/>
        </w:rPr>
        <w:t xml:space="preserve"> федеральны</w:t>
      </w:r>
      <w:r>
        <w:rPr>
          <w:sz w:val="24"/>
        </w:rPr>
        <w:t xml:space="preserve">е</w:t>
      </w:r>
      <w:r>
        <w:rPr>
          <w:sz w:val="24"/>
        </w:rPr>
        <w:t xml:space="preserve"> закон</w:t>
      </w:r>
      <w:r>
        <w:rPr>
          <w:sz w:val="24"/>
        </w:rPr>
        <w:t xml:space="preserve">ы</w:t>
      </w:r>
      <w:r>
        <w:rPr>
          <w:sz w:val="24"/>
        </w:rPr>
        <w:t xml:space="preserve"> и иными нормативны</w:t>
      </w:r>
      <w:r>
        <w:rPr>
          <w:sz w:val="24"/>
        </w:rPr>
        <w:t xml:space="preserve">е</w:t>
      </w:r>
      <w:r>
        <w:rPr>
          <w:sz w:val="24"/>
        </w:rPr>
        <w:t xml:space="preserve"> правовы</w:t>
      </w:r>
      <w:r>
        <w:rPr>
          <w:sz w:val="24"/>
        </w:rPr>
        <w:t xml:space="preserve">е</w:t>
      </w:r>
      <w:r>
        <w:rPr>
          <w:sz w:val="24"/>
        </w:rPr>
        <w:t xml:space="preserve"> акт</w:t>
      </w:r>
      <w:r>
        <w:rPr>
          <w:sz w:val="24"/>
        </w:rPr>
        <w:t xml:space="preserve">ы</w:t>
      </w:r>
      <w:r>
        <w:rPr>
          <w:sz w:val="24"/>
        </w:rPr>
        <w:t xml:space="preserve"> РФ, федеральны</w:t>
      </w:r>
      <w:r>
        <w:rPr>
          <w:sz w:val="24"/>
        </w:rPr>
        <w:t xml:space="preserve">е</w:t>
      </w:r>
      <w:r>
        <w:rPr>
          <w:sz w:val="24"/>
        </w:rPr>
        <w:t xml:space="preserve"> стандарт</w:t>
      </w:r>
      <w:r>
        <w:rPr>
          <w:sz w:val="24"/>
        </w:rPr>
        <w:t xml:space="preserve">ы</w:t>
      </w:r>
      <w:r>
        <w:rPr>
          <w:sz w:val="24"/>
        </w:rPr>
        <w:t xml:space="preserve"> оценки, а также стандарт</w:t>
      </w:r>
      <w:r>
        <w:rPr>
          <w:sz w:val="24"/>
        </w:rPr>
        <w:t xml:space="preserve">ы</w:t>
      </w:r>
      <w:r>
        <w:rPr>
          <w:sz w:val="24"/>
        </w:rPr>
        <w:t xml:space="preserve"> и правила оценочной деятельности.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Соблюдать конфиденциальность в работе с Заказчиком, не разглашать информацию, ставшую известной в процессе оказания услуг в соответствии с настоящим Контрактом.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Оказывать Услуги и выполнять свои обязанности с надлежащей эффективностью и на высоком профессиональном уровне, а также применять передовые технологии и безопасные и эффективные технику, материалы и методы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Письменно информировать Заказчика об указанных ниже обстоятельствах в течение 1 (одного) рабочего дня с даты их возникновения: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изменение местонахождения, почтового адреса, банковских и других реквизитов Исполнителя;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реорганизация Исполнителя;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возбуждение (начале) в отношении Исполнителя процедуры банкротства или ликвидации;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изменение состава учредителей (участников, акционеров) Исполнителя и внесении изменений и дополнений в его учредительные документы;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участие в судебных процессах, связанных с исполнением настоящего Контракта;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смена руководителя;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об отзыве выданных доверенностей;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фактах возбуждения правоохранительными </w:t>
      </w:r>
      <w:r>
        <w:rPr>
          <w:sz w:val="24"/>
        </w:rPr>
        <w:t xml:space="preserve">органами Российской Федерации уголовных дел, касающихся исполнения Контракта, проведения оперативно-следственных мероприятий в отношении исполнителя (его должностных лиц), не позднее 1 (одного) рабочего дня после даты возникновения указанных обстоятельств;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участии в судебных процессах и заседаниях комиссий антимонопольных органо</w:t>
      </w:r>
      <w:r>
        <w:rPr>
          <w:sz w:val="24"/>
        </w:rPr>
        <w:t xml:space="preserve">в, связанных с обжалованием действий Исполнителя, касающихся исполнения Контракта, в том числе об оспаривании результатов проведенных Исполнителем торгов по продаже имущества не позднее 1 (одного) рабочего дня до даты возникновения указанных обстоятельств;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0"/>
          <w:numId w:val="3"/>
        </w:numPr>
        <w:ind w:left="2410" w:right="6" w:hanging="357"/>
        <w:jc w:val="both"/>
        <w:rPr>
          <w:sz w:val="24"/>
        </w:rPr>
      </w:pPr>
      <w:r>
        <w:rPr>
          <w:sz w:val="24"/>
        </w:rPr>
        <w:t xml:space="preserve">иные обстоятельствах, препятствующих надлежащему исполнению условий настоящего Контракта.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В случае несоответствия оказываемой Услуги условиям Контракта в течение 10 (десяти) рабочих дней после уведомления об этом Заказчиком или в течение 10 (десяти) рабочих дней после подписания двустороннего акта с перечн</w:t>
      </w:r>
      <w:r>
        <w:rPr>
          <w:sz w:val="24"/>
        </w:rPr>
        <w:t xml:space="preserve">ем нарушений, либо отказа от его подписания, произвести необходимые доработки без дополнительной оплаты в пределах цены Контракта, в случае если такие доработки возможны, что не освобождает от обязанности нести предусмотренные настоящим Контрактом санкции.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При получении уведомления о приостановлении поручения, прекратить совершение действий по поручению и предпринять все меры по устранению недостатков, указанных в уведомлении Заказчика.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При получении уведомления о расторжении Контракта Исполнитель обязан приостановить исполнение поручений Заказчика до подписания соглашения о расторжении Контракта.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Устранить выявленные в ходе исполнения настоящего контракта недостатки своими силами и за счет собственных средств в возможно кратчайшие сроки.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Соблюдать прочие условия, предусмотренные </w:t>
      </w:r>
      <w:r>
        <w:rPr>
          <w:sz w:val="24"/>
        </w:rPr>
        <w:t xml:space="preserve">Контракт</w:t>
      </w:r>
      <w:r>
        <w:rPr>
          <w:sz w:val="24"/>
        </w:rPr>
        <w:t xml:space="preserve">ом. </w:t>
      </w:r>
      <w:r>
        <w:rPr>
          <w:sz w:val="24"/>
        </w:rPr>
      </w:r>
      <w:r>
        <w:rPr>
          <w:sz w:val="24"/>
        </w:rPr>
      </w:r>
    </w:p>
    <w:p>
      <w:pPr>
        <w:jc w:val="both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jc w:val="both"/>
        <w:rPr>
          <w:b/>
          <w:sz w:val="24"/>
        </w:rPr>
      </w:pPr>
      <w:r>
        <w:rPr>
          <w:b/>
          <w:sz w:val="24"/>
        </w:rPr>
        <w:t xml:space="preserve">Заказчик вправе: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Требовать от Исполнителя надлежащего исполнения обязательств в соответствии с </w:t>
      </w:r>
      <w:r>
        <w:rPr>
          <w:sz w:val="24"/>
        </w:rPr>
        <w:t xml:space="preserve">Контракт</w:t>
      </w:r>
      <w:r>
        <w:rPr>
          <w:sz w:val="24"/>
        </w:rPr>
        <w:t xml:space="preserve">ом, а также требовать своевременного устранения выявленных недостатков.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</w:t>
      </w:r>
      <w:r>
        <w:rPr>
          <w:sz w:val="24"/>
        </w:rPr>
        <w:t xml:space="preserve">Контракт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Осуществлять текущий контроль за деятельностью Исполнителя по реализации арестованного имущества, соблюдением требований законодательства Российской Федерации, условий настоящего Контракта и указаний Заказчика.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Запрашивать у Исполнителя, в том числе в письменной и устной форме, а также посредством электронной почты, информацию о ходе исполнения Контракта, письменных указаний и поручений Заказчика.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Отказаться от приемки и оплаты </w:t>
      </w:r>
      <w:r>
        <w:rPr>
          <w:sz w:val="24"/>
        </w:rPr>
        <w:t xml:space="preserve">услуг</w:t>
      </w:r>
      <w:r>
        <w:rPr>
          <w:sz w:val="24"/>
        </w:rPr>
        <w:t xml:space="preserve"> в случаях, предусмотренных </w:t>
      </w:r>
      <w:r>
        <w:rPr>
          <w:sz w:val="24"/>
        </w:rPr>
        <w:t xml:space="preserve">Контракт</w:t>
      </w:r>
      <w:r>
        <w:rPr>
          <w:sz w:val="24"/>
        </w:rPr>
        <w:t xml:space="preserve">ом и законодательством Российской Федерации, в том числе в случае обнаружения неустранимых недостатков.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567"/>
        <w:jc w:val="both"/>
        <w:rPr>
          <w:sz w:val="24"/>
        </w:rPr>
      </w:pPr>
      <w:r>
        <w:rPr>
          <w:sz w:val="24"/>
        </w:rPr>
        <w:t xml:space="preserve">Пользоваться иными правами, установленными </w:t>
      </w:r>
      <w:r>
        <w:rPr>
          <w:sz w:val="24"/>
        </w:rPr>
        <w:t xml:space="preserve">Контракт</w:t>
      </w:r>
      <w:r>
        <w:rPr>
          <w:sz w:val="24"/>
        </w:rPr>
        <w:t xml:space="preserve">ом и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711"/>
        <w:contextualSpacing w:val="0"/>
        <w:ind w:left="1560" w:firstLine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jc w:val="both"/>
        <w:rPr>
          <w:b/>
          <w:sz w:val="24"/>
        </w:rPr>
      </w:pPr>
      <w:r>
        <w:rPr>
          <w:b/>
          <w:sz w:val="24"/>
        </w:rPr>
        <w:t xml:space="preserve">Заказчик обязуется: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Обеспечить </w:t>
      </w:r>
      <w:r>
        <w:rPr>
          <w:sz w:val="24"/>
        </w:rPr>
        <w:t xml:space="preserve">исполнение</w:t>
      </w:r>
      <w:r>
        <w:rPr>
          <w:sz w:val="24"/>
        </w:rPr>
        <w:t xml:space="preserve"> своих обязательств на условиях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Обеспечить своевременную приемку и оплату надлежащим образом </w:t>
      </w:r>
      <w:r>
        <w:rPr>
          <w:sz w:val="24"/>
        </w:rPr>
        <w:t xml:space="preserve">оказанных услуг</w:t>
      </w:r>
      <w:r>
        <w:rPr>
          <w:sz w:val="24"/>
        </w:rPr>
        <w:t xml:space="preserve"> в соответствии с </w:t>
      </w:r>
      <w:r>
        <w:rPr>
          <w:sz w:val="24"/>
        </w:rPr>
        <w:t xml:space="preserve">Контракт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Предоставлять Исполнителю необходимую информацию и документацию, необходимые для надлежащего </w:t>
      </w:r>
      <w:r>
        <w:rPr>
          <w:sz w:val="24"/>
        </w:rPr>
        <w:t xml:space="preserve">оказания услуг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Своевременно доводить до Исполнителя установленные Заказчиком формы отчетности, методические, инструктивные материалы и Поручения.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2"/>
          <w:numId w:val="1"/>
        </w:numPr>
        <w:contextualSpacing w:val="0"/>
        <w:ind w:left="1560" w:hanging="709"/>
        <w:jc w:val="both"/>
        <w:rPr>
          <w:sz w:val="24"/>
        </w:rPr>
      </w:pPr>
      <w:r>
        <w:rPr>
          <w:sz w:val="24"/>
        </w:rPr>
        <w:t xml:space="preserve">Соблюдать прочие условия, предусмотренные </w:t>
      </w:r>
      <w:r>
        <w:rPr>
          <w:sz w:val="24"/>
        </w:rPr>
        <w:t xml:space="preserve">Контракт</w:t>
      </w:r>
      <w:r>
        <w:rPr>
          <w:sz w:val="24"/>
        </w:rPr>
        <w:t xml:space="preserve">ом.</w:t>
      </w:r>
      <w:r>
        <w:rPr>
          <w:sz w:val="24"/>
        </w:rPr>
      </w:r>
      <w:r>
        <w:rPr>
          <w:sz w:val="24"/>
        </w:rPr>
      </w:r>
    </w:p>
    <w:p>
      <w:pPr>
        <w:pStyle w:val="711"/>
        <w:ind w:left="357" w:firstLine="0"/>
        <w:spacing w:before="120"/>
        <w:rPr>
          <w:b/>
          <w:smallCaps/>
        </w:rPr>
      </w:pPr>
      <w:r>
        <w:rPr>
          <w:b/>
          <w:smallCaps/>
        </w:rPr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 xml:space="preserve">Порядок осуществления сдачи результата </w:t>
      </w:r>
      <w:r>
        <w:rPr>
          <w:b/>
          <w:smallCaps/>
          <w:sz w:val="24"/>
        </w:rPr>
        <w:t xml:space="preserve">оказанных услуг</w:t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Исполнитель обязан сдать результат оказанных услуг в объёме, фактически оказанном, исходя из стоимости единицы услуги, определенной в техническом задании (приложение 1 к Контракту)</w:t>
      </w:r>
      <w:r>
        <w:rPr>
          <w:sz w:val="24"/>
        </w:rPr>
        <w:t xml:space="preserve">, </w:t>
      </w:r>
      <w:r>
        <w:rPr>
          <w:b/>
          <w:sz w:val="24"/>
        </w:rPr>
        <w:t xml:space="preserve">не позднее 15 календарных</w:t>
      </w:r>
      <w:r>
        <w:rPr>
          <w:b/>
          <w:sz w:val="24"/>
        </w:rPr>
        <w:t xml:space="preserve"> дне</w:t>
      </w:r>
      <w:r>
        <w:rPr>
          <w:b/>
          <w:sz w:val="24"/>
        </w:rPr>
        <w:t xml:space="preserve">й с момента получения Исполнителем Заявки на оценку (задания на оценку) от Заказчика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Исполнитель заранее обозначает Заказчику о готовности</w:t>
      </w:r>
      <w:r>
        <w:rPr>
          <w:sz w:val="24"/>
        </w:rPr>
        <w:t xml:space="preserve"> сдать результаты оказанных услуг в указанные дату и время.  Исполнитель вправе обозначить готовность сдать результаты оказанных услуг следующими возможными способами: путём телефонной связи, по средствам факсимильной связи, по средствам электронной почты.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После получения согласия Заказчика о готовности принять результаты услуг, Исполнитель приступает к передаче оказанных услуг.</w:t>
      </w:r>
      <w:r>
        <w:rPr>
          <w:sz w:val="24"/>
        </w:rPr>
      </w:r>
      <w:r>
        <w:rPr>
          <w:sz w:val="24"/>
        </w:rPr>
      </w:r>
    </w:p>
    <w:p>
      <w:pPr>
        <w:numPr>
          <w:ilvl w:val="1"/>
          <w:numId w:val="1"/>
        </w:numPr>
        <w:contextualSpacing w:val="0"/>
        <w:ind w:left="709" w:hanging="709"/>
        <w:jc w:val="both"/>
        <w:rPr>
          <w:sz w:val="24"/>
        </w:rPr>
      </w:pPr>
      <w:r>
        <w:rPr>
          <w:sz w:val="24"/>
        </w:rPr>
        <w:t xml:space="preserve"> О</w:t>
      </w:r>
      <w:r>
        <w:rPr>
          <w:sz w:val="24"/>
        </w:rPr>
        <w:t xml:space="preserve">плата за оказанные услуги в ноябре, декабре 2026</w:t>
      </w:r>
      <w:r>
        <w:rPr>
          <w:sz w:val="24"/>
        </w:rPr>
        <w:t xml:space="preserve"> года</w:t>
      </w:r>
      <w:r>
        <w:rPr>
          <w:b/>
          <w:sz w:val="24"/>
        </w:rPr>
        <w:t xml:space="preserve"> будет произведена в январе 2027 года за счет лимитов бюджетных обязательств, доведенных до Государственного заказчика</w:t>
      </w:r>
      <w:r>
        <w:rPr>
          <w:b/>
          <w:sz w:val="24"/>
        </w:rPr>
        <w:t xml:space="preserve"> на 2027</w:t>
      </w:r>
      <w:r>
        <w:rPr>
          <w:b/>
          <w:sz w:val="24"/>
        </w:rPr>
        <w:t xml:space="preserve"> финансовый год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  <w:rPr>
          <w:sz w:val="24"/>
        </w:rPr>
      </w:pPr>
      <w:r>
        <w:rPr>
          <w:sz w:val="24"/>
        </w:rPr>
        <w:t xml:space="preserve">Вместе с результатами услуг </w:t>
      </w:r>
      <w:r>
        <w:rPr>
          <w:sz w:val="24"/>
        </w:rPr>
        <w:t xml:space="preserve">(отчет об оценке) </w:t>
      </w:r>
      <w:r>
        <w:rPr>
          <w:sz w:val="24"/>
        </w:rPr>
        <w:t xml:space="preserve">Исполнитель обязан не позднее 10 числа месяца, следующего за отчетным, за ноябрь – </w:t>
      </w:r>
      <w:r>
        <w:rPr>
          <w:b/>
          <w:sz w:val="24"/>
        </w:rPr>
        <w:t xml:space="preserve">не позднее 10 </w:t>
      </w:r>
      <w:r>
        <w:rPr>
          <w:b/>
          <w:sz w:val="24"/>
        </w:rPr>
        <w:t xml:space="preserve">декабря </w:t>
      </w:r>
      <w:r>
        <w:rPr>
          <w:b/>
          <w:sz w:val="24"/>
        </w:rPr>
        <w:t xml:space="preserve">2026</w:t>
      </w:r>
      <w:r>
        <w:rPr>
          <w:b/>
          <w:sz w:val="24"/>
        </w:rPr>
        <w:t xml:space="preserve"> года,</w:t>
      </w:r>
      <w:r>
        <w:rPr>
          <w:b/>
          <w:sz w:val="24"/>
        </w:rPr>
        <w:t xml:space="preserve"> </w:t>
      </w:r>
      <w:r>
        <w:rPr>
          <w:sz w:val="24"/>
        </w:rPr>
        <w:t xml:space="preserve">предоставить </w:t>
      </w:r>
      <w:r>
        <w:rPr>
          <w:sz w:val="24"/>
        </w:rPr>
        <w:t xml:space="preserve">документы, подтверждающие факт передачи результата оказанных услуг - акт приемки</w:t>
      </w:r>
      <w:r>
        <w:rPr>
          <w:sz w:val="24"/>
        </w:rPr>
        <w:t xml:space="preserve">-сдачи</w:t>
      </w:r>
      <w:r>
        <w:rPr>
          <w:sz w:val="24"/>
        </w:rPr>
        <w:t xml:space="preserve"> оказанных услуг (2-а экземпляра)</w:t>
      </w:r>
      <w:r>
        <w:rPr>
          <w:sz w:val="24"/>
        </w:rPr>
        <w:t xml:space="preserve"> (согласно приложению 3 к Контракту)</w:t>
      </w:r>
      <w:r>
        <w:rPr>
          <w:sz w:val="24"/>
        </w:rPr>
        <w:t xml:space="preserve">, и документы для оплаты услуг - счет; счёт –фактуру (при наличии).</w:t>
      </w:r>
      <w:r>
        <w:rPr>
          <w:sz w:val="24"/>
        </w:rPr>
      </w:r>
      <w:r>
        <w:rPr>
          <w:sz w:val="24"/>
        </w:rPr>
      </w:r>
    </w:p>
    <w:p>
      <w:pPr>
        <w:pStyle w:val="711"/>
        <w:ind w:left="357" w:firstLine="0"/>
        <w:spacing w:before="120"/>
        <w:rPr>
          <w:b/>
          <w:smallCaps/>
          <w:sz w:val="24"/>
        </w:rPr>
      </w:pPr>
      <w:r>
        <w:rPr>
          <w:b/>
          <w:smallCaps/>
          <w:sz w:val="24"/>
        </w:rPr>
      </w:r>
      <w:r>
        <w:rPr>
          <w:b/>
          <w:smallCaps/>
          <w:sz w:val="24"/>
        </w:rPr>
      </w:r>
      <w:r>
        <w:rPr>
          <w:b/>
          <w:smallCaps/>
          <w:sz w:val="24"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Порядок осуществления приемки </w:t>
      </w:r>
      <w:r>
        <w:rPr>
          <w:b/>
          <w:smallCaps/>
        </w:rPr>
        <w:t xml:space="preserve">оказанных услуг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По факту передачи Исполнителем результата оказанных услуг Заказчик обязан приступить к их приемке.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назначает ответственное лицо за приёмку </w:t>
      </w:r>
      <w:r>
        <w:t xml:space="preserve">оказанных услуг</w:t>
      </w:r>
      <w:r>
        <w:t xml:space="preserve">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По решению Заказчика для приемки </w:t>
      </w:r>
      <w:r>
        <w:t xml:space="preserve">оказанных услуг</w:t>
      </w:r>
      <w:r>
        <w:t xml:space="preserve">, результатов исполнения </w:t>
      </w:r>
      <w:r>
        <w:t xml:space="preserve">Контракт</w:t>
      </w:r>
      <w:r>
        <w:t xml:space="preserve">а может создаваться приемочная комиссия, которая состоит не менее чем из пяти человек.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На этапе приемки результата </w:t>
      </w:r>
      <w:r>
        <w:t xml:space="preserve">оказанных услуг</w:t>
      </w:r>
      <w:r>
        <w:t xml:space="preserve"> </w:t>
      </w:r>
      <w:r>
        <w:t xml:space="preserve">Заказчик проводит проверку по установлению соответствия результата </w:t>
      </w:r>
      <w:r>
        <w:t xml:space="preserve">оказанных услуг</w:t>
      </w:r>
      <w:r>
        <w:t xml:space="preserve"> </w:t>
      </w:r>
      <w:r>
        <w:t xml:space="preserve">условиям настоящего </w:t>
      </w:r>
      <w:r>
        <w:t xml:space="preserve">Контракт</w:t>
      </w:r>
      <w:r>
        <w:t xml:space="preserve">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вправе проводить приемку результата услуг в течение в течение </w:t>
      </w:r>
      <w:r>
        <w:t xml:space="preserve">5</w:t>
      </w:r>
      <w:r>
        <w:t xml:space="preserve"> (</w:t>
      </w:r>
      <w:r>
        <w:t xml:space="preserve">пяти</w:t>
      </w:r>
      <w:r>
        <w:t xml:space="preserve">) рабочих дней.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 отсутствия замечаний по итогам проверки результата </w:t>
      </w:r>
      <w:r>
        <w:t xml:space="preserve">оказанных услуг</w:t>
      </w:r>
      <w:r>
        <w:t xml:space="preserve"> </w:t>
      </w:r>
      <w:r>
        <w:t xml:space="preserve">Заказчик направляет Исполнителю 1 (один) экземпляр акта приемки </w:t>
      </w:r>
      <w:r>
        <w:t xml:space="preserve">оказанных услуг</w:t>
      </w:r>
      <w:r>
        <w:t xml:space="preserve">, подписанный Заказчиком.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 установления Заказчиком недостатков результата </w:t>
      </w:r>
      <w:r>
        <w:t xml:space="preserve">оказанных услуг</w:t>
      </w:r>
      <w:r>
        <w:t xml:space="preserve"> </w:t>
      </w:r>
      <w:r>
        <w:t xml:space="preserve">Заказчик направляет Исполнителю мотивированный отказ от приемки </w:t>
      </w:r>
      <w:r>
        <w:t xml:space="preserve">услуг</w:t>
      </w:r>
      <w:r>
        <w:t xml:space="preserve">.  Мотивированный отказ должен содержать замечания и описание выявленных недостатков, разъясняющие причину отказа от приемки результатов </w:t>
      </w:r>
      <w:r>
        <w:t xml:space="preserve">услуг</w:t>
      </w:r>
      <w:r>
        <w:t xml:space="preserve">. При условии, если выявленные недостатки не являются существенными и неустранимыми Заказчик должен установить в мотивированном отказе разумный срок Исполнителю для их устранения.  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Исполнитель обязан устранить недостатки </w:t>
      </w:r>
      <w:r>
        <w:t xml:space="preserve">результата услуг</w:t>
      </w:r>
      <w:r>
        <w:t xml:space="preserve">,</w:t>
      </w:r>
      <w:r>
        <w:t xml:space="preserve"> указанные Заказчиком в мотивированном отказе, в установленные Заказчиком сроки.  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обязан провести экспертизу, устанавливающую соответствие результатов </w:t>
      </w:r>
      <w:r>
        <w:t xml:space="preserve">оказанных услуг</w:t>
      </w:r>
      <w:r>
        <w:t xml:space="preserve"> </w:t>
      </w:r>
      <w:r>
        <w:t xml:space="preserve">условиям</w:t>
      </w:r>
      <w:r>
        <w:t xml:space="preserve"> </w:t>
      </w:r>
      <w:r>
        <w:t xml:space="preserve">Контракт</w:t>
      </w:r>
      <w:r>
        <w:t xml:space="preserve">а, в случае, если требованиями закона, регламентирующего закупочную деятельность, установлена такая обязанность.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Экспертиза проводится Заказчиком своими силами.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При возникновении между Сторонами спора по качеству </w:t>
      </w:r>
      <w:r>
        <w:t xml:space="preserve">оказанных услуг</w:t>
      </w:r>
      <w:r>
        <w:t xml:space="preserve"> </w:t>
      </w:r>
      <w:r>
        <w:t xml:space="preserve">Заказчик</w:t>
      </w:r>
      <w:r>
        <w:t xml:space="preserve"> вправе привлечь экспертов, экспер</w:t>
      </w:r>
      <w:r>
        <w:t xml:space="preserve">тную организацию в соответствии со ст. 41 Федерального закона № 44-ФЗ. Срок проведения экспертизы и оформления экспертного заключения составляет не более 15 (пятнадцати) дней. В случае, если по результатам такой экспертизы установлены нарушения требований </w:t>
      </w:r>
      <w:r>
        <w:t xml:space="preserve">Контракт</w:t>
      </w:r>
      <w:r>
        <w:t xml:space="preserve">а, не препятствующие приёмке </w:t>
      </w:r>
      <w:r>
        <w:t xml:space="preserve">услуг</w:t>
      </w:r>
      <w:r>
        <w:t xml:space="preserve">, в заключении могут содержаться предложения об устранении данных нарушений, в том числе с указанием срока их устранения.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 получения от Заказчика, эксперта, экспертной организации запроса о предоставлении дополнительных материалов, предоставлении разъяснений касательно результатов </w:t>
      </w:r>
      <w:r>
        <w:t xml:space="preserve">оказанных услуг</w:t>
      </w:r>
      <w:r>
        <w:t xml:space="preserve">,</w:t>
      </w:r>
      <w:r>
        <w:t xml:space="preserve"> относящиеся к условиям исполнения </w:t>
      </w:r>
      <w:r>
        <w:t xml:space="preserve">Контракт</w:t>
      </w:r>
      <w:r>
        <w:t xml:space="preserve">а и отдельным этапам исполнения </w:t>
      </w:r>
      <w:r>
        <w:t xml:space="preserve">Контракт</w:t>
      </w:r>
      <w:r>
        <w:t xml:space="preserve">а Исполнитель в течение 2 (двух) рабочих дней обязан предоставить Заказчику, эксперту, экспертной организации запрашиваемые дополнительные материалы, разъяснения в отношении </w:t>
      </w:r>
      <w:r>
        <w:t xml:space="preserve">оказанных услуг</w:t>
      </w:r>
      <w:r>
        <w:t xml:space="preserve">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Если в процессе </w:t>
      </w:r>
      <w:r>
        <w:t xml:space="preserve">оказания услуг</w:t>
      </w:r>
      <w:r>
        <w:t xml:space="preserve"> выявляется неизбежность получения отрицательных результатов или нецелесообразность дальнейшего осуществления </w:t>
      </w:r>
      <w:r>
        <w:t xml:space="preserve">услуг</w:t>
      </w:r>
      <w:r>
        <w:t xml:space="preserve">, каждая из Сторон вправе внести предложение о приостановке исполнения обязательств по </w:t>
      </w:r>
      <w:r>
        <w:t xml:space="preserve">Контракт</w:t>
      </w:r>
      <w:r>
        <w:t xml:space="preserve">у. После уведомления о приостановке </w:t>
      </w:r>
      <w:r>
        <w:t xml:space="preserve">услуг</w:t>
      </w:r>
      <w:r>
        <w:t xml:space="preserve"> Стороны обязаны в трехдневный срок принять совместное решение о дальнейшем осуществлении </w:t>
      </w:r>
      <w:r>
        <w:t xml:space="preserve">оказания услуг</w:t>
      </w:r>
      <w:r>
        <w:t xml:space="preserve">, изменении условий или расторжении настоящего </w:t>
      </w:r>
      <w:r>
        <w:t xml:space="preserve">Контракт</w:t>
      </w:r>
      <w:r>
        <w:t xml:space="preserve">а.</w:t>
      </w:r>
      <w:r/>
    </w:p>
    <w:p>
      <w:pPr>
        <w:ind w:left="360" w:right="34" w:firstLine="0"/>
        <w:rPr>
          <w:b/>
          <w:smallCaps/>
        </w:rPr>
      </w:pPr>
      <w:r>
        <w:rPr>
          <w:b/>
          <w:smallCaps/>
        </w:rPr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Порядок оплаты </w:t>
      </w:r>
      <w:r>
        <w:rPr>
          <w:b/>
          <w:smallCaps/>
        </w:rPr>
        <w:t xml:space="preserve">результата услуг</w:t>
      </w:r>
      <w:r>
        <w:rPr>
          <w:b/>
          <w:smallCaps/>
        </w:rPr>
        <w:t xml:space="preserve">.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rPr>
          <w:color w:val="000000" w:themeColor="text1"/>
        </w:rPr>
        <w:t xml:space="preserve">Оплата производится за фактически оказанный объём услуг.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Факт </w:t>
      </w:r>
      <w:r>
        <w:t xml:space="preserve">оказания услуг</w:t>
      </w:r>
      <w:r>
        <w:t xml:space="preserve"> подтверждается документально, путём подписания акта приемки </w:t>
      </w:r>
      <w:r>
        <w:t xml:space="preserve">оказанных услуг</w:t>
      </w:r>
      <w:r>
        <w:t xml:space="preserve">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Оплата за </w:t>
      </w:r>
      <w:r>
        <w:t xml:space="preserve">оказанные услуги</w:t>
      </w:r>
      <w:r>
        <w:t xml:space="preserve"> производится в течение 7 </w:t>
      </w:r>
      <w:r>
        <w:t xml:space="preserve">(семи</w:t>
      </w:r>
      <w:r>
        <w:t xml:space="preserve">) </w:t>
      </w:r>
      <w:r>
        <w:t xml:space="preserve">рабочих</w:t>
      </w:r>
      <w:r>
        <w:t xml:space="preserve"> дней с даты получения счёта, счёта - фактуры (при наличии) и подписанного акта приемки </w:t>
      </w:r>
      <w:r>
        <w:t xml:space="preserve">оказанных услуг</w:t>
      </w:r>
      <w:r>
        <w:t xml:space="preserve">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Основание для оплаты: пописанный сторонами акт приемки </w:t>
      </w:r>
      <w:r>
        <w:t xml:space="preserve">оказанных услуг</w:t>
      </w:r>
      <w:r>
        <w:t xml:space="preserve">, счет, счет-фактур</w:t>
      </w:r>
      <w:r>
        <w:t xml:space="preserve">а</w:t>
      </w:r>
      <w:r>
        <w:t xml:space="preserve"> (при наличии).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Форма расчетов: оплата осуществляется в форме безналичного расчёта – расчёт платёжными поручениями.</w:t>
      </w:r>
      <w:r/>
    </w:p>
    <w:p>
      <w:pPr>
        <w:pStyle w:val="711"/>
        <w:contextualSpacing w:val="0"/>
        <w:ind w:left="709" w:firstLine="0"/>
        <w:jc w:val="both"/>
      </w:pPr>
      <w:r/>
      <w:r/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Ответственность</w:t>
      </w:r>
      <w:r>
        <w:rPr>
          <w:b/>
          <w:smallCaps/>
        </w:rPr>
        <w:t xml:space="preserve">.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 </w:t>
      </w:r>
      <w:r>
        <w:t xml:space="preserve">неисполнение</w:t>
      </w:r>
      <w:r>
        <w:t xml:space="preserve">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/>
    </w:p>
    <w:p>
      <w:pPr>
        <w:pStyle w:val="711"/>
        <w:contextualSpacing w:val="0"/>
        <w:ind w:left="709" w:firstLine="0"/>
        <w:jc w:val="both"/>
      </w:pPr>
      <w:r>
        <w:t xml:space="preserve">Размер неустойки (штрафа, пени) определяется в соответствии с требованиями Федерального закона № 44-ФЗ, а также в соответствии с порядком, установленным Постановлением </w:t>
      </w:r>
      <w:r>
        <w:t xml:space="preserve">Правительства РФ от 30.08.2017 № 1042 «Об утверждении Правил оп</w:t>
      </w:r>
      <w:r>
        <w:t xml:space="preserve">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</w:t>
      </w:r>
      <w: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/>
    </w:p>
    <w:p>
      <w:pPr>
        <w:pStyle w:val="711"/>
        <w:numPr>
          <w:ilvl w:val="2"/>
          <w:numId w:val="1"/>
        </w:numPr>
        <w:contextualSpacing w:val="0"/>
        <w:ind w:left="1224" w:firstLine="0"/>
        <w:jc w:val="both"/>
        <w:rPr>
          <w:b/>
        </w:rPr>
      </w:pPr>
      <w:r>
        <w:rPr>
          <w:b/>
        </w:rPr>
        <w:t xml:space="preserve">Ответственность Исполнителя:</w:t>
      </w:r>
      <w:r>
        <w:rPr>
          <w:b/>
        </w:rPr>
      </w:r>
      <w:r>
        <w:rPr>
          <w:b/>
        </w:rPr>
      </w:r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В случае просрочки исполнения </w:t>
      </w:r>
      <w:r>
        <w:t xml:space="preserve">Исполнителем</w:t>
      </w:r>
      <w:r>
        <w:t xml:space="preserve"> </w:t>
      </w:r>
      <w:r>
        <w:t xml:space="preserve">обязательств</w:t>
      </w:r>
      <w:r>
        <w:t xml:space="preserve">, предусмотренных </w:t>
      </w:r>
      <w:r>
        <w:t xml:space="preserve">Контрактом</w:t>
      </w:r>
      <w:r>
        <w:t xml:space="preserve">, а также в иных случаях неисполнения или ненадлежащего исполнения </w:t>
      </w:r>
      <w:r>
        <w:t xml:space="preserve">Исполнителем</w:t>
      </w:r>
      <w:r>
        <w:t xml:space="preserve"> обязательств, предусмотренных </w:t>
      </w:r>
      <w:r>
        <w:t xml:space="preserve">Контрактом</w:t>
      </w:r>
      <w:r>
        <w:t xml:space="preserve">, Заказчик направляет </w:t>
      </w:r>
      <w:r>
        <w:t xml:space="preserve">Исполнителю </w:t>
      </w:r>
      <w:r>
        <w:t xml:space="preserve">требование об уплате неустоек </w:t>
      </w:r>
      <w:r>
        <w:t xml:space="preserve">(штрафов, пеней). 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Пеня начисляется за каждый день просрочки исполнения </w:t>
      </w:r>
      <w:r>
        <w:t xml:space="preserve">Исполнителем</w:t>
      </w:r>
      <w:r>
        <w:t xml:space="preserve"> обязательства, предусмотренного </w:t>
      </w:r>
      <w:r>
        <w:t xml:space="preserve">Контрактом</w:t>
      </w:r>
      <w:r>
        <w:t xml:space="preserve">, начиная со дня, следующего после дня истечения установленного </w:t>
      </w:r>
      <w:r>
        <w:t xml:space="preserve">Контрактом</w:t>
      </w:r>
      <w:r>
        <w:t xml:space="preserve"> срока исполнения обязательства, и устанавливается </w:t>
      </w:r>
      <w:r>
        <w:t xml:space="preserve">Контрактом</w:t>
      </w:r>
      <w:r>
        <w:t xml:space="preserve"> в размере одной трехсотой действующей на дату уплаты </w:t>
      </w:r>
      <w:r>
        <w:t xml:space="preserve">пени ключевой ставки Центрального банка Российской Федерации от цены </w:t>
      </w:r>
      <w:r>
        <w:t xml:space="preserve">Контракта</w:t>
      </w:r>
      <w:r>
        <w:t xml:space="preserve">(отдельного этапа исполнения </w:t>
      </w:r>
      <w:r>
        <w:t xml:space="preserve">Контракта</w:t>
      </w:r>
      <w:r>
        <w:t xml:space="preserve">)</w:t>
      </w:r>
      <w:r>
        <w:t xml:space="preserve">, уменьшенной на сумму, пропорциональную объему обязательств, предусмотренных </w:t>
      </w:r>
      <w:r>
        <w:t xml:space="preserve">Контрактом</w:t>
      </w:r>
      <w:r>
        <w:t xml:space="preserve"> </w:t>
      </w:r>
      <w:r>
        <w:t xml:space="preserve">(соответствующим отдельным этапом исполнения </w:t>
      </w:r>
      <w:r>
        <w:t xml:space="preserve">Контрактом</w:t>
      </w:r>
      <w:r>
        <w:t xml:space="preserve">) </w:t>
      </w:r>
      <w:r>
        <w:t xml:space="preserve"> и фактически исполненных </w:t>
      </w:r>
      <w:r>
        <w:t xml:space="preserve">Исполнителем</w:t>
      </w:r>
      <w:r>
        <w:t xml:space="preserve">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За каждый </w:t>
      </w:r>
      <w:r>
        <w:t xml:space="preserve">факт неисполнения или ненадлежащего исполнения </w:t>
      </w:r>
      <w:r>
        <w:t xml:space="preserve">Исполнителем</w:t>
      </w:r>
      <w:r>
        <w:t xml:space="preserve"> обязательств, предусмотренных </w:t>
      </w:r>
      <w:r>
        <w:t xml:space="preserve">Контрактом</w:t>
      </w:r>
      <w:r>
        <w:t xml:space="preserve">, заключенным по результатам определения поставщика (</w:t>
      </w:r>
      <w:r>
        <w:t xml:space="preserve">подрядчика</w:t>
      </w:r>
      <w:r>
        <w:t xml:space="preserve">, исполнителя) в соответствии с пунктом 1 части 1 статьи 30 Федерального за</w:t>
      </w:r>
      <w:r>
        <w:t xml:space="preserve">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t xml:space="preserve">Договор</w:t>
      </w:r>
      <w:r>
        <w:t xml:space="preserve">ом, размер штрафа устанавливается в размере 1 процента цены </w:t>
      </w:r>
      <w:r>
        <w:t xml:space="preserve">Договор</w:t>
      </w:r>
      <w:r>
        <w:t xml:space="preserve">а (этапа), но не более 5 тыс. рублей и не менее 1 тыс. рублей.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За каждый факт неисполнения или ненадлежащего исполнения </w:t>
      </w:r>
      <w:r>
        <w:t xml:space="preserve">Исполнителем </w:t>
      </w:r>
      <w:r>
        <w:t xml:space="preserve">обязательств, предусмотренных </w:t>
      </w:r>
      <w:r>
        <w:t xml:space="preserve">Контрактом</w:t>
      </w:r>
      <w: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>
        <w:t xml:space="preserve">Контрактом</w:t>
      </w:r>
      <w:r>
        <w:t xml:space="preserve">, </w:t>
      </w:r>
      <w:r>
        <w:t xml:space="preserve">Исполнитель</w:t>
      </w:r>
      <w:r>
        <w:t xml:space="preserve"> </w:t>
      </w:r>
      <w:r>
        <w:t xml:space="preserve">обязан в течение 5 (пяти) рабочих дней с даты получения от Заказчика соответствующего требования уплатить</w:t>
      </w:r>
      <w:r>
        <w:t xml:space="preserve"> штраф в размере _______</w:t>
      </w:r>
      <w:r>
        <w:rPr>
          <w:b/>
        </w:rPr>
        <w:t xml:space="preserve"> (__________________)</w:t>
      </w:r>
      <w:r>
        <w:t xml:space="preserve"> </w:t>
      </w:r>
      <w:r>
        <w:rPr>
          <w:b/>
        </w:rPr>
        <w:t xml:space="preserve">рублей ____ копеек</w:t>
      </w:r>
      <w:r>
        <w:t xml:space="preserve">, определяем</w:t>
      </w:r>
      <w:r>
        <w:t xml:space="preserve">ом</w:t>
      </w:r>
      <w:r>
        <w:t xml:space="preserve"> в следующем порядке: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За каждый факт неисполнения или ненадлежащего исполнения </w:t>
      </w:r>
      <w:r>
        <w:t xml:space="preserve">Исполнителем</w:t>
      </w:r>
      <w:r>
        <w:t xml:space="preserve"> обязательства, предусмотренного </w:t>
      </w:r>
      <w:r>
        <w:t xml:space="preserve">Контрактом</w:t>
      </w:r>
      <w:r>
        <w:t xml:space="preserve">, которое не имеет стоимостного </w:t>
      </w:r>
      <w:r>
        <w:t xml:space="preserve">выражения, размер штрафа устанавливается </w:t>
      </w:r>
      <w:r>
        <w:rPr>
          <w:i/>
        </w:rPr>
        <w:t xml:space="preserve">1000 рублей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Общая сумма начисленных штрафов за неисполнение или ненадлежащее исполнение </w:t>
      </w:r>
      <w:r>
        <w:t xml:space="preserve">Исполнителем</w:t>
      </w:r>
      <w:r>
        <w:t xml:space="preserve"> обязательств, предусмотренных </w:t>
      </w:r>
      <w:r>
        <w:t xml:space="preserve">Контрактом</w:t>
      </w:r>
      <w:r>
        <w:t xml:space="preserve"> не может превышать цену </w:t>
      </w:r>
      <w:r>
        <w:t xml:space="preserve">Контракта</w:t>
      </w:r>
      <w:r>
        <w:t xml:space="preserve">. 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Уплата неустойки не освобождает Сторону от исполнения принятых обязательств по </w:t>
      </w:r>
      <w:r>
        <w:t xml:space="preserve">Контракту</w:t>
      </w:r>
      <w:r>
        <w:t xml:space="preserve"> или устранения нарушений.</w:t>
      </w:r>
      <w:r/>
    </w:p>
    <w:p>
      <w:pPr>
        <w:pStyle w:val="711"/>
        <w:numPr>
          <w:ilvl w:val="3"/>
          <w:numId w:val="1"/>
        </w:numPr>
        <w:contextualSpacing w:val="0"/>
        <w:ind w:left="877" w:hanging="877"/>
        <w:jc w:val="both"/>
      </w:pPr>
      <w:r>
        <w:t xml:space="preserve">Заказчик имеет право удержать сумму неустойки (штрафа, пени) при расчетах по </w:t>
      </w:r>
      <w:r>
        <w:t xml:space="preserve">Контракту</w:t>
      </w:r>
      <w:r>
        <w:t xml:space="preserve">, в случае ненадлежащего исполнения и (или) просрочки исполнения </w:t>
      </w:r>
      <w:r>
        <w:t xml:space="preserve">Исполнителем</w:t>
      </w:r>
      <w:r>
        <w:t xml:space="preserve"> обязательств, предусмотренных </w:t>
      </w:r>
      <w:r>
        <w:t xml:space="preserve">Договор</w:t>
      </w:r>
      <w:r>
        <w:t xml:space="preserve">ом.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Исполнитель</w:t>
      </w:r>
      <w:r>
        <w:t xml:space="preserve"> несет ответственность за ущерб, нанесенный «Заказчику» в результате невыполнени</w:t>
      </w:r>
      <w:r>
        <w:t xml:space="preserve">я или ненадлежащего выполнения Исполнителем </w:t>
      </w:r>
      <w:r>
        <w:t xml:space="preserve">своих обязательств по настоящему </w:t>
      </w:r>
      <w:r>
        <w:t xml:space="preserve">Контракту</w:t>
      </w:r>
      <w:r>
        <w:t xml:space="preserve">, в размере реального ущерба.</w:t>
      </w:r>
      <w:r/>
    </w:p>
    <w:p>
      <w:pPr>
        <w:pStyle w:val="711"/>
        <w:ind w:left="1985" w:firstLine="0"/>
        <w:jc w:val="both"/>
        <w:spacing w:before="120"/>
      </w:pPr>
      <w:r/>
      <w:r/>
    </w:p>
    <w:p>
      <w:pPr>
        <w:pStyle w:val="711"/>
        <w:numPr>
          <w:ilvl w:val="2"/>
          <w:numId w:val="1"/>
        </w:numPr>
        <w:contextualSpacing w:val="0"/>
        <w:ind w:left="1224" w:firstLine="0"/>
        <w:jc w:val="both"/>
        <w:rPr>
          <w:b/>
        </w:rPr>
      </w:pPr>
      <w:r>
        <w:rPr>
          <w:b/>
        </w:rPr>
        <w:t xml:space="preserve">Ответственность</w:t>
      </w:r>
      <w:r>
        <w:rPr>
          <w:b/>
        </w:rPr>
        <w:t xml:space="preserve"> Заказчика:</w:t>
      </w:r>
      <w:r>
        <w:rPr>
          <w:b/>
        </w:rPr>
      </w:r>
      <w:r>
        <w:rPr>
          <w:b/>
        </w:rPr>
      </w:r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В случае просрочки исполнения </w:t>
      </w:r>
      <w:r>
        <w:t xml:space="preserve">З</w:t>
      </w:r>
      <w:r>
        <w:t xml:space="preserve">аказчиком обязательств, предусмотренных </w:t>
      </w:r>
      <w:r>
        <w:t xml:space="preserve">Контрактом</w:t>
      </w:r>
      <w:r>
        <w:t xml:space="preserve">, а также в иных случаях неисполнения или ненадлежащего исполнения </w:t>
      </w:r>
      <w:r>
        <w:t xml:space="preserve">З</w:t>
      </w:r>
      <w:r>
        <w:t xml:space="preserve">аказчиком обязательств, предусмотренных </w:t>
      </w:r>
      <w:r>
        <w:t xml:space="preserve">Контрактом</w:t>
      </w:r>
      <w:r>
        <w:t xml:space="preserve">, поставщик (подрядчик, исполнитель) вправе потребовать уплаты неустоек (штрафов, пеней).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Пеня начисляется за каждый день просрочки исполнения обязательства, предусмотренного </w:t>
      </w:r>
      <w:r>
        <w:t xml:space="preserve">Контрактом</w:t>
      </w:r>
      <w:r>
        <w:t xml:space="preserve">, начиная со дня, следующего после дня истечения установленного </w:t>
      </w:r>
      <w:r>
        <w:t xml:space="preserve">Контрактом</w:t>
      </w:r>
      <w:r>
        <w:t xml:space="preserve"> срока исполнения обязательства. Такая пеня устанавливается </w:t>
      </w:r>
      <w:r>
        <w:t xml:space="preserve">Контрактом</w:t>
      </w:r>
      <w: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Штрафы начисляются за ненадлежащее исполнение </w:t>
      </w:r>
      <w:r>
        <w:t xml:space="preserve">З</w:t>
      </w:r>
      <w:r>
        <w:t xml:space="preserve">аказчиком обязательств, предусмотренных </w:t>
      </w:r>
      <w:r>
        <w:t xml:space="preserve">Контрактом</w:t>
      </w:r>
      <w:r>
        <w:t xml:space="preserve">, за исключением просрочки исполнения обязательств, предусмотренных </w:t>
      </w:r>
      <w:r>
        <w:t xml:space="preserve">Контрактом</w:t>
      </w:r>
      <w:r>
        <w:t xml:space="preserve">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За каждый факт неисполнения </w:t>
      </w:r>
      <w:r>
        <w:t xml:space="preserve">З</w:t>
      </w:r>
      <w:r>
        <w:t xml:space="preserve">аказчиком обязательств, предусмотренных </w:t>
      </w:r>
      <w:r>
        <w:t xml:space="preserve">Контрактом</w:t>
      </w:r>
      <w:r>
        <w:t xml:space="preserve">, за исключением просрочки исполнения обязательств, предусмотренных </w:t>
      </w:r>
      <w:r>
        <w:t xml:space="preserve">Контрактом</w:t>
      </w:r>
      <w:r>
        <w:t xml:space="preserve">, размер штрафа устанавливается в размере  </w:t>
      </w:r>
      <w:r>
        <w:rPr>
          <w:i/>
        </w:rPr>
        <w:t xml:space="preserve">1000 рублей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Общая сумма начисленных штрафов за ненадлежащее исполнение </w:t>
      </w:r>
      <w:r>
        <w:t xml:space="preserve">З</w:t>
      </w:r>
      <w:r>
        <w:t xml:space="preserve">аказчиком обязательств, предусмотренных </w:t>
      </w:r>
      <w:r>
        <w:t xml:space="preserve">Контрактом</w:t>
      </w:r>
      <w:r>
        <w:t xml:space="preserve">, не может превышать цену </w:t>
      </w:r>
      <w:r>
        <w:t xml:space="preserve">Контрактом</w:t>
      </w:r>
      <w:r>
        <w:t xml:space="preserve">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произошло вследствие непреодолимой силы или по вине другой стороны.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Общая сумма начисленных штрафов за неисполнение или ненадлежащее исполнение Заказчиком обязательств, предусмотренных Договором, не может превышать цену </w:t>
      </w:r>
      <w:r>
        <w:t xml:space="preserve">Контракта</w:t>
      </w:r>
      <w:r>
        <w:t xml:space="preserve">. </w:t>
      </w:r>
      <w:r/>
    </w:p>
    <w:p>
      <w:pPr>
        <w:pStyle w:val="711"/>
        <w:numPr>
          <w:ilvl w:val="3"/>
          <w:numId w:val="1"/>
        </w:numPr>
        <w:contextualSpacing w:val="0"/>
        <w:ind w:left="1019" w:hanging="1019"/>
        <w:jc w:val="both"/>
      </w:pPr>
      <w:r>
        <w:t xml:space="preserve">Уплата неустойки не освобождает Сторону от исполнения принятых обязательств по </w:t>
      </w:r>
      <w:r>
        <w:t xml:space="preserve">Контрактом</w:t>
      </w:r>
      <w:r>
        <w:t xml:space="preserve"> или устранения нарушений.</w:t>
      </w:r>
      <w:r/>
    </w:p>
    <w:p>
      <w:pPr>
        <w:jc w:val="both"/>
      </w:pPr>
      <w:r/>
      <w:r/>
    </w:p>
    <w:p>
      <w:pPr>
        <w:contextualSpacing/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11. Обеспечение исполнения Контракта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contextualSpacing/>
        <w:ind w:left="-142" w:firstLine="0"/>
        <w:jc w:val="both"/>
        <w:rPr>
          <w:b/>
          <w:smallCaps/>
          <w:sz w:val="26"/>
        </w:rPr>
      </w:pPr>
      <w:r>
        <w:rPr>
          <w:sz w:val="26"/>
        </w:rPr>
        <w:t xml:space="preserve">11.1. По настоящему </w:t>
      </w:r>
      <w:r>
        <w:rPr>
          <w:sz w:val="26"/>
        </w:rPr>
        <w:t xml:space="preserve">Контракту </w:t>
      </w:r>
      <w:r>
        <w:rPr>
          <w:sz w:val="26"/>
        </w:rPr>
        <w:t xml:space="preserve">обеспечение его исполнения</w:t>
      </w:r>
      <w:r>
        <w:rPr>
          <w:sz w:val="26"/>
        </w:rPr>
        <w:t xml:space="preserve"> не устанавливается</w:t>
      </w:r>
      <w:r>
        <w:rPr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contextualSpacing/>
        <w:ind w:left="-142" w:firstLine="0"/>
        <w:jc w:val="center"/>
        <w:rPr>
          <w:b/>
          <w:smallCaps/>
          <w:sz w:val="26"/>
        </w:rPr>
      </w:pPr>
      <w:r>
        <w:rPr>
          <w:b/>
          <w:smallCaps/>
          <w:sz w:val="26"/>
        </w:rPr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contextualSpacing/>
        <w:ind w:left="-142" w:firstLine="0"/>
        <w:jc w:val="center"/>
        <w:rPr>
          <w:b/>
          <w:smallCaps/>
          <w:sz w:val="26"/>
        </w:rPr>
      </w:pPr>
      <w:r>
        <w:rPr>
          <w:b/>
          <w:smallCaps/>
        </w:rPr>
        <w:t xml:space="preserve">12. Изменение условий </w:t>
      </w:r>
      <w:r>
        <w:rPr>
          <w:b/>
          <w:smallCaps/>
        </w:rPr>
        <w:t xml:space="preserve">Контракт</w:t>
      </w:r>
      <w:r>
        <w:rPr>
          <w:b/>
          <w:smallCaps/>
        </w:rPr>
        <w:t xml:space="preserve">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contextualSpacing/>
        <w:ind w:left="992" w:hanging="992"/>
        <w:jc w:val="both"/>
        <w:rPr>
          <w:b/>
          <w:smallCaps/>
          <w:sz w:val="26"/>
        </w:rPr>
      </w:pPr>
      <w:r>
        <w:t xml:space="preserve">12.1. При исполнении </w:t>
      </w:r>
      <w:r>
        <w:t xml:space="preserve">Контракт</w:t>
      </w:r>
      <w:r>
        <w:t xml:space="preserve">а изменение его условий не допускается, за исключением их изменения по соглашению сторон в следующих случаях: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711"/>
        <w:numPr>
          <w:ilvl w:val="0"/>
          <w:numId w:val="4"/>
        </w:numPr>
        <w:ind w:left="1276" w:firstLine="0"/>
        <w:jc w:val="both"/>
      </w:pPr>
      <w:r>
        <w:t xml:space="preserve">При снижении цены </w:t>
      </w:r>
      <w:r>
        <w:t xml:space="preserve">Контракт</w:t>
      </w:r>
      <w:r>
        <w:t xml:space="preserve">а без изменения, предусмотренного </w:t>
      </w:r>
      <w:r>
        <w:t xml:space="preserve">Контракт</w:t>
      </w:r>
      <w:r>
        <w:t xml:space="preserve">ом объёма </w:t>
      </w:r>
      <w:r>
        <w:t xml:space="preserve">услуг</w:t>
      </w:r>
      <w:r>
        <w:t xml:space="preserve">, качества </w:t>
      </w:r>
      <w:r>
        <w:t xml:space="preserve">услуг</w:t>
      </w:r>
      <w:r>
        <w:t xml:space="preserve"> и иных условий </w:t>
      </w:r>
      <w:r>
        <w:t xml:space="preserve">Контракт</w:t>
      </w:r>
      <w:r>
        <w:t xml:space="preserve">а;</w:t>
      </w:r>
      <w:r/>
    </w:p>
    <w:p>
      <w:pPr>
        <w:pStyle w:val="711"/>
        <w:numPr>
          <w:ilvl w:val="0"/>
          <w:numId w:val="4"/>
        </w:numPr>
        <w:ind w:left="1276" w:firstLine="0"/>
        <w:jc w:val="both"/>
      </w:pPr>
      <w:r>
        <w:t xml:space="preserve">Если по предложению Заказчика увеличивается предусмотренное </w:t>
      </w:r>
      <w:r>
        <w:t xml:space="preserve">Контракт</w:t>
      </w:r>
      <w:r>
        <w:t xml:space="preserve">ом объём </w:t>
      </w:r>
      <w:r>
        <w:t xml:space="preserve">услуг</w:t>
      </w:r>
      <w:r>
        <w:t xml:space="preserve"> не более чем на десять процентов или уменьшается предусмотренное </w:t>
      </w:r>
      <w:r>
        <w:t xml:space="preserve">Контракт</w:t>
      </w:r>
      <w:r>
        <w:t xml:space="preserve">ом объём </w:t>
      </w:r>
      <w:r>
        <w:t xml:space="preserve">услуг</w:t>
      </w:r>
      <w:r>
        <w:t xml:space="preserve"> не</w:t>
      </w:r>
      <w:r>
        <w:t xml:space="preserve">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t xml:space="preserve">Контракт</w:t>
      </w:r>
      <w:r>
        <w:t xml:space="preserve">а пропорционально дополнительному объёму </w:t>
      </w:r>
      <w:r>
        <w:t xml:space="preserve">услуг</w:t>
      </w:r>
      <w:r>
        <w:t xml:space="preserve"> исходя из установленной в </w:t>
      </w:r>
      <w:r>
        <w:t xml:space="preserve">Контракт</w:t>
      </w:r>
      <w:r>
        <w:t xml:space="preserve">е цены единицы </w:t>
      </w:r>
      <w:r>
        <w:t xml:space="preserve">услуги</w:t>
      </w:r>
      <w:r>
        <w:t xml:space="preserve">, но не более чем на десять процентов цены </w:t>
      </w:r>
      <w:r>
        <w:t xml:space="preserve">Контракт</w:t>
      </w:r>
      <w:r>
        <w:t xml:space="preserve">а. При уменьшении предусмотренного </w:t>
      </w:r>
      <w:r>
        <w:t xml:space="preserve">Контракт</w:t>
      </w:r>
      <w:r>
        <w:t xml:space="preserve">ом объема </w:t>
      </w:r>
      <w:r>
        <w:t xml:space="preserve">услуг</w:t>
      </w:r>
      <w:r>
        <w:t xml:space="preserve"> стороны </w:t>
      </w:r>
      <w:r>
        <w:t xml:space="preserve">Контракт</w:t>
      </w:r>
      <w:r>
        <w:t xml:space="preserve">а обязаны уменьшить цену </w:t>
      </w:r>
      <w:r>
        <w:t xml:space="preserve">Контракт</w:t>
      </w:r>
      <w:r>
        <w:t xml:space="preserve">а исходя из цены единицы </w:t>
      </w:r>
      <w:r>
        <w:t xml:space="preserve">услуги</w:t>
      </w:r>
      <w:r>
        <w:t xml:space="preserve">. Цена единицы дополнительно объема </w:t>
      </w:r>
      <w:r>
        <w:t xml:space="preserve">услуг</w:t>
      </w:r>
      <w:r>
        <w:t xml:space="preserve"> или цена единицы </w:t>
      </w:r>
      <w:r>
        <w:t xml:space="preserve">услуги</w:t>
      </w:r>
      <w:r>
        <w:t xml:space="preserve"> при уменьшении предусмотренного </w:t>
      </w:r>
      <w:r>
        <w:t xml:space="preserve">Контракт</w:t>
      </w:r>
      <w:r>
        <w:t xml:space="preserve">ом объёма </w:t>
      </w:r>
      <w:r>
        <w:t xml:space="preserve">оказанных</w:t>
      </w:r>
      <w:r>
        <w:t xml:space="preserve"> </w:t>
      </w:r>
      <w:r>
        <w:t xml:space="preserve">услуг</w:t>
      </w:r>
      <w:r>
        <w:t xml:space="preserve"> должна определяться как частное от деления первоначальной цены </w:t>
      </w:r>
      <w:r>
        <w:t xml:space="preserve">Контракт</w:t>
      </w:r>
      <w:r>
        <w:t xml:space="preserve">а на предусмотренное в </w:t>
      </w:r>
      <w:r>
        <w:t xml:space="preserve">Контракт</w:t>
      </w:r>
      <w:r>
        <w:t xml:space="preserve">е объём таких </w:t>
      </w:r>
      <w:r>
        <w:t xml:space="preserve">услуг</w:t>
      </w:r>
      <w:r>
        <w:t xml:space="preserve">.  Сокращение объёма </w:t>
      </w:r>
      <w:r>
        <w:t xml:space="preserve">услуг</w:t>
      </w:r>
      <w:r>
        <w:t xml:space="preserve"> </w:t>
      </w:r>
      <w:r>
        <w:t xml:space="preserve">при уменьшении цены </w:t>
      </w:r>
      <w:r>
        <w:t xml:space="preserve">Контракт</w:t>
      </w:r>
      <w:r>
        <w:t xml:space="preserve">а осуществляется в соответствии с методикой, утверждённой Правительством РФ.</w:t>
      </w:r>
      <w:r/>
    </w:p>
    <w:p>
      <w:pPr>
        <w:pStyle w:val="711"/>
        <w:numPr>
          <w:ilvl w:val="0"/>
          <w:numId w:val="4"/>
        </w:numPr>
        <w:ind w:left="1276" w:firstLine="0"/>
        <w:jc w:val="both"/>
      </w:pPr>
      <w:r>
        <w:t xml:space="preserve">В случаях, предусмотренных </w:t>
      </w:r>
      <w:r>
        <w:fldChar w:fldCharType="begin"/>
      </w:r>
      <w:r>
        <w:instrText xml:space="preserve">HYPERLINK "http://www.consultant.ru/document/cons_doc_LAW_314830/58dfb94af2d30178f6bfdd70fad25ec5a89377cd/#dst3179" \o "http://www.consultant.ru/document/cons_doc_LAW_314830/58dfb94af2d30178f6bfdd70fad25ec5a89377cd/#dst3179"</w:instrText>
      </w:r>
      <w:r>
        <w:fldChar w:fldCharType="separate"/>
      </w:r>
      <w:r>
        <w:t xml:space="preserve">пунктом 6 статьи 161</w:t>
      </w:r>
      <w:r>
        <w:fldChar w:fldCharType="end"/>
      </w:r>
      <w:r>
        <w:t xml:space="preserve"> 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t xml:space="preserve">Контракт</w:t>
      </w:r>
      <w:r>
        <w:t xml:space="preserve">а </w:t>
      </w:r>
      <w:r>
        <w:fldChar w:fldCharType="begin"/>
      </w:r>
      <w:r>
        <w:instrText xml:space="preserve">HYPERLINK "http://www.consultant.ru/document/cons_doc_LAW_155057/09b041d2923927222ec9562644f4a984305b70d7/#dst100010" \o "http://www.consultant.ru/document/cons_doc_LAW_155057/09b041d2923927222ec9562644f4a984305b70d7/#dst100010"</w:instrText>
      </w:r>
      <w:r>
        <w:fldChar w:fldCharType="separate"/>
      </w:r>
      <w:r>
        <w:t xml:space="preserve">обеспечивает согласование</w:t>
      </w:r>
      <w:r>
        <w:fldChar w:fldCharType="end"/>
      </w:r>
      <w:r>
        <w:t xml:space="preserve"> новых условий </w:t>
      </w:r>
      <w:r>
        <w:t xml:space="preserve">Контракт</w:t>
      </w:r>
      <w:r>
        <w:t xml:space="preserve">а, в том числе цены и (или) сроков исполнения </w:t>
      </w:r>
      <w:r>
        <w:t xml:space="preserve">Контракт</w:t>
      </w:r>
      <w:r>
        <w:t xml:space="preserve">а и (или) количества товара, объема работы или услуги, предусмотренных </w:t>
      </w:r>
      <w:r>
        <w:t xml:space="preserve">Контракт</w:t>
      </w:r>
      <w:r>
        <w:t xml:space="preserve">ом. Принятие Заказчиком решения об </w:t>
      </w:r>
      <w:r>
        <w:t xml:space="preserve">изменении </w:t>
      </w:r>
      <w:r>
        <w:t xml:space="preserve">Контракт</w:t>
      </w:r>
      <w:r>
        <w:t xml:space="preserve">а в связи с уменьшением лимитов бюджетных обязательств осуществляется исходя из соразмерности изменения цены </w:t>
      </w:r>
      <w:r>
        <w:t xml:space="preserve">Контракт</w:t>
      </w:r>
      <w:r>
        <w:t xml:space="preserve">а и объёма </w:t>
      </w:r>
      <w:r>
        <w:t xml:space="preserve">услуг</w:t>
      </w:r>
      <w:r>
        <w:t xml:space="preserve">.</w:t>
      </w:r>
      <w:r/>
    </w:p>
    <w:p>
      <w:pPr>
        <w:pStyle w:val="711"/>
        <w:ind w:left="1276" w:firstLine="0"/>
        <w:jc w:val="both"/>
      </w:pPr>
      <w:r/>
      <w:r/>
    </w:p>
    <w:p>
      <w:pPr>
        <w:pStyle w:val="711"/>
        <w:jc w:val="center"/>
        <w:rPr>
          <w:b/>
          <w:smallCaps/>
        </w:rPr>
      </w:pPr>
      <w:r>
        <w:rPr>
          <w:b/>
          <w:smallCaps/>
        </w:rPr>
        <w:t xml:space="preserve">13. Расторжение </w:t>
      </w:r>
      <w:r>
        <w:rPr>
          <w:b/>
          <w:smallCaps/>
        </w:rPr>
        <w:t xml:space="preserve">Контракт</w:t>
      </w:r>
      <w:r>
        <w:rPr>
          <w:b/>
          <w:smallCaps/>
        </w:rPr>
        <w:t xml:space="preserve">а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709"/>
        <w:jc w:val="both"/>
      </w:pPr>
      <w: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вправе принять решение об одностороннем отказе от исполнения </w:t>
      </w:r>
      <w:r>
        <w:t xml:space="preserve">Контракта по основаниям, порядку, предусмотренным Гражданским кодексом Российской Федерации для одностороннего отказа от исполнения отдельных видов обязательств. Кроме того, основаниями для расторжения настоящего Контракта в одностороннем порядке являются:</w:t>
      </w:r>
      <w:r/>
    </w:p>
    <w:p>
      <w:pPr>
        <w:pStyle w:val="711"/>
        <w:numPr>
          <w:ilvl w:val="0"/>
          <w:numId w:val="5"/>
        </w:numPr>
        <w:ind w:left="1560" w:firstLine="0"/>
        <w:jc w:val="both"/>
      </w:pPr>
      <w:r>
        <w:t xml:space="preserve">если отступления результата услуг от условий настоящего Контракта или иные недостатки результата услуг в установленный срок не были устранены Исполнителем либо являются существенными и неустранимыми;</w:t>
      </w:r>
      <w:r/>
    </w:p>
    <w:p>
      <w:pPr>
        <w:pStyle w:val="711"/>
        <w:numPr>
          <w:ilvl w:val="0"/>
          <w:numId w:val="5"/>
        </w:numPr>
        <w:ind w:left="1560" w:firstLine="0"/>
        <w:jc w:val="both"/>
      </w:pPr>
      <w:r>
        <w:t xml:space="preserve">если Исполнитель нарушил сроки оказания услуг (сроки начала и (или) окончания услуг и (или) промежуточные сроки оказания услуг) либо если во время оказания услуг стало очевидным, что они не будут осуществлены в срок.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Если заказчи</w:t>
      </w:r>
      <w:r>
        <w:t xml:space="preserve">ком проведена экспертиза поставленного товара, выполненной работы или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</w:t>
      </w:r>
      <w:r>
        <w:t xml:space="preserve">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Решение заказчика об одностороннем отказе от исполнения контракта не позднее чем в течение </w:t>
      </w:r>
      <w:r>
        <w:t xml:space="preserve">трех рабочих дней с даты принятия указанного решения, размещается в единой информационной системе и направляется поставщику (подрядчику, исполнителю) по почте заказным письмом с уведомлением о вручении по адресу поставщика (подрядчика, исполнителя), указан</w:t>
      </w:r>
      <w:r>
        <w:t xml:space="preserve">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</w:t>
      </w:r>
      <w:r>
        <w:t xml:space="preserve">чении поставщику (подрядчику, исполнителю). Выполнение заказчиком требований настоящей части считается надлежащим уведомлением поставщика (подрядчика, исполнителя) об одностороннем отказе от исполнения контракта. Датой такого надлежащего уведомления призна</w:t>
      </w:r>
      <w:r>
        <w:t xml:space="preserve">ется дата получения заказчиком подтверждения о вручении поставщику (подрядчику, исполнителю) указанного уведомления либо дата получения заказчиком информации об отсутствии поставщика (подрядчика, исполнителя) по его адресу, указанному в контракте. При нево</w:t>
      </w:r>
      <w:r>
        <w:t xml:space="preserve">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Решен</w:t>
      </w:r>
      <w:r>
        <w:t xml:space="preserve">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</w:t>
      </w:r>
      <w:r>
        <w:t xml:space="preserve">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</w:t>
      </w:r>
      <w:r>
        <w:t xml:space="preserve">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Заказчик обязан принять решение об одностороннем отказе о</w:t>
      </w:r>
      <w:r>
        <w:t xml:space="preserve">т исполнения контракта в случае, если в ходе исполнения контракта установлено, что поставщик (подрядчик, исполнитель) и (или) поставляемый товарне соответствуют установленным извещением об осуществлении закупки и (или) документацией о закупке требованиям к</w:t>
      </w:r>
      <w:r>
        <w:t xml:space="preserve">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исполнителя);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Информация о поставщике (подрядчике, ис</w:t>
      </w:r>
      <w:r>
        <w:t xml:space="preserve">полнителе), с которым контракт был расторгнут в связи с односторонним отказом заказчика от исполнения контракта, включается в установленном Федеральным законом от 05.04.2013 № 44-ФЗ порядке в реестр недобросовестных поставщиков (подрядчиков, исполнителей).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 расторжения контракта в связи с односторонним отказом заказчика от исполн</w:t>
      </w:r>
      <w:r>
        <w:t xml:space="preserve">ения контракта заказчик вправе осуществить закупку товара, работы, услуги, поставка, выполнение, оказание которых являлись предметом расторгнутого контракта, в соответствии с положениями пункта 6 части 2 статьи 83 Федерального закона от 05.04.2013 № 44-ФЗ.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Если до расторжения к</w:t>
      </w:r>
      <w:r>
        <w:t xml:space="preserve">онтракта поставщик (подрядчик, исполнитель) частично исполнил обязательства, предусмотренные контрактом, при заключении нового контракта количество поставляемого товара, объем выполняемой работы или оказываемой услуги должны быть уменьшены с учетом количес</w:t>
      </w:r>
      <w:r>
        <w:t xml:space="preserve">тва поставленного товара, объема выполненной работы или оказанной услуги по расторгнутому контракту. При этом цена заключаемого контракта должна быть уменьшена пропорционально количеству поставленного товара, объему выполненной работы или оказанной услуги.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Поставщик (подрядчик, исполнитель) вправе принять решение об одностороннем отказе от исполнения контракта по </w:t>
      </w:r>
      <w:r>
        <w:t xml:space="preserve">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Решение поставщика (подрядчика, исполнителя) об одностороннем отказе от исполнения контракта не позднее чем в течение трех рабочих дней </w:t>
      </w:r>
      <w:r>
        <w:t xml:space="preserve">с даты принятия такого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</w:t>
      </w:r>
      <w:r>
        <w:t xml:space="preserve">ьзованием иных средств связи и доставки, обеспечивающих фиксирование такого уведомления и получение поставщиком (подрядчиком, исполнителем) подтверждения о его вручении заказчику. Выполнение поставщиком (подрядчиком, исполнителем) требований настоящей част</w:t>
      </w:r>
      <w:r>
        <w:t xml:space="preserve">и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поставщиком (подрядчиком, исполнителем) подтверждения о вручении заказчику указанного уведомления.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Решение поставщика (подрядчика, ис</w:t>
      </w:r>
      <w:r>
        <w:t xml:space="preserve">полнителя)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(подрядчиком, исполнителем) заказчика об одностороннем отказе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Поставщик (подрядчик, исполнитель) обязан отменить не вступившее в силу решение об одностороннем отказе от испо</w:t>
      </w:r>
      <w:r>
        <w:t xml:space="preserve">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</w:t>
      </w:r>
      <w:r>
        <w:t xml:space="preserve"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 расторжения контракта в связи с односторонним отказом поставщика (п</w:t>
      </w:r>
      <w:r>
        <w:t xml:space="preserve">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Федерального закона от 05.04.2013 № 44-ФЗ.</w:t>
      </w:r>
      <w:r/>
    </w:p>
    <w:p>
      <w:pPr>
        <w:pStyle w:val="711"/>
        <w:contextualSpacing w:val="0"/>
        <w:ind w:left="709" w:firstLine="0"/>
        <w:jc w:val="both"/>
      </w:pPr>
      <w:r/>
      <w:r/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Порядок разрешения споров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Все споры и разногласия, которые могут возникнуть в связи с исполнением </w:t>
      </w:r>
      <w:r>
        <w:t xml:space="preserve">Контракт</w:t>
      </w:r>
      <w:r>
        <w:t xml:space="preserve">а, разрешаются путём переговоров между сторонами.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случае, если споры и разногласия не будут урегулированы путем переговоров между сторонами, они подлежат разрешению в Арбитражном суде Камчатского края.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До передачи спора на разрешение в судебном порядке, стороны</w:t>
      </w:r>
      <w:r>
        <w:t xml:space="preserve"> принимают меры к урегулированию его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5 (пяти) дней от даты ее надлежащего получения.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случае, если ответ по существу претензии не будет получен Стороной, направившей претензию, в течение 20 (двадцати) календарных дней со дня получения претензии другой Стороной, претензионный порядок урегулирования спора считается соблюденным.</w:t>
      </w:r>
      <w:r/>
    </w:p>
    <w:p>
      <w:pPr>
        <w:jc w:val="both"/>
      </w:pPr>
      <w:r/>
      <w:r/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Действие обстоятельств непреодолимой силы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Стороны не несут ответственности за полное или частичное неисполнение своих обязательств по </w:t>
      </w:r>
      <w:r>
        <w:t xml:space="preserve">Контракт</w:t>
      </w:r>
      <w:r>
        <w:t xml:space="preserve">у, если такое неисполнение является следствием обстоятельств непреодолимой силы, таких, как наводнение, пожар, землетрясение и другие ст</w:t>
      </w:r>
      <w:r>
        <w:t xml:space="preserve">ихийные бедствия, а также война и военные действия, введение чрезвычайного положения, или изменения законодательства, которые Стороны не могли ни предвидеть, ни предотвратить. Данный выше перечень обстоятельств непреодолимой силы не является исчерпывающим.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При наступлении указанных в пункте 1</w:t>
      </w:r>
      <w:r>
        <w:t xml:space="preserve">6</w:t>
      </w:r>
      <w:r>
        <w:t xml:space="preserve">.1 </w:t>
      </w:r>
      <w:r>
        <w:t xml:space="preserve">Контракт</w:t>
      </w:r>
      <w:r>
        <w:t xml:space="preserve">а обстоятельств, Сто</w:t>
      </w:r>
      <w:r>
        <w:t xml:space="preserve">рона должна без промедления, но не позднее 10 календарных дней с момента их наступления, известить о них в письменной форме другую Сторону. Извещение должно содержать данные о характере обстоятельств, а также о возможности исполнения своих обязательств по </w:t>
      </w:r>
      <w:r>
        <w:t xml:space="preserve">Контракт</w:t>
      </w:r>
      <w:r>
        <w:t xml:space="preserve">у.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Не уведомление или несвоевременное уведомление лишает Сторону права ссылаться на любое из вышеуказанных обстоятельств как на основание, освобождающее от ответственности за неисполнение обязательств.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 случае, если обстоятельства непреодолимой силы будут длиться более двух месяцев со дня соответствующего уведомления, любая из Сторон вправе потребовать расторжения настоящего </w:t>
      </w:r>
      <w:r>
        <w:t xml:space="preserve">Контракт</w:t>
      </w:r>
      <w:r>
        <w:t xml:space="preserve">а по соглашению сторон без возмещения Сторонами друг другу убытков, причиненных его расторжением.</w:t>
      </w:r>
      <w:r/>
    </w:p>
    <w:p>
      <w:r/>
      <w:r/>
    </w:p>
    <w:p>
      <w:pPr>
        <w:pStyle w:val="711"/>
        <w:contextualSpacing w:val="0"/>
        <w:ind w:left="709" w:firstLine="0"/>
        <w:jc w:val="both"/>
      </w:pPr>
      <w:r/>
      <w:r/>
    </w:p>
    <w:p>
      <w:pPr>
        <w:pStyle w:val="711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 xml:space="preserve">Заключительные положения</w:t>
      </w:r>
      <w:r>
        <w:rPr>
          <w:b/>
          <w:smallCaps/>
        </w:rPr>
      </w:r>
      <w:r>
        <w:rPr>
          <w:b/>
          <w:smallCaps/>
        </w:rPr>
      </w:r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Все извещения, уведомления, требования и (или) иные соглашен</w:t>
      </w:r>
      <w:r>
        <w:t xml:space="preserve">ия между сторонами должны быть совершены в письменной форме и надлежащим образом переданы по последнему известному адресу стороны (юридическому адресу или адресу местонахождения), которой адресуется данное извещение, уведомление, требование или соглашение.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При из</w:t>
      </w:r>
      <w:r>
        <w:t xml:space="preserve">менении адреса стороны обязуются извещать друг друга о таких изменениях в трёхдневный срок. В противном случае сообщения, переданные по последнему известному адресу (юридическому адресу или адресу местонахождения), считаются переданными надлежащим образом.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Любое извещение, уведомление, запрос или согласие, выдача которых необходима или разрешена в связи с исполнением </w:t>
      </w:r>
      <w:r>
        <w:t xml:space="preserve">Контракт</w:t>
      </w:r>
      <w:r>
        <w:t xml:space="preserve">а, оформляется в письменном виде и направляется одной стороной другой стороне заказной почтой с уведомлением, по факсу.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Стороны считаются надлежаще уведомленными в следующие сроки:</w:t>
      </w:r>
      <w:r/>
    </w:p>
    <w:p>
      <w:pPr>
        <w:pStyle w:val="711"/>
        <w:numPr>
          <w:ilvl w:val="0"/>
          <w:numId w:val="6"/>
        </w:numPr>
        <w:contextualSpacing w:val="0"/>
        <w:jc w:val="both"/>
      </w:pPr>
      <w:r>
        <w:t xml:space="preserve">в случае вручения адресату лично или доставкой заказной почтой – в момент вручения (получения уведомления);</w:t>
      </w:r>
      <w:r/>
    </w:p>
    <w:p>
      <w:pPr>
        <w:pStyle w:val="711"/>
        <w:numPr>
          <w:ilvl w:val="0"/>
          <w:numId w:val="6"/>
        </w:numPr>
        <w:contextualSpacing w:val="0"/>
        <w:jc w:val="both"/>
      </w:pPr>
      <w:r>
        <w:t xml:space="preserve">в случае направления факса – спустя два часа после отправления факса с подтверждением получения.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По вопросам, не урегулированным настоящим </w:t>
      </w:r>
      <w:r>
        <w:t xml:space="preserve">Контракт</w:t>
      </w:r>
      <w:r>
        <w:t xml:space="preserve">ом, стороны руководствуются действующим законодательством.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Приложения к </w:t>
      </w:r>
      <w:r>
        <w:t xml:space="preserve">Контракт</w:t>
      </w:r>
      <w:r>
        <w:t xml:space="preserve">у составляют его неотъемлемую часть. </w:t>
      </w:r>
      <w:r/>
    </w:p>
    <w:p>
      <w:pPr>
        <w:pStyle w:val="711"/>
        <w:numPr>
          <w:ilvl w:val="1"/>
          <w:numId w:val="1"/>
        </w:numPr>
        <w:contextualSpacing w:val="0"/>
        <w:ind w:left="709" w:hanging="567"/>
        <w:jc w:val="both"/>
      </w:pPr>
      <w:r>
        <w:t xml:space="preserve">К настоящему </w:t>
      </w:r>
      <w:r>
        <w:t xml:space="preserve">Контракт</w:t>
      </w:r>
      <w:r>
        <w:t xml:space="preserve">у прилагается: </w:t>
      </w:r>
      <w:r/>
    </w:p>
    <w:p>
      <w:pPr>
        <w:pStyle w:val="711"/>
        <w:numPr>
          <w:ilvl w:val="0"/>
          <w:numId w:val="7"/>
        </w:numPr>
        <w:contextualSpacing w:val="0"/>
        <w:ind w:left="2694" w:hanging="426"/>
        <w:jc w:val="both"/>
        <w:rPr>
          <w:i/>
        </w:rPr>
      </w:pPr>
      <w:r>
        <w:rPr>
          <w:i/>
        </w:rPr>
        <w:t xml:space="preserve">Приложение № 1</w:t>
      </w:r>
      <w:r>
        <w:rPr>
          <w:i/>
        </w:rPr>
        <w:t xml:space="preserve">. </w:t>
      </w:r>
      <w:r>
        <w:rPr>
          <w:i/>
        </w:rPr>
        <w:t xml:space="preserve">Техническое задание</w:t>
      </w:r>
      <w:r>
        <w:rPr>
          <w:i/>
        </w:rPr>
      </w:r>
      <w:r>
        <w:rPr>
          <w:i/>
        </w:rPr>
      </w:r>
    </w:p>
    <w:p>
      <w:pPr>
        <w:pStyle w:val="711"/>
        <w:numPr>
          <w:ilvl w:val="0"/>
          <w:numId w:val="7"/>
        </w:numPr>
        <w:contextualSpacing w:val="0"/>
        <w:ind w:left="2694" w:hanging="426"/>
        <w:jc w:val="both"/>
        <w:rPr>
          <w:i/>
        </w:rPr>
      </w:pPr>
      <w:r>
        <w:rPr>
          <w:i/>
        </w:rPr>
        <w:t xml:space="preserve">Приложение № </w:t>
      </w:r>
      <w:r>
        <w:rPr>
          <w:i/>
        </w:rPr>
        <w:t xml:space="preserve">2. Поручение (форма)</w:t>
      </w:r>
      <w:r>
        <w:rPr>
          <w:i/>
        </w:rPr>
        <w:t xml:space="preserve">.</w:t>
      </w:r>
      <w:r>
        <w:rPr>
          <w:i/>
        </w:rPr>
      </w:r>
      <w:r>
        <w:rPr>
          <w:i/>
        </w:rPr>
      </w:r>
    </w:p>
    <w:p>
      <w:pPr>
        <w:pStyle w:val="711"/>
        <w:numPr>
          <w:ilvl w:val="0"/>
          <w:numId w:val="7"/>
        </w:numPr>
        <w:contextualSpacing w:val="0"/>
        <w:ind w:left="2694" w:hanging="426"/>
        <w:jc w:val="both"/>
        <w:rPr>
          <w:i/>
        </w:rPr>
      </w:pPr>
      <w:r>
        <w:rPr>
          <w:i/>
        </w:rPr>
        <w:t xml:space="preserve">Приложение № </w:t>
      </w:r>
      <w:r>
        <w:rPr>
          <w:i/>
        </w:rPr>
        <w:t xml:space="preserve">3</w:t>
      </w:r>
      <w:r>
        <w:rPr>
          <w:i/>
        </w:rPr>
        <w:t xml:space="preserve">. </w:t>
      </w:r>
      <w:r>
        <w:rPr>
          <w:i/>
        </w:rPr>
        <w:t xml:space="preserve">Акт приема-сдачи услуг</w:t>
      </w:r>
      <w:r>
        <w:rPr>
          <w:i/>
        </w:rPr>
        <w:t xml:space="preserve"> (форма)</w:t>
      </w:r>
      <w:r>
        <w:rPr>
          <w:i/>
        </w:rPr>
        <w:t xml:space="preserve">.</w:t>
      </w:r>
      <w:r>
        <w:rPr>
          <w:i/>
        </w:rPr>
      </w:r>
      <w:r>
        <w:rPr>
          <w:i/>
        </w:rPr>
      </w:r>
    </w:p>
    <w:p>
      <w:pPr>
        <w:pStyle w:val="71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>
        <w:rPr>
          <w:rFonts w:ascii="Cambria" w:hAnsi="Cambria"/>
          <w:b/>
          <w:smallCaps/>
        </w:rPr>
        <w:t xml:space="preserve">Подписи </w:t>
      </w:r>
      <w:r>
        <w:rPr>
          <w:b/>
          <w:smallCaps/>
        </w:rPr>
        <w:t xml:space="preserve">сторон</w:t>
      </w:r>
      <w:r>
        <w:rPr>
          <w:b/>
          <w:sz w:val="22"/>
        </w:rPr>
      </w:r>
      <w:r>
        <w:rPr>
          <w:b/>
          <w:sz w:val="22"/>
        </w:rPr>
      </w:r>
    </w:p>
    <w:p>
      <w:pPr>
        <w:ind w:left="0" w:firstLine="708"/>
        <w:jc w:val="center"/>
        <w:widowControl w:val="off"/>
        <w:rPr>
          <w:color w:val="000000"/>
          <w:sz w:val="26"/>
        </w:rPr>
      </w:pPr>
      <w:r>
        <w:rPr>
          <w:color w:val="000000"/>
          <w:sz w:val="26"/>
        </w:rPr>
        <w:t xml:space="preserve">1</w:t>
      </w:r>
      <w:r>
        <w:rPr>
          <w:color w:val="000000"/>
          <w:sz w:val="26"/>
        </w:rPr>
        <w:t xml:space="preserve">1</w:t>
      </w:r>
      <w:r>
        <w:rPr>
          <w:color w:val="000000"/>
          <w:sz w:val="26"/>
        </w:rPr>
        <w:t xml:space="preserve">. Реквизиты и подписи Сторон</w:t>
      </w:r>
      <w:r>
        <w:rPr>
          <w:color w:val="000000"/>
          <w:sz w:val="26"/>
        </w:rPr>
      </w:r>
      <w:r>
        <w:rPr>
          <w:color w:val="000000"/>
          <w:sz w:val="26"/>
        </w:rPr>
      </w:r>
    </w:p>
    <w:p>
      <w:pPr>
        <w:ind w:left="0" w:firstLine="708"/>
        <w:jc w:val="center"/>
        <w:widowControl w:val="off"/>
        <w:rPr>
          <w:color w:val="000000"/>
          <w:sz w:val="26"/>
        </w:rPr>
      </w:pPr>
      <w:r>
        <w:rPr>
          <w:color w:val="000000"/>
          <w:sz w:val="26"/>
        </w:rPr>
      </w:r>
      <w:r>
        <w:rPr>
          <w:color w:val="000000"/>
          <w:sz w:val="26"/>
        </w:rPr>
      </w:r>
      <w:r>
        <w:rPr>
          <w:color w:val="000000"/>
          <w:sz w:val="26"/>
        </w:rPr>
      </w:r>
    </w:p>
    <w:tbl>
      <w:tblPr>
        <w:tblStyle w:val="910"/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97"/>
        <w:gridCol w:w="4896"/>
      </w:tblGrid>
      <w:tr>
        <w:tblPrEx/>
        <w:trPr>
          <w:trHeight w:val="7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97" w:type="dxa"/>
            <w:textDirection w:val="lrTb"/>
            <w:noWrap w:val="false"/>
          </w:tcPr>
          <w:p>
            <w:pPr>
              <w:jc w:val="center"/>
              <w:rPr>
                <w:b w:val="0"/>
                <w:sz w:val="26"/>
              </w:rPr>
            </w:pPr>
            <w:r>
              <w:rPr>
                <w:sz w:val="26"/>
              </w:rPr>
              <w:t xml:space="preserve">Заказчик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96" w:type="dxa"/>
            <w:textDirection w:val="lrTb"/>
            <w:noWrap w:val="false"/>
          </w:tcPr>
          <w:p>
            <w:pPr>
              <w:jc w:val="center"/>
              <w:tabs>
                <w:tab w:val="left" w:pos="5954" w:leader="none"/>
              </w:tabs>
              <w:rPr>
                <w:sz w:val="26"/>
              </w:rPr>
            </w:pPr>
            <w:r>
              <w:rPr>
                <w:sz w:val="26"/>
              </w:rPr>
              <w:t xml:space="preserve">Исполнитель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1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97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 xml:space="preserve">Территориальное управление Федерального агентства по управлению государственным имуществом в Камчатском крае</w:t>
            </w:r>
            <w:r>
              <w:rPr>
                <w:b/>
                <w:color w:val="000000"/>
                <w:sz w:val="26"/>
              </w:rPr>
            </w:r>
            <w:r>
              <w:rPr>
                <w:b/>
                <w:color w:val="000000"/>
                <w:sz w:val="26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9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97" w:type="dxa"/>
            <w:textDirection w:val="lrTb"/>
            <w:noWrap w:val="false"/>
          </w:tcPr>
          <w:p>
            <w:pPr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683000, Камчатский край                                                                                 г. г. Петропавловск-Камчатский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ул. </w:t>
            </w:r>
            <w:r>
              <w:rPr>
                <w:b w:val="0"/>
                <w:sz w:val="26"/>
              </w:rPr>
              <w:t xml:space="preserve">Красинцев</w:t>
            </w:r>
            <w:r>
              <w:rPr>
                <w:b w:val="0"/>
                <w:sz w:val="26"/>
              </w:rPr>
              <w:t xml:space="preserve">, д.19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Тел. 42-00-44, 42-04-04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96" w:type="dxa"/>
            <w:textDirection w:val="lrTb"/>
            <w:noWrap w:val="false"/>
          </w:tcPr>
          <w:p>
            <w:pPr>
              <w:ind w:right="20"/>
              <w:jc w:val="center"/>
              <w:spacing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,</w:t>
            </w:r>
            <w:r>
              <w:rPr>
                <w:rFonts w:ascii="Times New Roman" w:hAnsi="Times New Roman"/>
                <w:sz w:val="26"/>
              </w:rPr>
              <w:t xml:space="preserve">Тел</w:t>
            </w:r>
            <w:r>
              <w:rPr>
                <w:rFonts w:ascii="Times New Roman" w:hAnsi="Times New Roman"/>
                <w:sz w:val="26"/>
              </w:rPr>
              <w:t xml:space="preserve">. </w:t>
            </w:r>
            <w:r>
              <w:rPr>
                <w:rFonts w:ascii="Times New Roman" w:hAnsi="Times New Roman"/>
                <w:sz w:val="26"/>
              </w:rPr>
              <w:t xml:space="preserve">e-mail 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</w:tc>
      </w:tr>
      <w:tr>
        <w:tblPrEx/>
        <w:trPr>
          <w:trHeight w:val="1543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097" w:type="dxa"/>
            <w:textDirection w:val="lrTb"/>
            <w:noWrap w:val="false"/>
          </w:tcPr>
          <w:p>
            <w:pPr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ИНН </w:t>
            </w:r>
            <w:r>
              <w:rPr>
                <w:b w:val="0"/>
                <w:sz w:val="26"/>
              </w:rPr>
              <w:t xml:space="preserve">4101133149  КПП</w:t>
            </w:r>
            <w:r>
              <w:rPr>
                <w:b w:val="0"/>
                <w:sz w:val="26"/>
              </w:rPr>
              <w:t xml:space="preserve"> 410101001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rPr>
                <w:b w:val="0"/>
                <w:sz w:val="26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 xml:space="preserve">ОГРН 1094101004865  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ЕКС 401 028 105 453 700 000 12   ОКЦ № 1 ДГУ БАНКА РОССИИ // УФК по Приморскому краю г. Владивосток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БИК ТОФК 010507002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К/сч 032 116 430 000 000 120 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(ТУ Росимущества в Камчатском крае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л/сч.03381А23450)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96" w:type="dxa"/>
            <w:textDirection w:val="lrTb"/>
            <w:noWrap w:val="false"/>
          </w:tcPr>
          <w:p>
            <w:pPr>
              <w:jc w:val="center"/>
              <w:tabs>
                <w:tab w:val="left" w:pos="5954" w:leader="none"/>
              </w:tabs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ИНН  КПП ОКПО   ОКТМО   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tabs>
                <w:tab w:val="left" w:pos="5954" w:leader="none"/>
              </w:tabs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ОКПД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tabs>
                <w:tab w:val="left" w:pos="5954" w:leader="none"/>
              </w:tabs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р/счет 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tabs>
                <w:tab w:val="left" w:pos="5954" w:leader="none"/>
              </w:tabs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к/счет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  <w:p>
            <w:pPr>
              <w:jc w:val="center"/>
              <w:tabs>
                <w:tab w:val="left" w:pos="5954" w:leader="none"/>
              </w:tabs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 </w:t>
            </w:r>
            <w:r>
              <w:rPr>
                <w:b w:val="0"/>
                <w:sz w:val="26"/>
              </w:rPr>
              <w:t xml:space="preserve">БИК </w:t>
            </w:r>
            <w:r>
              <w:rPr>
                <w:b w:val="0"/>
                <w:sz w:val="26"/>
              </w:rPr>
            </w:r>
            <w:r>
              <w:rPr>
                <w:b w:val="0"/>
                <w:sz w:val="26"/>
              </w:rPr>
            </w:r>
          </w:p>
        </w:tc>
      </w:tr>
    </w:tbl>
    <w:p>
      <w:pPr>
        <w:pStyle w:val="711"/>
        <w:ind w:left="0" w:firstLine="0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tbl>
      <w:tblPr>
        <w:tblStyle w:val="91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5563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723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pStyle w:val="723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Исполнитель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</w:tr>
      <w:tr>
        <w:tblPrEx/>
        <w:trPr>
          <w:trHeight w:val="403"/>
        </w:trPr>
        <w:tc>
          <w:tcPr>
            <w:tcW w:w="4785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widowControl w:val="o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widowControl w:val="off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___________________ 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widowControl w:val="o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___________________-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723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  <w:p>
            <w:pPr>
              <w:pStyle w:val="723"/>
              <w:ind w:left="69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____________________  /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_____________/</w:t>
            </w: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</w:tbl>
    <w:p>
      <w:pPr>
        <w:spacing w:after="160" w:line="264" w:lineRule="auto"/>
      </w:pPr>
      <w:r>
        <w:br w:type="page" w:clear="all"/>
      </w:r>
      <w:r/>
    </w:p>
    <w:p>
      <w:r/>
      <w:r/>
    </w:p>
    <w:tbl>
      <w:tblPr>
        <w:tblStyle w:val="862"/>
        <w:tblW w:w="0" w:type="auto"/>
        <w:tblInd w:w="648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18" w:type="dxa"/>
            <w:textDirection w:val="lrTb"/>
            <w:noWrap w:val="false"/>
          </w:tcPr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Приложение №1 к Контракту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от «___» _____ 20___ года </w:t>
            </w:r>
            <w:r>
              <w:rPr>
                <w:b/>
                <w:i/>
                <w:sz w:val="20"/>
              </w:rPr>
              <w:t xml:space="preserve">№ </w:t>
            </w:r>
            <w:r>
              <w:rPr>
                <w:b/>
                <w:i/>
                <w:sz w:val="20"/>
              </w:rPr>
              <w:t xml:space="preserve">_______________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на оказание услуг по оценке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</w:tc>
      </w:tr>
    </w:tbl>
    <w:p>
      <w:pPr>
        <w:jc w:val="center"/>
        <w:tabs>
          <w:tab w:val="left" w:pos="540" w:leader="none"/>
        </w:tabs>
        <w:rPr>
          <w:b/>
          <w:highlight w:val="yellow"/>
        </w:rPr>
      </w:pPr>
      <w:r>
        <w:rPr>
          <w:b/>
          <w:highlight w:val="yellow"/>
        </w:rPr>
      </w:r>
      <w:r>
        <w:rPr>
          <w:b/>
          <w:highlight w:val="yellow"/>
        </w:rPr>
      </w:r>
      <w:r>
        <w:rPr>
          <w:b/>
          <w:highlight w:val="yellow"/>
        </w:rPr>
      </w:r>
    </w:p>
    <w:p>
      <w:pPr>
        <w:jc w:val="center"/>
        <w:tabs>
          <w:tab w:val="left" w:pos="540" w:leader="none"/>
        </w:tabs>
        <w:rPr>
          <w:b/>
          <w:highlight w:val="yellow"/>
        </w:rPr>
      </w:pPr>
      <w:r>
        <w:rPr>
          <w:b/>
          <w:highlight w:val="yellow"/>
        </w:rPr>
      </w:r>
      <w:r>
        <w:rPr>
          <w:b/>
          <w:highlight w:val="yellow"/>
        </w:rPr>
      </w:r>
      <w:r>
        <w:rPr>
          <w:b/>
          <w:highlight w:val="yellow"/>
        </w:rPr>
      </w:r>
    </w:p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both"/>
      </w:pPr>
      <w:r/>
      <w:r/>
    </w:p>
    <w:tbl>
      <w:tblPr>
        <w:tblStyle w:val="91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875"/>
        <w:gridCol w:w="222"/>
      </w:tblGrid>
      <w:tr>
        <w:tblPrEx/>
        <w:trPr>
          <w:trHeight w:val="5155"/>
        </w:trPr>
        <w:tc>
          <w:tcPr>
            <w:shd w:val="clear" w:color="auto" w:fill="auto"/>
            <w:tcW w:w="9875" w:type="dxa"/>
            <w:textDirection w:val="lrTb"/>
            <w:noWrap w:val="false"/>
          </w:tcPr>
          <w:p>
            <w:pPr>
              <w:pStyle w:val="711"/>
              <w:numPr>
                <w:ilvl w:val="0"/>
                <w:numId w:val="8"/>
              </w:numPr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Информация о услугах.</w:t>
            </w: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</w:p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tbl>
            <w:tblPr>
              <w:tblStyle w:val="910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1485"/>
              <w:gridCol w:w="2364"/>
              <w:gridCol w:w="1196"/>
              <w:gridCol w:w="1498"/>
              <w:gridCol w:w="1232"/>
              <w:gridCol w:w="1461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41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№ п/п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8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Код позиции </w:t>
                  </w:r>
                  <w:r>
                    <w:rPr>
                      <w:b/>
                    </w:rPr>
                    <w:t xml:space="preserve">по </w:t>
                  </w:r>
                  <w:r>
                    <w:rPr>
                      <w:b/>
                    </w:rPr>
                    <w:t xml:space="preserve">ОКПД2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236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Наименование товара, работы, услуги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19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Ед. изм.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9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Количество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23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Цена за ед. изм., руб.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Стоимость, руб.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</w:tr>
            <w:tr>
              <w:tblPrEx/>
              <w:trPr>
                <w:trHeight w:val="284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41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1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8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74.90.12.122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236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sz w:val="22"/>
                    </w:rPr>
                    <w:t xml:space="preserve">Услуги по </w:t>
                  </w:r>
                  <w:r>
                    <w:rPr>
                      <w:sz w:val="22"/>
                    </w:rPr>
                    <w:t xml:space="preserve">о</w:t>
                  </w:r>
                  <w:r>
                    <w:rPr>
                      <w:sz w:val="22"/>
                    </w:rPr>
                    <w:t xml:space="preserve">ценк</w:t>
                  </w:r>
                  <w:r>
                    <w:rPr>
                      <w:sz w:val="22"/>
                    </w:rPr>
                    <w:t xml:space="preserve">е</w:t>
                  </w:r>
                  <w:r>
                    <w:rPr>
                      <w:sz w:val="22"/>
                    </w:rPr>
                    <w:t xml:space="preserve">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19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sz w:val="22"/>
                    </w:rPr>
                    <w:t xml:space="preserve">шт </w:t>
                  </w:r>
                  <w:r/>
                </w:p>
                <w:p>
                  <w:pPr>
                    <w:jc w:val="center"/>
                  </w:pPr>
                  <w:r>
                    <w:rPr>
                      <w:sz w:val="22"/>
                    </w:rPr>
                    <w:t xml:space="preserve">(1 отчет об оценке)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9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23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Calibri" w:hAnsi="Calibri"/>
                      <w:color w:val="000000"/>
                      <w:sz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</w:rPr>
                    <w:t xml:space="preserve">7000</w:t>
                  </w:r>
                  <w:r>
                    <w:rPr>
                      <w:rFonts w:ascii="Calibri" w:hAnsi="Calibri"/>
                      <w:color w:val="000000"/>
                      <w:sz w:val="22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140 000</w:t>
                  </w:r>
                  <w:r/>
                </w:p>
              </w:tc>
            </w:tr>
            <w:tr>
              <w:tblPrEx/>
              <w:trPr>
                <w:trHeight w:val="585"/>
              </w:trPr>
              <w:tc>
                <w:tcPr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8188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sz w:val="22"/>
                    </w:rPr>
                    <w:t xml:space="preserve">Итого: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140 000,00</w:t>
                  </w:r>
                  <w:r/>
                </w:p>
              </w:tc>
            </w:tr>
          </w:tbl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711"/>
              <w:numPr>
                <w:ilvl w:val="0"/>
                <w:numId w:val="8"/>
              </w:numPr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Описание </w:t>
            </w:r>
            <w:r>
              <w:rPr>
                <w:b/>
                <w:smallCaps/>
              </w:rPr>
              <w:t xml:space="preserve">услуг</w:t>
            </w:r>
            <w:r>
              <w:rPr>
                <w:b/>
                <w:smallCaps/>
              </w:rPr>
              <w:t xml:space="preserve">.</w:t>
            </w: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</w:p>
          <w:p>
            <w:pPr>
              <w:pStyle w:val="711"/>
              <w:ind w:left="360" w:firstLine="0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</w:p>
          <w:p>
            <w:pPr>
              <w:pStyle w:val="711"/>
              <w:numPr>
                <w:ilvl w:val="1"/>
                <w:numId w:val="8"/>
              </w:numPr>
              <w:jc w:val="both"/>
              <w:rPr>
                <w:b/>
              </w:rPr>
            </w:pPr>
            <w:r>
              <w:rPr>
                <w:b/>
              </w:rPr>
              <w:t xml:space="preserve">Содержание услуги: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11"/>
              <w:numPr>
                <w:ilvl w:val="0"/>
                <w:numId w:val="9"/>
              </w:numPr>
              <w:ind w:left="1168" w:right="-1" w:firstLine="0"/>
              <w:jc w:val="both"/>
            </w:pPr>
            <w:r>
              <w:t xml:space="preserve">Оценка имущества, обращенного в собственность государства, </w:t>
            </w:r>
            <w:r>
              <w:rPr>
                <w:i/>
              </w:rPr>
              <w:t xml:space="preserve">по прямому назначению.</w:t>
            </w:r>
            <w:r/>
          </w:p>
          <w:p>
            <w:pPr>
              <w:pStyle w:val="711"/>
              <w:numPr>
                <w:ilvl w:val="0"/>
                <w:numId w:val="9"/>
              </w:numPr>
              <w:ind w:left="1168" w:right="-1" w:firstLine="0"/>
              <w:jc w:val="both"/>
            </w:pPr>
            <w:r>
              <w:t xml:space="preserve">Оценка имущества, обращенного в собственность государства, </w:t>
            </w:r>
            <w:r>
              <w:rPr>
                <w:i/>
              </w:rPr>
              <w:t xml:space="preserve">в качестве годных остатков отдельных узлов, деталей, агрегатов, материалов (в том числе в сборном виде), а также в качестве вторичного сырья, лома, утиля (далее - годные остатки).</w:t>
            </w:r>
            <w:r/>
          </w:p>
          <w:p>
            <w:pPr>
              <w:pStyle w:val="711"/>
              <w:ind w:left="1168" w:right="-1" w:firstLine="0"/>
              <w:jc w:val="both"/>
            </w:pPr>
            <w:r/>
            <w:r/>
          </w:p>
          <w:p>
            <w:pPr>
              <w:pStyle w:val="711"/>
              <w:numPr>
                <w:ilvl w:val="1"/>
                <w:numId w:val="8"/>
              </w:numPr>
              <w:jc w:val="both"/>
              <w:rPr>
                <w:b/>
              </w:rPr>
            </w:pPr>
            <w:r>
              <w:rPr>
                <w:b/>
              </w:rPr>
              <w:t xml:space="preserve">Возможные виды имущества, подлежащие </w:t>
            </w:r>
            <w:r>
              <w:rPr>
                <w:b/>
              </w:rPr>
              <w:t xml:space="preserve">оценке</w:t>
            </w:r>
            <w:r>
              <w:rPr>
                <w:b/>
              </w:rPr>
              <w:t xml:space="preserve">: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11"/>
              <w:numPr>
                <w:ilvl w:val="0"/>
                <w:numId w:val="10"/>
              </w:numPr>
              <w:ind w:left="1877" w:right="-1" w:firstLine="0"/>
            </w:pPr>
            <w:r>
              <w:rPr>
                <w:spacing w:val="-2"/>
              </w:rPr>
              <w:t xml:space="preserve">товар</w:t>
            </w:r>
            <w:r>
              <w:rPr>
                <w:spacing w:val="-2"/>
              </w:rPr>
              <w:t xml:space="preserve">ы</w:t>
            </w:r>
            <w:r>
              <w:rPr>
                <w:spacing w:val="-2"/>
              </w:rPr>
              <w:t xml:space="preserve"> народного потребления;</w:t>
            </w:r>
            <w:r/>
          </w:p>
          <w:p>
            <w:pPr>
              <w:pStyle w:val="711"/>
              <w:numPr>
                <w:ilvl w:val="0"/>
                <w:numId w:val="10"/>
              </w:numPr>
              <w:ind w:left="1877" w:right="-1" w:firstLine="0"/>
              <w:rPr>
                <w:spacing w:val="-2"/>
              </w:rPr>
            </w:pPr>
            <w:r>
              <w:rPr>
                <w:spacing w:val="-2"/>
              </w:rPr>
              <w:t xml:space="preserve">технологического и иного оборудования, запчастей и комплектующих к нему;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711"/>
              <w:numPr>
                <w:ilvl w:val="0"/>
                <w:numId w:val="10"/>
              </w:numPr>
              <w:ind w:left="1877" w:right="-1" w:firstLine="0"/>
              <w:rPr>
                <w:spacing w:val="-2"/>
              </w:rPr>
            </w:pPr>
            <w:r>
              <w:rPr>
                <w:spacing w:val="-2"/>
              </w:rPr>
              <w:t xml:space="preserve">автотранспортных средств, запчастей и комплектующих к ним;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711"/>
              <w:numPr>
                <w:ilvl w:val="0"/>
                <w:numId w:val="10"/>
              </w:numPr>
              <w:ind w:left="1877" w:right="-1" w:firstLine="0"/>
              <w:rPr>
                <w:spacing w:val="-2"/>
              </w:rPr>
            </w:pPr>
            <w:r>
              <w:rPr>
                <w:spacing w:val="-2"/>
              </w:rPr>
              <w:t xml:space="preserve">иного движимого имущества, не вошедшего ни в одну вышеуказанную категорию имущества.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711"/>
              <w:ind w:left="1440" w:firstLine="0"/>
              <w:jc w:val="both"/>
            </w:pPr>
            <w:r/>
            <w:r/>
          </w:p>
          <w:p>
            <w:pPr>
              <w:pStyle w:val="711"/>
              <w:numPr>
                <w:ilvl w:val="1"/>
                <w:numId w:val="8"/>
              </w:numPr>
              <w:jc w:val="both"/>
            </w:pPr>
            <w:r>
              <w:rPr>
                <w:b/>
              </w:rPr>
              <w:t xml:space="preserve">Порядок и условия оказания услуг: 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623" w:hanging="623"/>
              <w:jc w:val="both"/>
            </w:pPr>
            <w:r>
              <w:t xml:space="preserve">Заказчик обозначает Исполнителю свою потребность в услугах, путем направления в адрес Исполнителя </w:t>
            </w:r>
            <w:r>
              <w:t xml:space="preserve">поручения</w:t>
            </w:r>
            <w:r>
              <w:t xml:space="preserve"> (приложение 2 к Контракту)</w:t>
            </w:r>
            <w:r>
              <w:t xml:space="preserve">, в которой указывает: </w:t>
            </w:r>
            <w:r>
              <w:t xml:space="preserve">наименование</w:t>
            </w:r>
            <w:r>
              <w:t xml:space="preserve">, количество, и местонахождение</w:t>
            </w:r>
            <w:r>
              <w:t xml:space="preserve"> имущества, подлежащего </w:t>
            </w:r>
            <w:r>
              <w:t xml:space="preserve">оценке</w:t>
            </w:r>
            <w:r>
              <w:t xml:space="preserve">;</w:t>
            </w:r>
            <w:r>
              <w:t xml:space="preserve"> </w:t>
            </w:r>
            <w:r>
              <w:t xml:space="preserve">реквизиты</w:t>
            </w:r>
            <w:r>
              <w:t xml:space="preserve"> документа, свидетельствующего переход</w:t>
            </w:r>
            <w:r>
              <w:t xml:space="preserve"> имущества в собственность государства</w:t>
            </w:r>
            <w:r>
              <w:t xml:space="preserve">; и т.п.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623" w:hanging="623"/>
              <w:jc w:val="both"/>
            </w:pPr>
            <w:r>
              <w:t xml:space="preserve">Заказчик вправе включить в </w:t>
            </w:r>
            <w:r>
              <w:t xml:space="preserve">поручение </w:t>
            </w:r>
            <w:r>
              <w:t xml:space="preserve">на оценку (далее – задание) до 10 (десяти) судебных и иных актов, в соответствии с которыми подлежащее оценке имущество обращено в собственность государства.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623" w:hanging="623"/>
              <w:jc w:val="both"/>
            </w:pPr>
            <w:r>
              <w:t xml:space="preserve">Заказчик вправе направлять </w:t>
            </w:r>
            <w:r>
              <w:t xml:space="preserve">поручение</w:t>
            </w:r>
            <w:r>
              <w:t xml:space="preserve"> следующими возможными способами: путём личной передачи письменно</w:t>
            </w:r>
            <w:r>
              <w:t xml:space="preserve">го поручения</w:t>
            </w:r>
            <w:r>
              <w:t xml:space="preserve">; по средствам факсимильной связи; по средствам электронной почты.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623" w:hanging="623"/>
              <w:jc w:val="both"/>
            </w:pPr>
            <w:r>
              <w:t xml:space="preserve">Исследование и осмотр объекта </w:t>
            </w:r>
            <w:r>
              <w:t xml:space="preserve">оценки</w:t>
            </w:r>
            <w:r>
              <w:t xml:space="preserve"> производится по месту его фактического нахождения.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623" w:hanging="623"/>
              <w:jc w:val="both"/>
            </w:pPr>
            <w:r>
              <w:t xml:space="preserve">При исполнении настоящего Контракта Исполнитель руководствуется</w:t>
            </w:r>
            <w:r>
              <w:t xml:space="preserve"> действующим законодательством, в том числе:</w:t>
            </w:r>
            <w:r>
              <w:t xml:space="preserve"> </w:t>
            </w:r>
            <w:r>
              <w:t xml:space="preserve">ФЗ «Об оценочной деятельности» от 29.07.1998 №135-ФЗ, другими федеральными законами и иными нормативными правовыми актами РФ, федеральными стандартами оценки, а также стандартами и правилами оценочной деятельности.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Оценщик</w:t>
            </w:r>
            <w:r>
              <w:t xml:space="preserve"> должен иметь профессиональную компетентность, позволяющую ему обеспечить квалифицированное, качественное, отвечающее современным требованиям исследование объектов </w:t>
            </w:r>
            <w:r>
              <w:t xml:space="preserve">оценки</w:t>
            </w:r>
            <w:r>
              <w:t xml:space="preserve">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Срок ока</w:t>
            </w:r>
            <w:r>
              <w:t xml:space="preserve">зания услуг по оценке имущества</w:t>
            </w:r>
            <w:r>
              <w:t xml:space="preserve"> не может превышать 15 (пятнадцать) календарных дней с даты выдачи исполнителю </w:t>
            </w:r>
            <w:r>
              <w:t xml:space="preserve">поручения</w:t>
            </w:r>
            <w:r>
              <w:t xml:space="preserve">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По р</w:t>
            </w:r>
            <w:r>
              <w:t xml:space="preserve">езультат</w:t>
            </w:r>
            <w:r>
              <w:t xml:space="preserve">ам</w:t>
            </w:r>
            <w:r>
              <w:t xml:space="preserve"> оказания услуг</w:t>
            </w:r>
            <w:r>
              <w:t xml:space="preserve">и Исполнитель выдает</w:t>
            </w:r>
            <w:r>
              <w:t xml:space="preserve"> </w:t>
            </w:r>
            <w:r>
              <w:t xml:space="preserve">отчет об оценке имущества</w:t>
            </w:r>
            <w:r>
              <w:t xml:space="preserve"> </w:t>
            </w:r>
            <w:r>
              <w:t xml:space="preserve">на кажд</w:t>
            </w:r>
            <w:r>
              <w:t xml:space="preserve">ое </w:t>
            </w:r>
            <w:r>
              <w:t xml:space="preserve">поступивш</w:t>
            </w:r>
            <w:r>
              <w:t xml:space="preserve">ее </w:t>
            </w:r>
            <w:r>
              <w:t xml:space="preserve">поручени</w:t>
            </w:r>
            <w:r>
              <w:t xml:space="preserve">е</w:t>
            </w:r>
            <w:r>
              <w:t xml:space="preserve">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Отчет об оценке</w:t>
            </w:r>
            <w:r>
              <w:t xml:space="preserve"> передается заказчику на бумажном носителе в количестве, установленном Заказчиком, но не </w:t>
            </w:r>
            <w:r>
              <w:t xml:space="preserve">менее</w:t>
            </w:r>
            <w:r>
              <w:t xml:space="preserve"> чем в </w:t>
            </w:r>
            <w:r>
              <w:t xml:space="preserve">двух</w:t>
            </w:r>
            <w:r>
              <w:t xml:space="preserve"> экземплярах</w:t>
            </w:r>
            <w:r>
              <w:t xml:space="preserve">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В отчете об оценке должна быть указана итоговая величина рыночной стоимости объекта оценки, выраженная единой цифрой в рублях по состоянию на дату, следующую за датой выдачи задания, с учетом и выделением с</w:t>
            </w:r>
            <w:r>
              <w:t xml:space="preserve">умм налогов, предусмотренных налоговым законодательством Российской Федерации, а именно: НДС и акциза (по подакцизным товарам), которая является достоверной и рекомендуемой для целей совершения сделки с объектом оценки, и постановки объекта оценки на учет.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О</w:t>
            </w:r>
            <w:r>
              <w:t xml:space="preserve">тчет должен содержать информацию, установленную Федеральными стандартами оценки, в том числе: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дату проведения оценки объекта оценки; 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цели и задачи проведения оценки объекта оценки; 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дату составления и порядковый номер отчета;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основание для проведения оценки объекта оценки; 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сведения об Исполнителе и оценщиках, привлекаемых к оценке;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описание объекта оценки;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применяемые стандарты оценочной деятельности; 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последовательность определения стоимости объекта оценки и ее итоговая величина, а также стоимость объекта оценки для постановки на учет;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перечень документов, используемых оценщиком и устанавливающих количественные и качественные характеристики объекта оценки;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фотографии объектов оценки.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допущения и ограничения, на которых должна основываться оценка определяются исполнителем самостоятельно.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исполнитель вправ</w:t>
            </w:r>
            <w:r>
              <w:t xml:space="preserve">е при оценке рыночной стоимости объекта применить по своему усмотрению стандартные подходы: доходный, затратный и сравнительный. В случае использования одного либо двух из них, Исполнитель в Отчете приводит обоснование в пользу выбора примененных подходов.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отчет должен быть пронумерован постранично, прошит, подписан оценщиком или оценщиками, а также скреплен личной печатью Исполнителя (юридического лица или оценщика, с которым оценщик или оценщики заключили трудовой договор).</w:t>
            </w:r>
            <w:r/>
          </w:p>
          <w:p>
            <w:pPr>
              <w:pStyle w:val="711"/>
              <w:numPr>
                <w:ilvl w:val="0"/>
                <w:numId w:val="11"/>
              </w:numPr>
              <w:ind w:left="2019" w:right="-1" w:firstLine="0"/>
            </w:pPr>
            <w:r>
              <w:t xml:space="preserve">отчет предоставляется по каждому выданному Исполнителю заказу на оценку. 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Отчет может также содержать иные сведения, являющиеся, по мнению Исполнителя, существенно важными для полноты отражения примененного им </w:t>
            </w:r>
            <w:r/>
          </w:p>
          <w:p>
            <w:pPr>
              <w:pStyle w:val="711"/>
              <w:numPr>
                <w:ilvl w:val="2"/>
                <w:numId w:val="8"/>
              </w:numPr>
              <w:ind w:left="765" w:hanging="765"/>
              <w:jc w:val="both"/>
            </w:pPr>
            <w:r>
              <w:t xml:space="preserve">метода расчета стоим</w:t>
            </w:r>
            <w:r>
              <w:t xml:space="preserve">ости конкретного объекта оценки</w:t>
            </w:r>
            <w:r>
              <w:br/>
            </w:r>
            <w:r/>
          </w:p>
          <w:tbl>
            <w:tblPr>
              <w:tblStyle w:val="910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5563"/>
            </w:tblGrid>
            <w:tr>
              <w:tblPrEx/>
              <w:trPr/>
              <w:tc>
                <w:tcPr>
                  <w:tcW w:w="4785" w:type="dxa"/>
                  <w:textDirection w:val="lrTb"/>
                  <w:noWrap w:val="false"/>
                </w:tcPr>
                <w:p>
                  <w:pPr>
                    <w:pStyle w:val="723"/>
                    <w:jc w:val="center"/>
                    <w:rPr>
                      <w:rFonts w:ascii="Times New Roman" w:hAnsi="Times New Roman"/>
                      <w:b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</w:rPr>
                    <w:t xml:space="preserve">Заказчик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</w:r>
                </w:p>
              </w:tc>
              <w:tc>
                <w:tcPr>
                  <w:tcW w:w="5563" w:type="dxa"/>
                  <w:textDirection w:val="lrTb"/>
                  <w:noWrap w:val="false"/>
                </w:tcPr>
                <w:p>
                  <w:pPr>
                    <w:pStyle w:val="723"/>
                    <w:jc w:val="center"/>
                    <w:rPr>
                      <w:rFonts w:ascii="Times New Roman" w:hAnsi="Times New Roman"/>
                      <w:b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</w:rPr>
                    <w:t xml:space="preserve">Исполнитель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</w:r>
                </w:p>
              </w:tc>
            </w:tr>
            <w:tr>
              <w:tblPrEx/>
              <w:trPr>
                <w:trHeight w:val="403"/>
              </w:trPr>
              <w:tc>
                <w:tcPr>
                  <w:tcW w:w="4785" w:type="dxa"/>
                  <w:textDirection w:val="lrTb"/>
                  <w:noWrap w:val="false"/>
                </w:tcPr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___________________ /_________________/</w:t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</w:tc>
              <w:tc>
                <w:tcPr>
                  <w:tcW w:w="5563" w:type="dxa"/>
                  <w:textDirection w:val="lrTb"/>
                  <w:noWrap w:val="false"/>
                </w:tcPr>
                <w:p>
                  <w:pPr>
                    <w:pStyle w:val="723"/>
                    <w:jc w:val="both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</w:p>
                <w:p>
                  <w:pPr>
                    <w:pStyle w:val="723"/>
                    <w:jc w:val="both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</w:p>
                <w:p>
                  <w:pPr>
                    <w:pStyle w:val="723"/>
                    <w:jc w:val="both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</w:p>
                <w:p>
                  <w:pPr>
                    <w:widowControl w:val="off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  <w:r>
                    <w:rPr>
                      <w:color w:val="000000"/>
                      <w:sz w:val="22"/>
                    </w:rPr>
                  </w:r>
                </w:p>
                <w:p>
                  <w:pPr>
                    <w:pStyle w:val="723"/>
                    <w:ind w:left="69" w:firstLine="0"/>
                    <w:jc w:val="both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 xml:space="preserve">____________________  /______________/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</w:r>
                </w:p>
              </w:tc>
            </w:tr>
          </w:tbl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222" w:type="dxa"/>
            <w:textDirection w:val="lrTb"/>
            <w:noWrap w:val="false"/>
          </w:tcPr>
          <w:p>
            <w:pPr>
              <w:jc w:val="center"/>
              <w:tabs>
                <w:tab w:val="left" w:pos="600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</w:pPr>
      <w:r/>
      <w:r/>
    </w:p>
    <w:p>
      <w:pPr>
        <w:spacing w:after="160" w:line="264" w:lineRule="auto"/>
      </w:pPr>
      <w:r>
        <w:br w:type="page" w:clear="all"/>
      </w:r>
      <w:r/>
    </w:p>
    <w:p>
      <w:pPr>
        <w:jc w:val="both"/>
      </w:pPr>
      <w:r/>
      <w:r/>
    </w:p>
    <w:tbl>
      <w:tblPr>
        <w:tblStyle w:val="862"/>
        <w:tblW w:w="0" w:type="auto"/>
        <w:tblInd w:w="648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18" w:type="dxa"/>
            <w:textDirection w:val="lrTb"/>
            <w:noWrap w:val="false"/>
          </w:tcPr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Приложение №</w:t>
            </w:r>
            <w:r>
              <w:rPr>
                <w:b/>
                <w:i/>
                <w:sz w:val="20"/>
              </w:rPr>
              <w:t xml:space="preserve">2 </w:t>
            </w:r>
            <w:r>
              <w:rPr>
                <w:b/>
                <w:i/>
                <w:sz w:val="20"/>
              </w:rPr>
              <w:t xml:space="preserve">к Контракту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от «___» _____ 20___ года </w:t>
            </w:r>
            <w:r>
              <w:rPr>
                <w:b/>
                <w:i/>
                <w:sz w:val="20"/>
              </w:rPr>
              <w:t xml:space="preserve">№ </w:t>
            </w:r>
            <w:r>
              <w:rPr>
                <w:b/>
                <w:i/>
                <w:sz w:val="20"/>
              </w:rPr>
              <w:t xml:space="preserve">________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на оказание услуг по оценке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  <w:t xml:space="preserve">ОБРАЗЕЦ</w:t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spacing w:val="-3"/>
          <w:sz w:val="26"/>
        </w:rPr>
        <w:t xml:space="preserve">Поручение</w:t>
      </w:r>
      <w:r>
        <w:rPr>
          <w:sz w:val="26"/>
        </w:rPr>
      </w:r>
      <w:r>
        <w:rPr>
          <w:sz w:val="26"/>
        </w:rPr>
      </w:r>
    </w:p>
    <w:p>
      <w:pPr>
        <w:ind w:right="-426"/>
        <w:jc w:val="both"/>
        <w:rPr>
          <w:sz w:val="26"/>
        </w:rPr>
      </w:pPr>
      <w:r>
        <w:rPr>
          <w:sz w:val="26"/>
        </w:rPr>
        <w:t xml:space="preserve">г. Петропавловск-Камчатский                                                        « ___ » _____________ 20__ г.</w:t>
      </w:r>
      <w:r>
        <w:rPr>
          <w:sz w:val="26"/>
        </w:rPr>
      </w:r>
      <w:r>
        <w:rPr>
          <w:sz w:val="26"/>
        </w:rPr>
      </w:r>
    </w:p>
    <w:p>
      <w:pPr>
        <w:ind w:right="-426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right="-1" w:firstLine="720"/>
        <w:jc w:val="both"/>
        <w:rPr>
          <w:sz w:val="26"/>
        </w:rPr>
      </w:pPr>
      <w:r>
        <w:rPr>
          <w:sz w:val="26"/>
        </w:rPr>
        <w:t xml:space="preserve">Территориальное управление Федерального агентства по управлению государственным имуществом в Камчатском крае, именуемое в дальнейшем ЗАКАЗЧИК, в лице __________________, действующего на основании _________, поручает__________</w:t>
      </w:r>
      <w:r>
        <w:rPr>
          <w:sz w:val="26"/>
        </w:rPr>
        <w:t xml:space="preserve">________</w:t>
      </w:r>
      <w:r>
        <w:rPr>
          <w:sz w:val="26"/>
        </w:rPr>
        <w:t xml:space="preserve">(далее – Исполнитель) в соответствии с условиями Государственного контракта от «__»____________20__ г. №______ провести </w:t>
      </w:r>
      <w:r>
        <w:rPr>
          <w:sz w:val="26"/>
        </w:rPr>
        <w:t xml:space="preserve">оценку</w:t>
      </w:r>
      <w:r>
        <w:rPr>
          <w:sz w:val="26"/>
        </w:rPr>
        <w:t xml:space="preserve">  следующего имущества:</w:t>
      </w:r>
      <w:r>
        <w:rPr>
          <w:sz w:val="26"/>
        </w:rPr>
      </w:r>
      <w:r>
        <w:rPr>
          <w:sz w:val="26"/>
        </w:rPr>
      </w:r>
    </w:p>
    <w:tbl>
      <w:tblPr>
        <w:tblStyle w:val="91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628"/>
        <w:gridCol w:w="957"/>
        <w:gridCol w:w="1005"/>
        <w:gridCol w:w="1888"/>
        <w:gridCol w:w="2921"/>
      </w:tblGrid>
      <w:tr>
        <w:tblPrEx/>
        <w:trPr>
          <w:trHeight w:val="16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п/п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Наименование имущества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Кол-во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Ед. изм.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Место нахождения имущества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Документ об обращении имущества в собственность государства/иной документ, его № и дата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1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Наименование имущества1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шт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адрес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Реквизиты документа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2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Наименование имущества2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шт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адрес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Реквизиты документа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..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</w:tbl>
    <w:p>
      <w:pPr>
        <w:ind w:left="0" w:right="-426" w:firstLine="720"/>
        <w:tabs>
          <w:tab w:val="left" w:pos="9355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tbl>
      <w:tblPr>
        <w:tblStyle w:val="910"/>
        <w:tblW w:w="0" w:type="auto"/>
        <w:tblLayout w:type="fixed"/>
        <w:tblLook w:val="04A0" w:firstRow="1" w:lastRow="0" w:firstColumn="1" w:lastColumn="0" w:noHBand="0" w:noVBand="1"/>
      </w:tblPr>
      <w:tblGrid>
        <w:gridCol w:w="3342"/>
        <w:gridCol w:w="2341"/>
        <w:gridCol w:w="4522"/>
      </w:tblGrid>
      <w:tr>
        <w:tblPrEx/>
        <w:trPr/>
        <w:tc>
          <w:tcPr>
            <w:tcW w:w="334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________________________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ind w:right="-426"/>
              <w:widowControl w:val="off"/>
              <w:rPr>
                <w:i/>
                <w:sz w:val="26"/>
              </w:rPr>
            </w:pPr>
            <w:r>
              <w:rPr>
                <w:sz w:val="26"/>
              </w:rPr>
              <w:t xml:space="preserve">           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452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________________________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/>
        <w:tc>
          <w:tcPr>
            <w:tcW w:w="334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(должность уполномоченного лица Заказчика)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sz w:val="26"/>
              </w:rPr>
            </w:pPr>
            <w:r>
              <w:rPr>
                <w:i/>
                <w:sz w:val="26"/>
              </w:rPr>
              <w:t xml:space="preserve">             (подпись)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52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(расшифровка подписи)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</w:tbl>
    <w:p>
      <w:pPr>
        <w:spacing w:after="160" w:line="264" w:lineRule="auto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spacing w:after="160" w:line="264" w:lineRule="auto"/>
        <w:rPr>
          <w:sz w:val="26"/>
        </w:rPr>
      </w:pPr>
      <w:r>
        <w:rPr>
          <w:sz w:val="26"/>
        </w:rPr>
        <w:br w:type="page" w:clear="all"/>
      </w:r>
      <w:r>
        <w:rPr>
          <w:sz w:val="26"/>
        </w:rPr>
      </w:r>
      <w:r>
        <w:rPr>
          <w:sz w:val="26"/>
        </w:rPr>
      </w:r>
    </w:p>
    <w:tbl>
      <w:tblPr>
        <w:tblStyle w:val="862"/>
        <w:tblW w:w="0" w:type="auto"/>
        <w:tblInd w:w="648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18" w:type="dxa"/>
            <w:textDirection w:val="lrTb"/>
            <w:noWrap w:val="false"/>
          </w:tcPr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Приложение №</w:t>
            </w:r>
            <w:r>
              <w:rPr>
                <w:b/>
                <w:i/>
                <w:sz w:val="20"/>
              </w:rPr>
              <w:t xml:space="preserve">3</w:t>
            </w:r>
            <w:r>
              <w:rPr>
                <w:b/>
                <w:i/>
                <w:sz w:val="20"/>
              </w:rPr>
              <w:t xml:space="preserve"> к Контракту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от «___» _____ 20___ года </w:t>
            </w:r>
            <w:r>
              <w:rPr>
                <w:b/>
                <w:i/>
                <w:sz w:val="20"/>
              </w:rPr>
              <w:t xml:space="preserve">№ 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  <w:p>
            <w:pPr>
              <w:jc w:val="both"/>
              <w:tabs>
                <w:tab w:val="left" w:pos="8520" w:leader="none"/>
              </w:tabs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на оказание услуг по оценке рыночной стоимости конфискованного, движимого бесхозяйного и иного изъятого имущества, а также иного имущества, обращенного в собственность государства, и находящегося на территории Камчатского края</w:t>
            </w:r>
            <w:r>
              <w:rPr>
                <w:b/>
                <w:i/>
                <w:sz w:val="20"/>
              </w:rPr>
            </w:r>
            <w:r>
              <w:rPr>
                <w:b/>
                <w:i/>
                <w:sz w:val="20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pacing w:val="-15"/>
          <w:sz w:val="26"/>
        </w:rPr>
      </w:pPr>
      <w:r>
        <w:rPr>
          <w:spacing w:val="-15"/>
          <w:sz w:val="26"/>
        </w:rPr>
        <w:t xml:space="preserve">АКТ ПРИЕМА-СДАЧИ УСЛУГ</w:t>
      </w:r>
      <w:r>
        <w:rPr>
          <w:spacing w:val="-15"/>
          <w:sz w:val="26"/>
        </w:rPr>
      </w:r>
      <w:r>
        <w:rPr>
          <w:spacing w:val="-15"/>
          <w:sz w:val="26"/>
        </w:rPr>
      </w:r>
    </w:p>
    <w:p>
      <w:pPr>
        <w:ind w:left="2880" w:firstLine="0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right="5"/>
        <w:tabs>
          <w:tab w:val="left" w:pos="6150" w:leader="none"/>
        </w:tabs>
        <w:rPr>
          <w:sz w:val="26"/>
        </w:rPr>
      </w:pPr>
      <w:r>
        <w:rPr>
          <w:sz w:val="26"/>
        </w:rPr>
        <w:t xml:space="preserve">г. Петропавловск-Камчатский</w:t>
      </w:r>
      <w:r>
        <w:rPr>
          <w:sz w:val="26"/>
        </w:rPr>
        <w:tab/>
      </w:r>
      <w:r>
        <w:rPr>
          <w:sz w:val="26"/>
        </w:rPr>
        <w:t xml:space="preserve">   </w:t>
      </w:r>
      <w:r>
        <w:rPr>
          <w:sz w:val="26"/>
        </w:rPr>
        <w:t xml:space="preserve">          </w:t>
      </w:r>
      <w:r>
        <w:rPr>
          <w:sz w:val="26"/>
        </w:rPr>
        <w:t xml:space="preserve"> «___»_____________</w:t>
      </w:r>
      <w:r>
        <w:rPr>
          <w:sz w:val="26"/>
        </w:rPr>
        <w:t xml:space="preserve">202_</w:t>
      </w:r>
      <w:r>
        <w:rPr>
          <w:sz w:val="26"/>
        </w:rPr>
        <w:t xml:space="preserve"> </w:t>
      </w:r>
      <w:r>
        <w:rPr>
          <w:sz w:val="26"/>
        </w:rPr>
        <w:t xml:space="preserve">г.</w:t>
      </w:r>
      <w:r>
        <w:rPr>
          <w:sz w:val="26"/>
        </w:rPr>
      </w:r>
      <w:r>
        <w:rPr>
          <w:sz w:val="26"/>
        </w:rPr>
      </w:r>
    </w:p>
    <w:p>
      <w:pPr>
        <w:ind w:right="5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797"/>
        <w:ind w:left="0" w:firstLine="0"/>
        <w:jc w:val="both"/>
        <w:spacing w:after="0"/>
        <w:rPr>
          <w:spacing w:val="1"/>
          <w:sz w:val="26"/>
        </w:rPr>
      </w:pPr>
      <w:r>
        <w:rPr>
          <w:sz w:val="26"/>
        </w:rPr>
        <w:t xml:space="preserve">Мы, нижеподписавшиеся, Территориальное управление </w:t>
      </w:r>
      <w:r>
        <w:rPr>
          <w:sz w:val="26"/>
        </w:rPr>
        <w:t xml:space="preserve">Федерального агентства по управлению государственным имуществом в Камчатском крае </w:t>
      </w:r>
      <w:r>
        <w:rPr>
          <w:sz w:val="26"/>
        </w:rPr>
        <w:t xml:space="preserve">,</w:t>
      </w:r>
      <w:r>
        <w:rPr>
          <w:i/>
          <w:sz w:val="26"/>
        </w:rPr>
        <w:t xml:space="preserve"> </w:t>
      </w:r>
      <w:r>
        <w:rPr>
          <w:sz w:val="26"/>
        </w:rPr>
        <w:t xml:space="preserve">именуемое в дальнейшем – Заказчик, в лице ______________________, действующего на основании _________________, с одной стороны, и</w:t>
      </w:r>
      <w:r>
        <w:rPr>
          <w:sz w:val="26"/>
        </w:rPr>
        <w:t xml:space="preserve"> ________________</w:t>
      </w:r>
      <w:r>
        <w:rPr>
          <w:sz w:val="26"/>
        </w:rPr>
        <w:t xml:space="preserve">, именуемое в дальнейшем – Исполнитель, в лице _____________________, действующего на основании ________, с другой стороны, составили настоящий Акт о нижеследующем</w:t>
      </w:r>
      <w:r>
        <w:rPr>
          <w:spacing w:val="1"/>
          <w:sz w:val="26"/>
        </w:rPr>
        <w:t xml:space="preserve">: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721"/>
        <w:ind w:left="0" w:firstLine="0"/>
        <w:jc w:val="both"/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Исполнитель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оказал Заказчику следующие Услуги: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</w:t>
      </w:r>
      <w:r>
        <w:rPr>
          <w:rFonts w:ascii="Times New Roman" w:hAnsi="Times New Roman"/>
          <w:sz w:val="26"/>
        </w:rPr>
        <w:t xml:space="preserve">оценке</w:t>
      </w:r>
      <w:r>
        <w:rPr>
          <w:rFonts w:ascii="Times New Roman" w:hAnsi="Times New Roman"/>
          <w:sz w:val="26"/>
        </w:rPr>
        <w:t xml:space="preserve"> имущества, обращенно</w:t>
      </w:r>
      <w:r>
        <w:rPr>
          <w:rFonts w:ascii="Times New Roman" w:hAnsi="Times New Roman"/>
          <w:sz w:val="26"/>
        </w:rPr>
        <w:t xml:space="preserve">го в собственность государства.</w:t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pStyle w:val="797"/>
        <w:spacing w:after="0"/>
        <w:rPr>
          <w:spacing w:val="1"/>
          <w:sz w:val="26"/>
        </w:rPr>
      </w:pPr>
      <w:r>
        <w:rPr>
          <w:spacing w:val="1"/>
          <w:sz w:val="26"/>
        </w:rPr>
        <w:t xml:space="preserve">Заказчик принял оказанные Услуги в форме:</w:t>
      </w:r>
      <w:r>
        <w:rPr>
          <w:spacing w:val="1"/>
          <w:sz w:val="26"/>
        </w:rPr>
      </w:r>
      <w:r>
        <w:rPr>
          <w:spacing w:val="1"/>
          <w:sz w:val="26"/>
        </w:rPr>
      </w:r>
    </w:p>
    <w:tbl>
      <w:tblPr>
        <w:tblStyle w:val="91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1305"/>
        <w:gridCol w:w="1559"/>
        <w:gridCol w:w="1559"/>
        <w:gridCol w:w="1066"/>
        <w:gridCol w:w="2053"/>
        <w:gridCol w:w="1984"/>
      </w:tblGrid>
      <w:tr>
        <w:tblPrEx/>
        <w:trPr>
          <w:trHeight w:val="23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№ п/п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pStyle w:val="797"/>
              <w:ind w:left="63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Номер </w:t>
            </w:r>
            <w:r>
              <w:rPr>
                <w:spacing w:val="1"/>
                <w:sz w:val="24"/>
              </w:rPr>
              <w:t xml:space="preserve">отчета об оценке имущества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97"/>
              <w:ind w:left="34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составления </w:t>
            </w:r>
            <w:r>
              <w:rPr>
                <w:spacing w:val="1"/>
                <w:sz w:val="24"/>
              </w:rPr>
              <w:t xml:space="preserve">отчета об оценке имущества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97"/>
              <w:ind w:left="-108" w:right="-146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передачи </w:t>
            </w:r>
            <w:r>
              <w:rPr>
                <w:spacing w:val="1"/>
                <w:sz w:val="24"/>
              </w:rPr>
              <w:t xml:space="preserve">отчета об оценке 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Заказчику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textDirection w:val="lrTb"/>
            <w:noWrap w:val="false"/>
          </w:tcPr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Номер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Поручения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Заказчика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vAlign w:val="center"/>
            <w:textDirection w:val="lrTb"/>
            <w:noWrap w:val="false"/>
          </w:tcPr>
          <w:p>
            <w:pPr>
              <w:pStyle w:val="79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получения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Исполнителем </w:t>
            </w:r>
            <w:r>
              <w:rPr>
                <w:spacing w:val="1"/>
                <w:sz w:val="24"/>
              </w:rPr>
              <w:t xml:space="preserve">поручения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Заказчика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Количество переданных </w:t>
            </w:r>
            <w:r>
              <w:rPr>
                <w:spacing w:val="1"/>
                <w:sz w:val="24"/>
              </w:rPr>
              <w:t xml:space="preserve">отчетов об оценке 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79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с «__»_____</w:t>
            </w:r>
            <w:r>
              <w:rPr>
                <w:spacing w:val="1"/>
                <w:sz w:val="24"/>
              </w:rPr>
              <w:t xml:space="preserve">202_</w:t>
            </w:r>
            <w:r>
              <w:rPr>
                <w:spacing w:val="1"/>
                <w:sz w:val="24"/>
              </w:rPr>
              <w:t xml:space="preserve"> по «__»_____</w:t>
            </w:r>
            <w:r>
              <w:rPr>
                <w:spacing w:val="1"/>
                <w:sz w:val="24"/>
              </w:rPr>
              <w:t xml:space="preserve">202_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textDirection w:val="lrTb"/>
            <w:noWrap w:val="false"/>
          </w:tcPr>
          <w:p>
            <w:pPr>
              <w:pStyle w:val="797"/>
              <w:jc w:val="right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  <w:t xml:space="preserve">ИТОГО:</w:t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79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</w:tr>
    </w:tbl>
    <w:p>
      <w:pPr>
        <w:pStyle w:val="797"/>
        <w:spacing w:after="0"/>
        <w:rPr>
          <w:spacing w:val="1"/>
          <w:sz w:val="26"/>
        </w:rPr>
      </w:pPr>
      <w:r>
        <w:rPr>
          <w:spacing w:val="1"/>
          <w:sz w:val="26"/>
        </w:rPr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797"/>
        <w:ind w:left="0" w:firstLine="0"/>
        <w:spacing w:after="0"/>
        <w:rPr>
          <w:spacing w:val="1"/>
          <w:sz w:val="26"/>
        </w:rPr>
      </w:pPr>
      <w:r>
        <w:rPr>
          <w:spacing w:val="1"/>
          <w:sz w:val="26"/>
        </w:rPr>
        <w:t xml:space="preserve">Общая стоимость оказанных </w:t>
      </w:r>
      <w:r>
        <w:rPr>
          <w:spacing w:val="1"/>
          <w:sz w:val="26"/>
        </w:rPr>
        <w:t xml:space="preserve">Услуг</w:t>
      </w:r>
      <w:r>
        <w:rPr>
          <w:sz w:val="26"/>
        </w:rPr>
        <w:t xml:space="preserve"> </w:t>
      </w:r>
      <w:r>
        <w:rPr>
          <w:spacing w:val="1"/>
          <w:sz w:val="26"/>
        </w:rPr>
        <w:t xml:space="preserve">составляет</w:t>
      </w:r>
      <w:r>
        <w:rPr>
          <w:spacing w:val="1"/>
          <w:sz w:val="26"/>
        </w:rPr>
        <w:t xml:space="preserve"> __________ рублей, включая НДС в сумме _____________рублей. (если НДС облагается)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797"/>
        <w:ind w:left="0" w:firstLine="0"/>
        <w:spacing w:after="0"/>
        <w:rPr>
          <w:spacing w:val="1"/>
          <w:sz w:val="26"/>
        </w:rPr>
      </w:pPr>
      <w:r>
        <w:rPr>
          <w:spacing w:val="1"/>
          <w:sz w:val="26"/>
        </w:rPr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797"/>
        <w:ind w:left="0" w:firstLine="0"/>
        <w:spacing w:after="0"/>
        <w:rPr>
          <w:spacing w:val="1"/>
          <w:sz w:val="26"/>
        </w:rPr>
      </w:pPr>
      <w:r>
        <w:rPr>
          <w:spacing w:val="1"/>
          <w:sz w:val="26"/>
        </w:rPr>
        <w:t xml:space="preserve">В соответствии с обязательствами по Контракту Заказчик обязуется перечислить на расчетный </w:t>
      </w:r>
      <w:r>
        <w:rPr>
          <w:spacing w:val="1"/>
          <w:sz w:val="26"/>
        </w:rPr>
        <w:t xml:space="preserve">счет Исполнителя</w:t>
      </w:r>
      <w:r>
        <w:rPr>
          <w:spacing w:val="1"/>
          <w:sz w:val="26"/>
        </w:rPr>
        <w:t xml:space="preserve"> денежные средства в сумме ________________рублей, включая НДС _______________руб. (если НДС облагается)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797"/>
        <w:ind w:left="0" w:firstLine="0"/>
        <w:spacing w:after="0"/>
        <w:rPr>
          <w:i/>
          <w:sz w:val="26"/>
        </w:rPr>
      </w:pPr>
      <w:r>
        <w:rPr>
          <w:i/>
          <w:sz w:val="26"/>
        </w:rPr>
      </w:r>
      <w:r>
        <w:rPr>
          <w:i/>
          <w:sz w:val="26"/>
        </w:rPr>
      </w:r>
      <w:r>
        <w:rPr>
          <w:i/>
          <w:sz w:val="26"/>
        </w:rPr>
      </w:r>
    </w:p>
    <w:tbl>
      <w:tblPr>
        <w:tblStyle w:val="910"/>
        <w:tblW w:w="0" w:type="auto"/>
        <w:tblLayout w:type="fixed"/>
        <w:tblLook w:val="04A0" w:firstRow="1" w:lastRow="0" w:firstColumn="1" w:lastColumn="0" w:noHBand="0" w:noVBand="1"/>
      </w:tblPr>
      <w:tblGrid>
        <w:gridCol w:w="222"/>
        <w:gridCol w:w="9983"/>
      </w:tblGrid>
      <w:tr>
        <w:tblPrEx/>
        <w:trPr/>
        <w:tc>
          <w:tcPr>
            <w:tcW w:w="222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9983" w:type="dxa"/>
            <w:textDirection w:val="lrTb"/>
            <w:noWrap w:val="false"/>
          </w:tcPr>
          <w:tbl>
            <w:tblPr>
              <w:tblStyle w:val="9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08"/>
              <w:gridCol w:w="4680"/>
            </w:tblGrid>
            <w:tr>
              <w:tblPrEx/>
              <w:trPr/>
              <w:tc>
                <w:tcPr>
                  <w:tcW w:w="5508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Заказчик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М.П.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</w:tc>
              <w:tc>
                <w:tcPr>
                  <w:tcW w:w="4680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Исполнитель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М.П.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</w:tc>
            </w:tr>
          </w:tbl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spacing w:after="160" w:line="264" w:lineRule="auto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sectPr>
      <w:footnotePr/>
      <w:endnotePr/>
      <w:type w:val="continuous"/>
      <w:pgSz w:w="11906" w:h="16838" w:orient="portrait"/>
      <w:pgMar w:top="1134" w:right="567" w:bottom="567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503050406030204"/>
  </w:font>
  <w:font w:name="Tahoma">
    <w:panose1 w:val="020B0604030504040204"/>
  </w:font>
  <w:font w:name="XO Thames">
    <w:panose1 w:val="02020603050405020304"/>
  </w:font>
  <w:font w:name="Calibri">
    <w:panose1 w:val="020F0502020204030204"/>
  </w:font>
  <w:font w:name="Courier New">
    <w:panose1 w:val="02070309020205020404"/>
  </w:font>
  <w:font w:name="Adobe Devanagari">
    <w:panose1 w:val="02000603000000000000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64" w:hanging="504"/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944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66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1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2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8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704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pStyle w:val="799"/>
      <w:isLgl w:val="false"/>
      <w:suff w:val="tab"/>
      <w:lvlText w:val=""/>
      <w:lvlJc w:val="left"/>
      <w:pPr>
        <w:ind w:left="926" w:hanging="360"/>
        <w:tabs>
          <w:tab w:val="left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pStyle w:val="805"/>
      <w:isLgl w:val="false"/>
      <w:suff w:val="tab"/>
      <w:lvlText w:val=""/>
      <w:lvlJc w:val="left"/>
      <w:pPr>
        <w:ind w:left="643" w:hanging="360"/>
        <w:tabs>
          <w:tab w:val="left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3 Char"/>
    <w:basedOn w:val="756"/>
    <w:link w:val="718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756"/>
    <w:link w:val="804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756"/>
    <w:link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756"/>
    <w:link w:val="812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756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756"/>
    <w:link w:val="774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756"/>
    <w:link w:val="726"/>
    <w:uiPriority w:val="9"/>
    <w:rPr>
      <w:rFonts w:ascii="Arial" w:hAnsi="Arial" w:eastAsia="Arial" w:cs="Arial"/>
      <w:i/>
      <w:iCs/>
      <w:sz w:val="21"/>
      <w:szCs w:val="21"/>
    </w:rPr>
  </w:style>
  <w:style w:type="character" w:styleId="687">
    <w:name w:val="Title Char"/>
    <w:basedOn w:val="756"/>
    <w:link w:val="802"/>
    <w:uiPriority w:val="10"/>
    <w:rPr>
      <w:sz w:val="48"/>
      <w:szCs w:val="48"/>
    </w:rPr>
  </w:style>
  <w:style w:type="character" w:styleId="688">
    <w:name w:val="Quote Char"/>
    <w:link w:val="734"/>
    <w:uiPriority w:val="29"/>
    <w:rPr>
      <w:i/>
    </w:rPr>
  </w:style>
  <w:style w:type="character" w:styleId="689">
    <w:name w:val="Intense Quote Char"/>
    <w:link w:val="728"/>
    <w:uiPriority w:val="30"/>
    <w:rPr>
      <w:i/>
    </w:rPr>
  </w:style>
  <w:style w:type="character" w:styleId="690">
    <w:name w:val="Header Char"/>
    <w:basedOn w:val="756"/>
    <w:link w:val="758"/>
    <w:uiPriority w:val="99"/>
  </w:style>
  <w:style w:type="character" w:styleId="691">
    <w:name w:val="Caption Char"/>
    <w:basedOn w:val="756"/>
    <w:link w:val="732"/>
    <w:uiPriority w:val="35"/>
    <w:rPr>
      <w:b/>
      <w:bCs/>
      <w:color w:val="4f81bd" w:themeColor="accent1"/>
      <w:sz w:val="18"/>
      <w:szCs w:val="18"/>
    </w:rPr>
  </w:style>
  <w:style w:type="paragraph" w:styleId="692">
    <w:name w:val="footnote text"/>
    <w:basedOn w:val="696"/>
    <w:link w:val="748"/>
    <w:uiPriority w:val="99"/>
    <w:semiHidden/>
    <w:unhideWhenUsed/>
    <w:pPr>
      <w:spacing w:after="40" w:line="240" w:lineRule="auto"/>
    </w:pPr>
    <w:rPr>
      <w:sz w:val="18"/>
    </w:rPr>
  </w:style>
  <w:style w:type="paragraph" w:styleId="693">
    <w:name w:val="endnote text"/>
    <w:basedOn w:val="696"/>
    <w:link w:val="694"/>
    <w:uiPriority w:val="99"/>
    <w:semiHidden/>
    <w:unhideWhenUsed/>
    <w:pPr>
      <w:spacing w:after="0" w:line="240" w:lineRule="auto"/>
    </w:pPr>
    <w:rPr>
      <w:sz w:val="20"/>
    </w:rPr>
  </w:style>
  <w:style w:type="character" w:styleId="694">
    <w:name w:val="Endnote Text Char"/>
    <w:link w:val="693"/>
    <w:uiPriority w:val="99"/>
    <w:rPr>
      <w:sz w:val="20"/>
    </w:rPr>
  </w:style>
  <w:style w:type="paragraph" w:styleId="695" w:default="1">
    <w:name w:val="Normal"/>
    <w:link w:val="696"/>
    <w:uiPriority w:val="0"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696" w:default="1">
    <w:name w:val="Normal"/>
    <w:link w:val="695"/>
    <w:rPr>
      <w:rFonts w:ascii="Times New Roman" w:hAnsi="Times New Roman"/>
      <w:sz w:val="24"/>
    </w:rPr>
  </w:style>
  <w:style w:type="paragraph" w:styleId="697">
    <w:name w:val="msonormalcxspmiddle"/>
    <w:basedOn w:val="695"/>
    <w:link w:val="698"/>
    <w:pPr>
      <w:spacing w:beforeAutospacing="1" w:afterAutospacing="1"/>
    </w:pPr>
  </w:style>
  <w:style w:type="character" w:styleId="698">
    <w:name w:val="msonormalcxspmiddle"/>
    <w:basedOn w:val="696"/>
    <w:link w:val="697"/>
  </w:style>
  <w:style w:type="paragraph" w:styleId="699">
    <w:name w:val="Body Text Indent 2"/>
    <w:basedOn w:val="695"/>
    <w:link w:val="700"/>
    <w:pPr>
      <w:ind w:left="283" w:firstLine="0"/>
      <w:spacing w:after="120" w:line="480" w:lineRule="auto"/>
    </w:pPr>
  </w:style>
  <w:style w:type="character" w:styleId="700">
    <w:name w:val="Body Text Indent 2"/>
    <w:basedOn w:val="696"/>
    <w:link w:val="699"/>
  </w:style>
  <w:style w:type="paragraph" w:styleId="701">
    <w:name w:val="toc 2"/>
    <w:basedOn w:val="695"/>
    <w:next w:val="695"/>
    <w:link w:val="702"/>
    <w:uiPriority w:val="39"/>
    <w:pPr>
      <w:ind w:left="283" w:right="0" w:firstLine="0"/>
      <w:spacing w:after="57"/>
    </w:pPr>
  </w:style>
  <w:style w:type="character" w:styleId="702">
    <w:name w:val="toc 2"/>
    <w:basedOn w:val="696"/>
    <w:link w:val="701"/>
  </w:style>
  <w:style w:type="paragraph" w:styleId="703">
    <w:name w:val="Heading 1 Char"/>
    <w:basedOn w:val="755"/>
    <w:link w:val="704"/>
    <w:rPr>
      <w:rFonts w:ascii="Arial" w:hAnsi="Arial"/>
      <w:sz w:val="40"/>
    </w:rPr>
  </w:style>
  <w:style w:type="character" w:styleId="704">
    <w:name w:val="Heading 1 Char"/>
    <w:basedOn w:val="756"/>
    <w:link w:val="703"/>
    <w:rPr>
      <w:rFonts w:ascii="Arial" w:hAnsi="Arial"/>
      <w:sz w:val="40"/>
    </w:rPr>
  </w:style>
  <w:style w:type="paragraph" w:styleId="705">
    <w:name w:val="toc 4"/>
    <w:basedOn w:val="695"/>
    <w:next w:val="695"/>
    <w:link w:val="706"/>
    <w:uiPriority w:val="39"/>
    <w:pPr>
      <w:ind w:left="850" w:right="0" w:firstLine="0"/>
      <w:spacing w:after="57"/>
    </w:pPr>
  </w:style>
  <w:style w:type="character" w:styleId="706">
    <w:name w:val="toc 4"/>
    <w:basedOn w:val="696"/>
    <w:link w:val="705"/>
  </w:style>
  <w:style w:type="paragraph" w:styleId="707">
    <w:name w:val="Heading 7"/>
    <w:basedOn w:val="695"/>
    <w:next w:val="695"/>
    <w:link w:val="708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08">
    <w:name w:val="Heading 7"/>
    <w:basedOn w:val="696"/>
    <w:link w:val="707"/>
    <w:rPr>
      <w:rFonts w:ascii="Arial" w:hAnsi="Arial"/>
      <w:b/>
      <w:i/>
      <w:sz w:val="22"/>
    </w:rPr>
  </w:style>
  <w:style w:type="paragraph" w:styleId="709">
    <w:name w:val="toc 6"/>
    <w:basedOn w:val="695"/>
    <w:next w:val="695"/>
    <w:link w:val="710"/>
    <w:uiPriority w:val="39"/>
    <w:pPr>
      <w:ind w:left="1417" w:right="0" w:firstLine="0"/>
      <w:spacing w:after="57"/>
    </w:pPr>
  </w:style>
  <w:style w:type="character" w:styleId="710">
    <w:name w:val="toc 6"/>
    <w:basedOn w:val="696"/>
    <w:link w:val="709"/>
  </w:style>
  <w:style w:type="paragraph" w:styleId="711">
    <w:name w:val="List Paragraph"/>
    <w:basedOn w:val="695"/>
    <w:link w:val="712"/>
    <w:pPr>
      <w:contextualSpacing/>
      <w:ind w:left="720" w:firstLine="0"/>
    </w:pPr>
  </w:style>
  <w:style w:type="character" w:styleId="712">
    <w:name w:val="List Paragraph"/>
    <w:basedOn w:val="696"/>
    <w:link w:val="711"/>
  </w:style>
  <w:style w:type="paragraph" w:styleId="713">
    <w:name w:val="toc 7"/>
    <w:basedOn w:val="695"/>
    <w:next w:val="695"/>
    <w:link w:val="714"/>
    <w:uiPriority w:val="39"/>
    <w:pPr>
      <w:ind w:left="1701" w:right="0" w:firstLine="0"/>
      <w:spacing w:after="57"/>
    </w:pPr>
  </w:style>
  <w:style w:type="character" w:styleId="714">
    <w:name w:val="toc 7"/>
    <w:basedOn w:val="696"/>
    <w:link w:val="713"/>
  </w:style>
  <w:style w:type="paragraph" w:styleId="715">
    <w:name w:val="Endnote"/>
    <w:basedOn w:val="695"/>
    <w:link w:val="716"/>
    <w:pPr>
      <w:spacing w:after="0" w:line="240" w:lineRule="auto"/>
    </w:pPr>
    <w:rPr>
      <w:sz w:val="20"/>
    </w:rPr>
  </w:style>
  <w:style w:type="character" w:styleId="716">
    <w:name w:val="Endnote"/>
    <w:basedOn w:val="696"/>
    <w:link w:val="715"/>
    <w:rPr>
      <w:sz w:val="20"/>
    </w:rPr>
  </w:style>
  <w:style w:type="paragraph" w:styleId="717">
    <w:name w:val="Heading 3"/>
    <w:basedOn w:val="695"/>
    <w:next w:val="695"/>
    <w:link w:val="718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character" w:styleId="718">
    <w:name w:val="Heading 3"/>
    <w:basedOn w:val="696"/>
    <w:link w:val="717"/>
    <w:rPr>
      <w:rFonts w:ascii="Arial" w:hAnsi="Arial"/>
      <w:sz w:val="30"/>
    </w:rPr>
  </w:style>
  <w:style w:type="paragraph" w:styleId="719">
    <w:name w:val="table of figures"/>
    <w:basedOn w:val="695"/>
    <w:next w:val="695"/>
    <w:link w:val="720"/>
    <w:pPr>
      <w:spacing w:after="0"/>
    </w:pPr>
  </w:style>
  <w:style w:type="character" w:styleId="720">
    <w:name w:val="table of figures"/>
    <w:basedOn w:val="696"/>
    <w:link w:val="719"/>
  </w:style>
  <w:style w:type="paragraph" w:styleId="721">
    <w:name w:val="ConsPlusNormal"/>
    <w:link w:val="722"/>
    <w:pPr>
      <w:ind w:left="0" w:firstLine="720"/>
      <w:spacing w:after="200" w:line="100" w:lineRule="atLeast"/>
    </w:pPr>
    <w:rPr>
      <w:rFonts w:ascii="Arial" w:hAnsi="Arial"/>
      <w:sz w:val="20"/>
    </w:rPr>
  </w:style>
  <w:style w:type="character" w:styleId="722">
    <w:name w:val="ConsPlusNormal"/>
    <w:link w:val="721"/>
    <w:rPr>
      <w:rFonts w:ascii="Arial" w:hAnsi="Arial"/>
      <w:sz w:val="20"/>
    </w:rPr>
  </w:style>
  <w:style w:type="paragraph" w:styleId="723">
    <w:name w:val="ConsPlusNonformat"/>
    <w:link w:val="724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724">
    <w:name w:val="ConsPlusNonformat"/>
    <w:link w:val="723"/>
    <w:rPr>
      <w:rFonts w:ascii="Courier New" w:hAnsi="Courier New"/>
      <w:sz w:val="20"/>
    </w:rPr>
  </w:style>
  <w:style w:type="paragraph" w:styleId="725">
    <w:name w:val="Heading 9"/>
    <w:basedOn w:val="695"/>
    <w:next w:val="695"/>
    <w:link w:val="726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26">
    <w:name w:val="Heading 9"/>
    <w:basedOn w:val="696"/>
    <w:link w:val="725"/>
    <w:rPr>
      <w:rFonts w:ascii="Arial" w:hAnsi="Arial"/>
      <w:i/>
      <w:sz w:val="21"/>
    </w:rPr>
  </w:style>
  <w:style w:type="paragraph" w:styleId="727">
    <w:name w:val="Intense Quote"/>
    <w:basedOn w:val="695"/>
    <w:next w:val="695"/>
    <w:link w:val="728"/>
    <w:pPr>
      <w:contextualSpacing w:val="0"/>
      <w:ind w:left="720" w:right="720" w:firstLine="0"/>
    </w:pPr>
    <w:rPr>
      <w:i/>
    </w:rPr>
  </w:style>
  <w:style w:type="character" w:styleId="728">
    <w:name w:val="Intense Quote"/>
    <w:basedOn w:val="696"/>
    <w:link w:val="727"/>
    <w:rPr>
      <w:i/>
    </w:rPr>
  </w:style>
  <w:style w:type="paragraph" w:styleId="729">
    <w:name w:val="Основной текст (2)"/>
    <w:basedOn w:val="755"/>
    <w:link w:val="730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character" w:styleId="730">
    <w:name w:val="Основной текст (2)"/>
    <w:basedOn w:val="756"/>
    <w:link w:val="729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paragraph" w:styleId="731">
    <w:name w:val="Caption"/>
    <w:basedOn w:val="695"/>
    <w:next w:val="695"/>
    <w:link w:val="732"/>
    <w:pPr>
      <w:spacing w:line="276" w:lineRule="auto"/>
    </w:pPr>
    <w:rPr>
      <w:b/>
      <w:color w:val="5b9bd5" w:themeColor="accent1"/>
      <w:sz w:val="18"/>
    </w:rPr>
  </w:style>
  <w:style w:type="character" w:styleId="732">
    <w:name w:val="Caption"/>
    <w:basedOn w:val="696"/>
    <w:link w:val="731"/>
    <w:rPr>
      <w:b/>
      <w:color w:val="5b9bd5" w:themeColor="accent1"/>
      <w:sz w:val="18"/>
    </w:rPr>
  </w:style>
  <w:style w:type="paragraph" w:styleId="733">
    <w:name w:val="Quote"/>
    <w:basedOn w:val="695"/>
    <w:next w:val="695"/>
    <w:link w:val="734"/>
    <w:pPr>
      <w:ind w:left="720" w:right="720" w:firstLine="0"/>
    </w:pPr>
    <w:rPr>
      <w:i/>
    </w:rPr>
  </w:style>
  <w:style w:type="character" w:styleId="734">
    <w:name w:val="Quote"/>
    <w:basedOn w:val="696"/>
    <w:link w:val="733"/>
    <w:rPr>
      <w:i/>
    </w:rPr>
  </w:style>
  <w:style w:type="paragraph" w:styleId="735">
    <w:name w:val="Font Style76"/>
    <w:link w:val="736"/>
    <w:rPr>
      <w:rFonts w:ascii="Times New Roman" w:hAnsi="Times New Roman"/>
      <w:sz w:val="22"/>
    </w:rPr>
  </w:style>
  <w:style w:type="character" w:styleId="736">
    <w:name w:val="Font Style76"/>
    <w:link w:val="735"/>
    <w:rPr>
      <w:rFonts w:ascii="Times New Roman" w:hAnsi="Times New Roman"/>
      <w:sz w:val="22"/>
    </w:rPr>
  </w:style>
  <w:style w:type="paragraph" w:styleId="737">
    <w:name w:val="footnote reference"/>
    <w:basedOn w:val="755"/>
    <w:link w:val="738"/>
  </w:style>
  <w:style w:type="character" w:styleId="738">
    <w:name w:val="footnote reference"/>
    <w:basedOn w:val="756"/>
    <w:link w:val="737"/>
  </w:style>
  <w:style w:type="paragraph" w:styleId="739">
    <w:name w:val="Heading 2 Char"/>
    <w:basedOn w:val="755"/>
    <w:link w:val="740"/>
    <w:rPr>
      <w:rFonts w:ascii="Arial" w:hAnsi="Arial"/>
      <w:sz w:val="34"/>
    </w:rPr>
  </w:style>
  <w:style w:type="character" w:styleId="740">
    <w:name w:val="Heading 2 Char"/>
    <w:basedOn w:val="756"/>
    <w:link w:val="739"/>
    <w:rPr>
      <w:rFonts w:ascii="Arial" w:hAnsi="Arial"/>
      <w:sz w:val="34"/>
    </w:rPr>
  </w:style>
  <w:style w:type="paragraph" w:styleId="741">
    <w:name w:val="Верхний колонтитул Знак"/>
    <w:basedOn w:val="755"/>
    <w:link w:val="742"/>
  </w:style>
  <w:style w:type="character" w:styleId="742">
    <w:name w:val="Верхний колонтитул Знак"/>
    <w:basedOn w:val="756"/>
    <w:link w:val="741"/>
  </w:style>
  <w:style w:type="paragraph" w:styleId="743">
    <w:name w:val="Subtitle Char"/>
    <w:basedOn w:val="755"/>
    <w:link w:val="744"/>
    <w:rPr>
      <w:sz w:val="24"/>
    </w:rPr>
  </w:style>
  <w:style w:type="character" w:styleId="744">
    <w:name w:val="Subtitle Char"/>
    <w:basedOn w:val="756"/>
    <w:link w:val="743"/>
    <w:rPr>
      <w:sz w:val="24"/>
    </w:rPr>
  </w:style>
  <w:style w:type="paragraph" w:styleId="745">
    <w:name w:val="toc 3"/>
    <w:basedOn w:val="695"/>
    <w:next w:val="695"/>
    <w:link w:val="746"/>
    <w:uiPriority w:val="39"/>
    <w:pPr>
      <w:ind w:left="567" w:right="0" w:firstLine="0"/>
      <w:spacing w:after="57"/>
    </w:pPr>
  </w:style>
  <w:style w:type="character" w:styleId="746">
    <w:name w:val="toc 3"/>
    <w:basedOn w:val="696"/>
    <w:link w:val="745"/>
  </w:style>
  <w:style w:type="paragraph" w:styleId="747">
    <w:name w:val="Footnote Text Char"/>
    <w:link w:val="748"/>
    <w:rPr>
      <w:sz w:val="18"/>
    </w:rPr>
  </w:style>
  <w:style w:type="character" w:styleId="748">
    <w:name w:val="Footnote Text Char"/>
    <w:link w:val="747"/>
    <w:rPr>
      <w:sz w:val="18"/>
    </w:rPr>
  </w:style>
  <w:style w:type="paragraph" w:styleId="749">
    <w:name w:val="Body Text"/>
    <w:basedOn w:val="695"/>
    <w:link w:val="750"/>
    <w:pPr>
      <w:spacing w:after="120"/>
    </w:pPr>
    <w:rPr>
      <w:sz w:val="20"/>
    </w:rPr>
  </w:style>
  <w:style w:type="character" w:styleId="750">
    <w:name w:val="Body Text"/>
    <w:basedOn w:val="696"/>
    <w:link w:val="749"/>
    <w:rPr>
      <w:sz w:val="20"/>
    </w:rPr>
  </w:style>
  <w:style w:type="paragraph" w:styleId="751">
    <w:name w:val="List 3"/>
    <w:basedOn w:val="695"/>
    <w:link w:val="752"/>
    <w:pPr>
      <w:ind w:left="849" w:hanging="283"/>
      <w:jc w:val="both"/>
      <w:spacing w:after="60"/>
    </w:pPr>
  </w:style>
  <w:style w:type="character" w:styleId="752">
    <w:name w:val="List 3"/>
    <w:basedOn w:val="696"/>
    <w:link w:val="751"/>
  </w:style>
  <w:style w:type="paragraph" w:styleId="753">
    <w:name w:val="No Spacing"/>
    <w:link w:val="754"/>
    <w:pPr>
      <w:spacing w:after="0" w:line="240" w:lineRule="auto"/>
    </w:pPr>
    <w:rPr>
      <w:rFonts w:ascii="Calibri" w:hAnsi="Calibri"/>
    </w:rPr>
  </w:style>
  <w:style w:type="character" w:styleId="754">
    <w:name w:val="No Spacing"/>
    <w:link w:val="753"/>
    <w:rPr>
      <w:rFonts w:ascii="Calibri" w:hAnsi="Calibri"/>
    </w:rPr>
  </w:style>
  <w:style w:type="paragraph" w:styleId="755">
    <w:name w:val="Default Paragraph Font"/>
    <w:link w:val="756"/>
  </w:style>
  <w:style w:type="character" w:styleId="756">
    <w:name w:val="Default Paragraph Font"/>
    <w:link w:val="755"/>
  </w:style>
  <w:style w:type="paragraph" w:styleId="757">
    <w:name w:val="Header"/>
    <w:basedOn w:val="695"/>
    <w:link w:val="758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"/>
    <w:basedOn w:val="696"/>
    <w:link w:val="757"/>
  </w:style>
  <w:style w:type="paragraph" w:styleId="759">
    <w:name w:val="Heading 5"/>
    <w:basedOn w:val="695"/>
    <w:next w:val="695"/>
    <w:link w:val="760"/>
    <w:uiPriority w:val="9"/>
    <w:qFormat/>
    <w:pPr>
      <w:keepLines/>
      <w:keepNext/>
      <w:spacing w:before="320" w:after="200"/>
      <w:outlineLvl w:val="4"/>
    </w:pPr>
    <w:rPr>
      <w:rFonts w:ascii="Arial" w:hAnsi="Arial"/>
      <w:b/>
      <w:sz w:val="24"/>
    </w:rPr>
  </w:style>
  <w:style w:type="character" w:styleId="760">
    <w:name w:val="Heading 5"/>
    <w:basedOn w:val="696"/>
    <w:link w:val="759"/>
    <w:rPr>
      <w:rFonts w:ascii="Arial" w:hAnsi="Arial"/>
      <w:b/>
      <w:sz w:val="24"/>
    </w:rPr>
  </w:style>
  <w:style w:type="paragraph" w:styleId="761">
    <w:name w:val="Body Text Indent"/>
    <w:basedOn w:val="695"/>
    <w:link w:val="762"/>
    <w:pPr>
      <w:ind w:left="283" w:firstLine="0"/>
      <w:spacing w:after="120"/>
    </w:pPr>
    <w:rPr>
      <w:sz w:val="20"/>
    </w:rPr>
  </w:style>
  <w:style w:type="character" w:styleId="762">
    <w:name w:val="Body Text Indent"/>
    <w:basedOn w:val="696"/>
    <w:link w:val="761"/>
    <w:rPr>
      <w:sz w:val="20"/>
    </w:rPr>
  </w:style>
  <w:style w:type="paragraph" w:styleId="763">
    <w:name w:val="Heading 1"/>
    <w:basedOn w:val="695"/>
    <w:link w:val="764"/>
    <w:uiPriority w:val="9"/>
    <w:qFormat/>
    <w:pPr>
      <w:ind w:left="150" w:firstLine="0"/>
      <w:spacing w:beforeAutospacing="1" w:afterAutospacing="1"/>
      <w:outlineLvl w:val="0"/>
    </w:pPr>
  </w:style>
  <w:style w:type="character" w:styleId="764">
    <w:name w:val="Heading 1"/>
    <w:basedOn w:val="696"/>
    <w:link w:val="763"/>
  </w:style>
  <w:style w:type="paragraph" w:styleId="765">
    <w:name w:val="Footer Char"/>
    <w:basedOn w:val="755"/>
    <w:link w:val="766"/>
  </w:style>
  <w:style w:type="character" w:styleId="766">
    <w:name w:val="Footer Char"/>
    <w:basedOn w:val="756"/>
    <w:link w:val="765"/>
  </w:style>
  <w:style w:type="paragraph" w:styleId="767">
    <w:name w:val="endnote reference"/>
    <w:basedOn w:val="755"/>
    <w:link w:val="768"/>
    <w:rPr>
      <w:vertAlign w:val="superscript"/>
    </w:rPr>
  </w:style>
  <w:style w:type="character" w:styleId="768">
    <w:name w:val="endnote reference"/>
    <w:basedOn w:val="756"/>
    <w:link w:val="767"/>
    <w:rPr>
      <w:vertAlign w:val="superscript"/>
    </w:rPr>
  </w:style>
  <w:style w:type="paragraph" w:styleId="769">
    <w:name w:val="Hyperlink"/>
    <w:basedOn w:val="755"/>
    <w:link w:val="770"/>
    <w:rPr>
      <w:color w:val="0000ff"/>
      <w:u w:val="single"/>
    </w:rPr>
  </w:style>
  <w:style w:type="character" w:styleId="770">
    <w:name w:val="Hyperlink"/>
    <w:basedOn w:val="756"/>
    <w:link w:val="769"/>
    <w:rPr>
      <w:color w:val="0000ff"/>
      <w:u w:val="single"/>
    </w:rPr>
  </w:style>
  <w:style w:type="paragraph" w:styleId="771">
    <w:name w:val="Footnote"/>
    <w:basedOn w:val="695"/>
    <w:link w:val="772"/>
    <w:rPr>
      <w:sz w:val="20"/>
    </w:rPr>
  </w:style>
  <w:style w:type="character" w:styleId="772">
    <w:name w:val="Footnote"/>
    <w:basedOn w:val="696"/>
    <w:link w:val="771"/>
    <w:rPr>
      <w:sz w:val="20"/>
    </w:rPr>
  </w:style>
  <w:style w:type="paragraph" w:styleId="773">
    <w:name w:val="Heading 8"/>
    <w:basedOn w:val="695"/>
    <w:next w:val="695"/>
    <w:link w:val="774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74">
    <w:name w:val="Heading 8"/>
    <w:basedOn w:val="696"/>
    <w:link w:val="773"/>
    <w:rPr>
      <w:rFonts w:ascii="Arial" w:hAnsi="Arial"/>
      <w:i/>
      <w:sz w:val="22"/>
    </w:rPr>
  </w:style>
  <w:style w:type="paragraph" w:styleId="775">
    <w:name w:val="toc 1"/>
    <w:basedOn w:val="695"/>
    <w:next w:val="695"/>
    <w:link w:val="776"/>
    <w:uiPriority w:val="39"/>
    <w:pPr>
      <w:ind w:left="0" w:right="0" w:firstLine="0"/>
      <w:spacing w:after="57"/>
    </w:pPr>
  </w:style>
  <w:style w:type="character" w:styleId="776">
    <w:name w:val="toc 1"/>
    <w:basedOn w:val="696"/>
    <w:link w:val="775"/>
  </w:style>
  <w:style w:type="paragraph" w:styleId="777">
    <w:name w:val="Header and Footer"/>
    <w:link w:val="778"/>
    <w:pPr>
      <w:jc w:val="both"/>
      <w:spacing w:line="240" w:lineRule="auto"/>
    </w:pPr>
    <w:rPr>
      <w:rFonts w:ascii="XO Thames" w:hAnsi="XO Thames"/>
      <w:sz w:val="28"/>
    </w:rPr>
  </w:style>
  <w:style w:type="character" w:styleId="778">
    <w:name w:val="Header and Footer"/>
    <w:link w:val="777"/>
    <w:rPr>
      <w:rFonts w:ascii="XO Thames" w:hAnsi="XO Thames"/>
      <w:sz w:val="28"/>
    </w:rPr>
  </w:style>
  <w:style w:type="paragraph" w:styleId="779">
    <w:name w:val="fontstyle01"/>
    <w:basedOn w:val="755"/>
    <w:link w:val="780"/>
    <w:rPr>
      <w:rFonts w:ascii="Tahoma" w:hAnsi="Tahoma"/>
      <w:b w:val="0"/>
      <w:i w:val="0"/>
      <w:color w:val="000000"/>
      <w:sz w:val="22"/>
    </w:rPr>
  </w:style>
  <w:style w:type="character" w:styleId="780">
    <w:name w:val="fontstyle01"/>
    <w:basedOn w:val="756"/>
    <w:link w:val="779"/>
    <w:rPr>
      <w:rFonts w:ascii="Tahoma" w:hAnsi="Tahoma"/>
      <w:b w:val="0"/>
      <w:i w:val="0"/>
      <w:color w:val="000000"/>
      <w:sz w:val="22"/>
    </w:rPr>
  </w:style>
  <w:style w:type="paragraph" w:styleId="781">
    <w:name w:val="Стиль3"/>
    <w:basedOn w:val="699"/>
    <w:link w:val="782"/>
    <w:pPr>
      <w:ind w:left="720" w:hanging="720"/>
      <w:jc w:val="both"/>
      <w:spacing w:after="0" w:line="240" w:lineRule="auto"/>
      <w:widowControl w:val="off"/>
      <w:tabs>
        <w:tab w:val="left" w:pos="720" w:leader="none"/>
      </w:tabs>
    </w:pPr>
  </w:style>
  <w:style w:type="character" w:styleId="782">
    <w:name w:val="Стиль3"/>
    <w:basedOn w:val="700"/>
    <w:link w:val="781"/>
  </w:style>
  <w:style w:type="paragraph" w:styleId="783">
    <w:name w:val="Normal (Web)"/>
    <w:basedOn w:val="695"/>
    <w:link w:val="784"/>
  </w:style>
  <w:style w:type="character" w:styleId="784">
    <w:name w:val="Normal (Web)"/>
    <w:basedOn w:val="696"/>
    <w:link w:val="783"/>
  </w:style>
  <w:style w:type="paragraph" w:styleId="785">
    <w:name w:val="toc 9"/>
    <w:basedOn w:val="695"/>
    <w:next w:val="695"/>
    <w:link w:val="786"/>
    <w:uiPriority w:val="39"/>
    <w:pPr>
      <w:ind w:left="2268" w:right="0" w:firstLine="0"/>
      <w:spacing w:after="57"/>
    </w:pPr>
  </w:style>
  <w:style w:type="character" w:styleId="786">
    <w:name w:val="toc 9"/>
    <w:basedOn w:val="696"/>
    <w:link w:val="785"/>
  </w:style>
  <w:style w:type="paragraph" w:styleId="787">
    <w:name w:val="Footer"/>
    <w:basedOn w:val="695"/>
    <w:link w:val="788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8">
    <w:name w:val="Footer"/>
    <w:basedOn w:val="696"/>
    <w:link w:val="787"/>
  </w:style>
  <w:style w:type="paragraph" w:styleId="789">
    <w:name w:val="toc 8"/>
    <w:basedOn w:val="695"/>
    <w:next w:val="695"/>
    <w:link w:val="790"/>
    <w:uiPriority w:val="39"/>
    <w:pPr>
      <w:ind w:left="1984" w:right="0" w:firstLine="0"/>
      <w:spacing w:after="57"/>
    </w:pPr>
  </w:style>
  <w:style w:type="character" w:styleId="790">
    <w:name w:val="toc 8"/>
    <w:basedOn w:val="696"/>
    <w:link w:val="789"/>
  </w:style>
  <w:style w:type="paragraph" w:styleId="791">
    <w:name w:val="s_1"/>
    <w:basedOn w:val="695"/>
    <w:link w:val="792"/>
    <w:pPr>
      <w:spacing w:beforeAutospacing="1" w:afterAutospacing="1"/>
    </w:pPr>
  </w:style>
  <w:style w:type="character" w:styleId="792">
    <w:name w:val="s_1"/>
    <w:basedOn w:val="696"/>
    <w:link w:val="791"/>
  </w:style>
  <w:style w:type="paragraph" w:styleId="793">
    <w:name w:val="toc 5"/>
    <w:basedOn w:val="695"/>
    <w:next w:val="695"/>
    <w:link w:val="794"/>
    <w:uiPriority w:val="39"/>
    <w:pPr>
      <w:ind w:left="1134" w:right="0" w:firstLine="0"/>
      <w:spacing w:after="57"/>
    </w:pPr>
  </w:style>
  <w:style w:type="character" w:styleId="794">
    <w:name w:val="toc 5"/>
    <w:basedOn w:val="696"/>
    <w:link w:val="793"/>
  </w:style>
  <w:style w:type="paragraph" w:styleId="795">
    <w:name w:val="Subtitle"/>
    <w:basedOn w:val="695"/>
    <w:next w:val="695"/>
    <w:link w:val="796"/>
    <w:uiPriority w:val="11"/>
    <w:qFormat/>
    <w:pPr>
      <w:jc w:val="center"/>
      <w:spacing w:after="60" w:line="276" w:lineRule="auto"/>
      <w:outlineLvl w:val="1"/>
    </w:pPr>
    <w:rPr>
      <w:rFonts w:ascii="Cambria" w:hAnsi="Cambria"/>
    </w:rPr>
  </w:style>
  <w:style w:type="character" w:styleId="796">
    <w:name w:val="Subtitle"/>
    <w:basedOn w:val="696"/>
    <w:link w:val="795"/>
    <w:rPr>
      <w:rFonts w:ascii="Cambria" w:hAnsi="Cambria"/>
    </w:rPr>
  </w:style>
  <w:style w:type="paragraph" w:styleId="797">
    <w:name w:val="Body Text Indent 3"/>
    <w:basedOn w:val="695"/>
    <w:link w:val="798"/>
    <w:pPr>
      <w:ind w:left="283" w:firstLine="0"/>
      <w:spacing w:after="120"/>
    </w:pPr>
    <w:rPr>
      <w:sz w:val="16"/>
    </w:rPr>
  </w:style>
  <w:style w:type="character" w:styleId="798">
    <w:name w:val="Body Text Indent 3"/>
    <w:basedOn w:val="696"/>
    <w:link w:val="797"/>
    <w:rPr>
      <w:sz w:val="16"/>
    </w:rPr>
  </w:style>
  <w:style w:type="paragraph" w:styleId="799">
    <w:name w:val="List Bullet 3"/>
    <w:basedOn w:val="695"/>
    <w:link w:val="800"/>
    <w:pPr>
      <w:numPr>
        <w:ilvl w:val="0"/>
        <w:numId w:val="12"/>
      </w:numPr>
      <w:jc w:val="both"/>
      <w:spacing w:after="60"/>
    </w:pPr>
  </w:style>
  <w:style w:type="character" w:styleId="800">
    <w:name w:val="List Bullet 3"/>
    <w:basedOn w:val="696"/>
    <w:link w:val="799"/>
  </w:style>
  <w:style w:type="paragraph" w:styleId="801">
    <w:name w:val="Title"/>
    <w:basedOn w:val="695"/>
    <w:next w:val="695"/>
    <w:link w:val="802"/>
    <w:uiPriority w:val="10"/>
    <w:qFormat/>
    <w:pPr>
      <w:contextualSpacing/>
      <w:spacing w:before="300" w:after="200"/>
    </w:pPr>
    <w:rPr>
      <w:sz w:val="48"/>
    </w:rPr>
  </w:style>
  <w:style w:type="character" w:styleId="802">
    <w:name w:val="Title"/>
    <w:basedOn w:val="696"/>
    <w:link w:val="801"/>
    <w:rPr>
      <w:sz w:val="48"/>
    </w:rPr>
  </w:style>
  <w:style w:type="paragraph" w:styleId="803">
    <w:name w:val="Heading 4"/>
    <w:basedOn w:val="695"/>
    <w:next w:val="695"/>
    <w:link w:val="804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804">
    <w:name w:val="Heading 4"/>
    <w:basedOn w:val="696"/>
    <w:link w:val="803"/>
    <w:rPr>
      <w:rFonts w:ascii="Arial" w:hAnsi="Arial"/>
      <w:b/>
      <w:sz w:val="26"/>
    </w:rPr>
  </w:style>
  <w:style w:type="paragraph" w:styleId="805">
    <w:name w:val="List Bullet 2"/>
    <w:basedOn w:val="695"/>
    <w:link w:val="806"/>
    <w:pPr>
      <w:numPr>
        <w:ilvl w:val="0"/>
        <w:numId w:val="13"/>
      </w:numPr>
      <w:jc w:val="both"/>
      <w:spacing w:after="60"/>
    </w:pPr>
  </w:style>
  <w:style w:type="character" w:styleId="806">
    <w:name w:val="List Bullet 2"/>
    <w:basedOn w:val="696"/>
    <w:link w:val="805"/>
  </w:style>
  <w:style w:type="paragraph" w:styleId="807">
    <w:name w:val="TOC Heading"/>
    <w:link w:val="808"/>
  </w:style>
  <w:style w:type="character" w:styleId="808">
    <w:name w:val="TOC Heading"/>
    <w:link w:val="807"/>
  </w:style>
  <w:style w:type="paragraph" w:styleId="809">
    <w:name w:val="Heading 2"/>
    <w:basedOn w:val="695"/>
    <w:next w:val="695"/>
    <w:link w:val="810"/>
    <w:uiPriority w:val="9"/>
    <w:qFormat/>
    <w:pPr>
      <w:keepLines/>
      <w:keepNext/>
      <w:spacing w:before="40"/>
      <w:outlineLvl w:val="1"/>
    </w:pPr>
    <w:rPr>
      <w:rFonts w:asciiTheme="majorAscii" w:hAnsiTheme="majorHAnsi"/>
      <w:color w:val="2e75b5" w:themeColor="accent1" w:themeShade="BF"/>
      <w:sz w:val="26"/>
    </w:rPr>
  </w:style>
  <w:style w:type="character" w:styleId="810">
    <w:name w:val="Heading 2"/>
    <w:basedOn w:val="696"/>
    <w:link w:val="809"/>
    <w:rPr>
      <w:rFonts w:asciiTheme="majorAscii" w:hAnsiTheme="majorHAnsi"/>
      <w:color w:val="2e75b5" w:themeColor="accent1" w:themeShade="BF"/>
      <w:sz w:val="26"/>
    </w:rPr>
  </w:style>
  <w:style w:type="paragraph" w:styleId="811">
    <w:name w:val="Heading 6"/>
    <w:basedOn w:val="695"/>
    <w:next w:val="695"/>
    <w:link w:val="812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812">
    <w:name w:val="Heading 6"/>
    <w:basedOn w:val="696"/>
    <w:link w:val="811"/>
    <w:rPr>
      <w:rFonts w:ascii="Arial" w:hAnsi="Arial"/>
      <w:b/>
      <w:sz w:val="22"/>
    </w:rPr>
  </w:style>
  <w:style w:type="table" w:styleId="813">
    <w:name w:val="List Table 1 Light - Accent 6"/>
    <w:basedOn w:val="910"/>
    <w:pPr>
      <w:spacing w:after="0" w:line="240" w:lineRule="auto"/>
    </w:pPr>
    <w:tblPr>
      <w:tblInd w:w="0" w:type="dxa"/>
    </w:tblPr>
  </w:style>
  <w:style w:type="table" w:styleId="814">
    <w:name w:val="List Table 4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15">
    <w:name w:val="Grid Table 4"/>
    <w:basedOn w:val="91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16">
    <w:name w:val="Bordered &amp; Lined - Accent 2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17">
    <w:name w:val="List Table 3"/>
    <w:basedOn w:val="91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18">
    <w:name w:val="List Table 6 Colorful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19">
    <w:name w:val="Lined - Accent 6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20">
    <w:name w:val="List Table 4"/>
    <w:basedOn w:val="91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21">
    <w:name w:val="Bordered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22">
    <w:name w:val="List Table 5 Dark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23">
    <w:name w:val="Grid Table 4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24">
    <w:name w:val="List Table 1 Light - Accent 4"/>
    <w:basedOn w:val="910"/>
    <w:pPr>
      <w:spacing w:after="0" w:line="240" w:lineRule="auto"/>
    </w:pPr>
    <w:tblPr>
      <w:tblInd w:w="0" w:type="dxa"/>
    </w:tblPr>
  </w:style>
  <w:style w:type="table" w:styleId="825">
    <w:name w:val="Lined - Accent 4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26">
    <w:name w:val="Grid Table 4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27">
    <w:name w:val="Bordered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28">
    <w:name w:val="Grid Table 7 Colorful - Accent 3"/>
    <w:basedOn w:val="91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29">
    <w:name w:val="List Table 4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30">
    <w:name w:val="List Table 4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31">
    <w:name w:val="Grid Table 6 Colorful - Accent 6"/>
    <w:basedOn w:val="910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32">
    <w:name w:val="List Table 3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33">
    <w:name w:val="Bordered &amp; Lined - Accent 4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34">
    <w:name w:val="Grid Table 7 Colorful - Accent 5"/>
    <w:basedOn w:val="910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5">
    <w:name w:val="List Table 7 Colorful - Accent 1"/>
    <w:basedOn w:val="910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836">
    <w:name w:val="List Table 7 Colorful - Accent 6"/>
    <w:basedOn w:val="910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37">
    <w:name w:val="Grid Table 2 - Accent 2"/>
    <w:basedOn w:val="91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8">
    <w:name w:val="Grid Table 3 - Accent 3"/>
    <w:basedOn w:val="91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39">
    <w:name w:val="Grid Table 3"/>
    <w:basedOn w:val="91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40">
    <w:name w:val="List Table 1 Light - Accent 3"/>
    <w:basedOn w:val="910"/>
    <w:pPr>
      <w:spacing w:after="0" w:line="240" w:lineRule="auto"/>
    </w:pPr>
    <w:tblPr>
      <w:tblInd w:w="0" w:type="dxa"/>
    </w:tblPr>
  </w:style>
  <w:style w:type="table" w:styleId="841">
    <w:name w:val="List Table 3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42">
    <w:name w:val="Grid Table 3 - Accent 4"/>
    <w:basedOn w:val="91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3">
    <w:name w:val="Bordered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44">
    <w:name w:val="List Table 7 Colorful - Accent 4"/>
    <w:basedOn w:val="910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45">
    <w:name w:val="Plain Table 4"/>
    <w:basedOn w:val="910"/>
    <w:pPr>
      <w:spacing w:after="0" w:line="240" w:lineRule="auto"/>
    </w:pPr>
    <w:tblPr>
      <w:tblInd w:w="0" w:type="dxa"/>
    </w:tblPr>
  </w:style>
  <w:style w:type="table" w:styleId="846">
    <w:name w:val="List Table 5 Dark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47">
    <w:name w:val="Grid Table 2 - Accent 3"/>
    <w:basedOn w:val="91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8">
    <w:name w:val="Grid Table 1 Light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49">
    <w:name w:val="Lined - Accent 2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50">
    <w:name w:val="Grid Table 6 Colorful"/>
    <w:basedOn w:val="91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51">
    <w:name w:val="List Table 2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52">
    <w:name w:val="Grid Table 2 - Accent 4"/>
    <w:basedOn w:val="91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53">
    <w:name w:val="List Table 2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54">
    <w:name w:val="Grid Table 5 Dark - Accent 5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5">
    <w:name w:val="List Table 5 Dark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56">
    <w:name w:val="List Table 4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7">
    <w:name w:val="Bordered &amp; Lined - Accent 6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58">
    <w:name w:val="Lined - Accent 5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59">
    <w:name w:val="Bordered"/>
    <w:basedOn w:val="910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60">
    <w:name w:val="Grid Table 6 Colorful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61">
    <w:name w:val="List Table 5 Dark - Accent 1"/>
    <w:basedOn w:val="910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62">
    <w:name w:val="Table Grid"/>
    <w:basedOn w:val="91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3">
    <w:name w:val="List Table 1 Light - Accent 2"/>
    <w:basedOn w:val="910"/>
    <w:pPr>
      <w:spacing w:after="0" w:line="240" w:lineRule="auto"/>
    </w:pPr>
    <w:tblPr>
      <w:tblInd w:w="0" w:type="dxa"/>
    </w:tblPr>
  </w:style>
  <w:style w:type="table" w:styleId="864">
    <w:name w:val="List Table 6 Colorful"/>
    <w:basedOn w:val="91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65">
    <w:name w:val="Plain Table 3"/>
    <w:basedOn w:val="910"/>
    <w:pPr>
      <w:spacing w:after="0" w:line="240" w:lineRule="auto"/>
    </w:pPr>
    <w:tblPr>
      <w:tblInd w:w="0" w:type="dxa"/>
    </w:tblPr>
  </w:style>
  <w:style w:type="table" w:styleId="866">
    <w:name w:val="Grid Table 4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67">
    <w:name w:val="List Table 7 Colorful"/>
    <w:basedOn w:val="910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68">
    <w:name w:val="List Table 2"/>
    <w:basedOn w:val="91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69">
    <w:name w:val="List Table 2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70">
    <w:name w:val="Grid Table 4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71">
    <w:name w:val="Bordered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72">
    <w:name w:val="List Table 3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73">
    <w:name w:val="Grid Table 6 Colorful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4">
    <w:name w:val="List Table 1 Light - Accent 1"/>
    <w:basedOn w:val="910"/>
    <w:pPr>
      <w:spacing w:after="0" w:line="240" w:lineRule="auto"/>
    </w:pPr>
    <w:tblPr>
      <w:tblInd w:w="0" w:type="dxa"/>
    </w:tblPr>
  </w:style>
  <w:style w:type="table" w:styleId="875">
    <w:name w:val="Grid Table 2 - Accent 5"/>
    <w:basedOn w:val="91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76">
    <w:name w:val="List Table 7 Colorful - Accent 2"/>
    <w:basedOn w:val="910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77">
    <w:name w:val="List Table 6 Colorful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78">
    <w:name w:val="Table Grid Light"/>
    <w:basedOn w:val="91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9">
    <w:name w:val="List Table 1 Light"/>
    <w:basedOn w:val="910"/>
    <w:pPr>
      <w:spacing w:after="0" w:line="240" w:lineRule="auto"/>
    </w:pPr>
    <w:tblPr>
      <w:tblInd w:w="0" w:type="dxa"/>
    </w:tblPr>
  </w:style>
  <w:style w:type="table" w:styleId="880">
    <w:name w:val="Grid Table 2"/>
    <w:basedOn w:val="91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81">
    <w:name w:val="Grid Table 6 Colorful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82">
    <w:name w:val="List Table 5 Dark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83">
    <w:name w:val="Grid Table 3 - Accent 2"/>
    <w:basedOn w:val="91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84">
    <w:name w:val="Grid Table 2 - Accent 6"/>
    <w:basedOn w:val="91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85">
    <w:name w:val="Bordered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86">
    <w:name w:val="Bordered &amp; Lined - Accent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87">
    <w:name w:val="Grid Table 1 Light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88">
    <w:name w:val="Plain Table 5"/>
    <w:basedOn w:val="910"/>
    <w:pPr>
      <w:spacing w:after="0" w:line="240" w:lineRule="auto"/>
    </w:pPr>
    <w:tblPr>
      <w:tblInd w:w="0" w:type="dxa"/>
    </w:tblPr>
  </w:style>
  <w:style w:type="table" w:styleId="889">
    <w:name w:val="Grid Table 4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90">
    <w:name w:val="Grid Table 1 Light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91">
    <w:name w:val="Bordered &amp; Lined - Accent 1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92">
    <w:name w:val="Lined - Accent 3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93">
    <w:name w:val="Lined - Accent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894">
    <w:name w:val="List Table 2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95">
    <w:name w:val="Grid Table 1 Light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96">
    <w:name w:val="Grid Table 5 Dark - Accent 3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97">
    <w:name w:val="List Table 7 Colorful - Accent 5"/>
    <w:basedOn w:val="910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98">
    <w:name w:val="List Table 5 Dark"/>
    <w:basedOn w:val="910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99">
    <w:name w:val="List Table 3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00">
    <w:name w:val="Grid Table 1 Light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01">
    <w:name w:val="List Table 6 Colorful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902">
    <w:name w:val="List Table 6 Colorful - Accent 1"/>
    <w:basedOn w:val="910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903">
    <w:name w:val="List Table 3 - Accent 1"/>
    <w:basedOn w:val="910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04">
    <w:name w:val="Lined - Accent 1"/>
    <w:basedOn w:val="910"/>
    <w:pPr>
      <w:spacing w:after="0" w:line="240" w:lineRule="auto"/>
    </w:pPr>
    <w:rPr>
      <w:color w:val="404040"/>
    </w:rPr>
    <w:tblPr>
      <w:tblInd w:w="0" w:type="dxa"/>
    </w:tblPr>
  </w:style>
  <w:style w:type="table" w:styleId="905">
    <w:name w:val="Grid Table 7 Colorful - Accent 1"/>
    <w:basedOn w:val="910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06">
    <w:name w:val="Bordered &amp; Lined - Accent 5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907">
    <w:name w:val="Grid Table 7 Colorful - Accent 6"/>
    <w:basedOn w:val="910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08">
    <w:name w:val="List Table 4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09">
    <w:name w:val="Plain Table 1"/>
    <w:basedOn w:val="91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1">
    <w:name w:val="Bordered &amp; Lined - Accent 3"/>
    <w:basedOn w:val="91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12">
    <w:name w:val="Grid Table 7 Colorful"/>
    <w:basedOn w:val="910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13">
    <w:name w:val="Grid Table 6 Colorful - Accent 5"/>
    <w:basedOn w:val="910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14">
    <w:name w:val="List Table 5 Dark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915">
    <w:name w:val="List Table 1 Light - Accent 5"/>
    <w:basedOn w:val="910"/>
    <w:pPr>
      <w:spacing w:after="0" w:line="240" w:lineRule="auto"/>
    </w:pPr>
    <w:tblPr>
      <w:tblInd w:w="0" w:type="dxa"/>
    </w:tblPr>
  </w:style>
  <w:style w:type="table" w:styleId="916">
    <w:name w:val="List Table 6 Colorful - Accent 3"/>
    <w:basedOn w:val="91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917">
    <w:name w:val="Grid Table 4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18">
    <w:name w:val="List Table 4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19">
    <w:name w:val="Grid Table 2 - Accent 1"/>
    <w:basedOn w:val="91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20">
    <w:name w:val="List Table 2 - Accent 6"/>
    <w:basedOn w:val="91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21">
    <w:name w:val="Grid Table 1 Light"/>
    <w:basedOn w:val="910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922">
    <w:name w:val="Grid Table 7 Colorful - Accent 2"/>
    <w:basedOn w:val="91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23">
    <w:name w:val="List Table 3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924">
    <w:name w:val="Grid Table 3 - Accent 6"/>
    <w:basedOn w:val="91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25">
    <w:name w:val="List Table 2 - Accent 1"/>
    <w:basedOn w:val="91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26">
    <w:name w:val="Grid Table 1 Light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27">
    <w:name w:val="Grid Table 5 Dark- Accent 1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28">
    <w:name w:val="Grid Table 7 Colorful - Accent 4"/>
    <w:basedOn w:val="91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29">
    <w:name w:val="Grid Table 3 - Accent 1"/>
    <w:basedOn w:val="91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30">
    <w:name w:val="Grid Table 3 - Accent 5"/>
    <w:basedOn w:val="91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31">
    <w:name w:val="Grid Table 5 Dark- Accent 4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32">
    <w:name w:val="List Table 6 Colorful - Accent 2"/>
    <w:basedOn w:val="91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33">
    <w:name w:val="Grid Table 5 Dark - Accent 2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34">
    <w:name w:val="Grid Table 5 Dark - Accent 6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35">
    <w:name w:val="List Table 7 Colorful - Accent 3"/>
    <w:basedOn w:val="910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936">
    <w:name w:val="Bordered - Accent 5"/>
    <w:basedOn w:val="91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37">
    <w:name w:val="Grid Table 6 Colorful - Accent 4"/>
    <w:basedOn w:val="91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38">
    <w:name w:val="Grid Table 5 Dark"/>
    <w:basedOn w:val="91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39">
    <w:name w:val="Plain Table 2"/>
    <w:basedOn w:val="91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anastasiya.dubovaya</cp:lastModifiedBy>
  <cp:revision>3</cp:revision>
  <dcterms:modified xsi:type="dcterms:W3CDTF">2026-08-31T02:39:56Z</dcterms:modified>
</cp:coreProperties>
</file>