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13</w:t>
      </w:r>
      <w:r>
        <w:rPr>
          <w:b/>
          <w:bCs/>
        </w:rPr>
        <w:t>6</w:t>
      </w:r>
      <w:r>
        <w:rPr>
          <w:b/>
          <w:bCs/>
        </w:rPr>
        <w:t>/26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b/>
          <w:bCs/>
        </w:rPr>
        <w:t xml:space="preserve">Манжеты </w:t>
      </w:r>
      <w:r>
        <w:rPr>
          <w:b/>
          <w:bCs/>
        </w:rPr>
        <w:t>для мониторов</w:t>
      </w:r>
      <w:r>
        <w:rPr/>
        <w:t xml:space="preserve"> 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text1" w:val="000000"/>
          <w:sz w:val="24"/>
          <w:lang w:val="ru-RU"/>
        </w:rPr>
        <w:t xml:space="preserve">. </w:t>
      </w:r>
      <w:r>
        <w:rPr>
          <w:rFonts w:eastAsia="Times New Roman"/>
          <w:color w:themeColor="text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осуществляется в период с даты, следующей за датой заключения контракта до 06.11.2026г. календарных</w:t>
      </w:r>
      <w:r>
        <w:rPr>
          <w:shd w:fill="auto" w:val="clear"/>
        </w:rPr>
        <w:t xml:space="preserve"> дней. Единовременно.  Поставщик обязан уведомить Заказчика  о дате  поставки товара не менее чем за 3 (три) рабочих дня до предполагаемой даты поставки.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Настоящий Контракт вступает в силу с момента заключения и дейс</w:t>
      </w:r>
      <w:r>
        <w:rPr>
          <w:rFonts w:ascii="Times New Roman" w:hAnsi="Times New Roman"/>
          <w:sz w:val="20"/>
          <w:szCs w:val="20"/>
          <w:shd w:fill="auto" w:val="clear"/>
        </w:rPr>
        <w:t>твует до 15.12.2026 г., а в</w:t>
      </w:r>
      <w:r>
        <w:rPr>
          <w:rFonts w:ascii="Times New Roman" w:hAnsi="Times New Roman"/>
          <w:sz w:val="20"/>
          <w:szCs w:val="20"/>
        </w:rPr>
        <w:t xml:space="preserve">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false"/>
              <w:spacing w:before="0" w:after="0"/>
              <w:jc w:val="left"/>
              <w:textAlignment w:val="auto"/>
              <w:rPr>
                <w:b/>
                <w:szCs w:val="24"/>
              </w:rPr>
            </w:pPr>
            <w:r>
              <w:rPr>
                <w:b/>
                <w:szCs w:val="24"/>
              </w:rPr>
            </w:r>
          </w:p>
          <w:p>
            <w:pPr>
              <w:pStyle w:val="Normal"/>
              <w:widowControl/>
              <w:overflowPunct w:val="fals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false"/>
              <w:spacing w:before="0" w:after="0"/>
              <w:jc w:val="left"/>
              <w:textAlignment w:val="auto"/>
              <w:rPr>
                <w:szCs w:val="24"/>
              </w:rPr>
            </w:pPr>
            <w:r>
              <w:rPr>
                <w:szCs w:val="24"/>
              </w:rPr>
              <w:t>ИНН 4205012290  КПП 420501001</w:t>
            </w:r>
          </w:p>
          <w:p>
            <w:pPr>
              <w:pStyle w:val="Normal"/>
              <w:widowControl/>
              <w:overflowPunct w:val="false"/>
              <w:spacing w:before="0" w:after="0"/>
              <w:jc w:val="left"/>
              <w:textAlignment w:val="auto"/>
              <w:rPr>
                <w:szCs w:val="24"/>
              </w:rPr>
            </w:pPr>
            <w:r>
              <w:rPr>
                <w:szCs w:val="24"/>
              </w:rPr>
              <w:t>р/с 03214643000000015106</w:t>
            </w:r>
          </w:p>
          <w:p>
            <w:pPr>
              <w:pStyle w:val="Normal"/>
              <w:widowControl/>
              <w:overflowPunct w:val="fals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false"/>
              <w:spacing w:before="0" w:after="0"/>
              <w:jc w:val="left"/>
              <w:textAlignment w:val="auto"/>
              <w:rPr>
                <w:szCs w:val="24"/>
              </w:rPr>
            </w:pPr>
            <w:r>
              <w:rPr>
                <w:szCs w:val="24"/>
              </w:rPr>
              <w:t>БИК 015004950</w:t>
            </w:r>
          </w:p>
          <w:p>
            <w:pPr>
              <w:pStyle w:val="Normal"/>
              <w:widowControl/>
              <w:overflowPunct w:val="false"/>
              <w:spacing w:before="0" w:after="0"/>
              <w:jc w:val="left"/>
              <w:textAlignment w:val="auto"/>
              <w:rPr>
                <w:szCs w:val="24"/>
              </w:rPr>
            </w:pPr>
            <w:r>
              <w:rPr>
                <w:szCs w:val="24"/>
              </w:rPr>
              <w:t>к/с 40102810445370000043</w:t>
            </w:r>
          </w:p>
          <w:p>
            <w:pPr>
              <w:pStyle w:val="Normal"/>
              <w:widowControl/>
              <w:overflowPunct w:val="fals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false"/>
              <w:spacing w:before="0" w:after="0"/>
              <w:jc w:val="left"/>
              <w:textAlignment w:val="auto"/>
              <w:rPr>
                <w:szCs w:val="24"/>
              </w:rPr>
            </w:pPr>
            <w:r>
              <w:rPr>
                <w:szCs w:val="24"/>
              </w:rPr>
              <w:t>ОГРН 1034205024479</w:t>
            </w:r>
          </w:p>
          <w:p>
            <w:pPr>
              <w:pStyle w:val="Normal"/>
              <w:widowControl/>
              <w:overflowPunct w:val="false"/>
              <w:spacing w:before="0" w:after="0"/>
              <w:jc w:val="left"/>
              <w:textAlignment w:val="auto"/>
              <w:rPr>
                <w:szCs w:val="24"/>
              </w:rPr>
            </w:pPr>
            <w:r>
              <w:rPr>
                <w:szCs w:val="24"/>
              </w:rPr>
              <w:t>ОКПО 55608705</w:t>
            </w:r>
          </w:p>
          <w:p>
            <w:pPr>
              <w:pStyle w:val="Normal"/>
              <w:widowControl/>
              <w:overflowPunct w:val="false"/>
              <w:spacing w:before="0" w:after="0"/>
              <w:jc w:val="left"/>
              <w:textAlignment w:val="auto"/>
              <w:rPr>
                <w:szCs w:val="24"/>
              </w:rPr>
            </w:pPr>
            <w:r>
              <w:rPr>
                <w:szCs w:val="24"/>
              </w:rPr>
              <w:t>ОКАТО 32401000000</w:t>
            </w:r>
          </w:p>
          <w:p>
            <w:pPr>
              <w:pStyle w:val="Normal"/>
              <w:widowControl/>
              <w:overflowPunct w:val="false"/>
              <w:spacing w:before="0" w:after="0"/>
              <w:jc w:val="left"/>
              <w:textAlignment w:val="auto"/>
              <w:rPr>
                <w:szCs w:val="24"/>
              </w:rPr>
            </w:pPr>
            <w:r>
              <w:rPr>
                <w:szCs w:val="24"/>
              </w:rPr>
              <w:t>ОКТМО 32701000</w:t>
            </w:r>
          </w:p>
          <w:p>
            <w:pPr>
              <w:pStyle w:val="Normal"/>
              <w:widowControl/>
              <w:overflowPunct w:val="false"/>
              <w:spacing w:before="0" w:after="0"/>
              <w:jc w:val="left"/>
              <w:textAlignment w:val="auto"/>
              <w:rPr>
                <w:szCs w:val="24"/>
              </w:rPr>
            </w:pPr>
            <w:r>
              <w:rPr>
                <w:szCs w:val="24"/>
              </w:rPr>
              <w:t>ОКОГУ 1330612</w:t>
            </w:r>
          </w:p>
          <w:p>
            <w:pPr>
              <w:pStyle w:val="Normal"/>
              <w:widowControl/>
              <w:overflowPunct w:val="false"/>
              <w:spacing w:before="0" w:after="0"/>
              <w:jc w:val="left"/>
              <w:textAlignment w:val="auto"/>
              <w:rPr>
                <w:szCs w:val="24"/>
              </w:rPr>
            </w:pPr>
            <w:r>
              <w:rPr>
                <w:szCs w:val="24"/>
              </w:rPr>
              <w:t>ОКФС 12</w:t>
            </w:r>
          </w:p>
          <w:p>
            <w:pPr>
              <w:pStyle w:val="Normal"/>
              <w:widowControl/>
              <w:overflowPunct w:val="false"/>
              <w:spacing w:before="0" w:after="0"/>
              <w:jc w:val="left"/>
              <w:textAlignment w:val="auto"/>
              <w:rPr>
                <w:szCs w:val="24"/>
              </w:rPr>
            </w:pPr>
            <w:r>
              <w:rPr>
                <w:szCs w:val="24"/>
              </w:rPr>
              <w:t>ОКОПФ 75103</w:t>
            </w:r>
          </w:p>
          <w:p>
            <w:pPr>
              <w:pStyle w:val="Normal"/>
              <w:widowControl/>
              <w:overflowPunct w:val="false"/>
              <w:spacing w:before="0" w:after="0"/>
              <w:jc w:val="left"/>
              <w:textAlignment w:val="auto"/>
              <w:rPr>
                <w:szCs w:val="24"/>
              </w:rPr>
            </w:pPr>
            <w:r>
              <w:rPr>
                <w:b/>
                <w:szCs w:val="24"/>
              </w:rPr>
              <w:t>ОКВЭД 72.19</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pPr>
            <w:r>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rFonts w:ascii="Times New Roman" w:hAnsi="Times New Roman"/>
          <w:sz w:val="20"/>
          <w:szCs w:val="20"/>
        </w:rPr>
      </w:pPr>
      <w:r>
        <w:rPr>
          <w:sz w:val="20"/>
          <w:szCs w:val="20"/>
        </w:rPr>
        <w:t xml:space="preserve">Приложение №1 </w:t>
      </w:r>
    </w:p>
    <w:p>
      <w:pPr>
        <w:pStyle w:val="Normal"/>
        <w:spacing w:before="0" w:after="60"/>
        <w:jc w:val="right"/>
        <w:rPr>
          <w:rFonts w:ascii="Times New Roman" w:hAnsi="Times New Roman"/>
          <w:sz w:val="20"/>
          <w:szCs w:val="20"/>
        </w:rPr>
      </w:pPr>
      <w:r>
        <w:rPr>
          <w:sz w:val="20"/>
          <w:szCs w:val="20"/>
        </w:rPr>
        <w:t xml:space="preserve">                                                                                                                         </w:t>
      </w:r>
      <w:bookmarkStart w:id="10" w:name="_Hlk180496427"/>
      <w:r>
        <w:rPr>
          <w:sz w:val="20"/>
          <w:szCs w:val="20"/>
        </w:rPr>
        <w:t xml:space="preserve">к Контракту </w:t>
      </w:r>
      <w:r>
        <w:rPr>
          <w:b/>
          <w:bCs/>
          <w:sz w:val="20"/>
          <w:szCs w:val="20"/>
        </w:rPr>
        <w:t>№ 13</w:t>
      </w:r>
      <w:r>
        <w:rPr>
          <w:b/>
          <w:bCs/>
          <w:sz w:val="20"/>
          <w:szCs w:val="20"/>
        </w:rPr>
        <w:t>6</w:t>
      </w:r>
      <w:r>
        <w:rPr>
          <w:b/>
          <w:bCs/>
          <w:sz w:val="20"/>
          <w:szCs w:val="20"/>
        </w:rPr>
        <w:t>/26</w:t>
      </w:r>
    </w:p>
    <w:p>
      <w:pPr>
        <w:pStyle w:val="Normal"/>
        <w:spacing w:before="0" w:after="60"/>
        <w:jc w:val="right"/>
        <w:rPr>
          <w:rFonts w:ascii="Times New Roman" w:hAnsi="Times New Roman"/>
          <w:sz w:val="20"/>
          <w:szCs w:val="20"/>
        </w:rPr>
      </w:pPr>
      <w:r>
        <w:rPr>
          <w:sz w:val="20"/>
          <w:szCs w:val="20"/>
        </w:rPr>
        <w:t xml:space="preserve">                                                                                                                                </w:t>
      </w:r>
      <w:r>
        <w:rPr>
          <w:rFonts w:eastAsia="Calibri"/>
          <w:sz w:val="20"/>
          <w:szCs w:val="20"/>
          <w:lang w:eastAsia="en-US"/>
        </w:rPr>
        <w:t>«      »               2026г.</w:t>
      </w:r>
      <w:bookmarkEnd w:id="10"/>
    </w:p>
    <w:p>
      <w:pPr>
        <w:pStyle w:val="Normal"/>
        <w:spacing w:before="0" w:after="60"/>
        <w:jc w:val="center"/>
        <w:rPr>
          <w:rFonts w:ascii="Times New Roman" w:hAnsi="Times New Roman"/>
          <w:sz w:val="20"/>
          <w:szCs w:val="20"/>
        </w:rPr>
      </w:pPr>
      <w:r>
        <w:rPr>
          <w:b/>
          <w:bCs/>
          <w:sz w:val="20"/>
          <w:szCs w:val="20"/>
        </w:rPr>
        <w:t>Спецификация</w:t>
      </w:r>
    </w:p>
    <w:p>
      <w:pPr>
        <w:pStyle w:val="Normal"/>
        <w:spacing w:before="0" w:after="60"/>
        <w:jc w:val="center"/>
        <w:rPr>
          <w:rFonts w:ascii="Times New Roman" w:hAnsi="Times New Roman"/>
          <w:b/>
          <w:bCs/>
          <w:sz w:val="20"/>
          <w:szCs w:val="20"/>
        </w:rPr>
      </w:pPr>
      <w:r>
        <w:rPr>
          <w:b/>
          <w:bCs/>
          <w:sz w:val="20"/>
          <w:szCs w:val="20"/>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w:t>
            </w:r>
          </w:p>
          <w:p>
            <w:pPr>
              <w:pStyle w:val="Normal"/>
              <w:widowControl w:val="false"/>
              <w:jc w:val="center"/>
              <w:rPr>
                <w:rFonts w:ascii="Times New Roman" w:hAnsi="Times New Roman"/>
                <w:sz w:val="20"/>
                <w:szCs w:val="20"/>
              </w:rPr>
            </w:pPr>
            <w:r>
              <w:rPr>
                <w:sz w:val="20"/>
                <w:szCs w:val="20"/>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szCs w:val="20"/>
              </w:rPr>
            </w:pPr>
            <w:r>
              <w:rPr>
                <w:sz w:val="20"/>
                <w:szCs w:val="20"/>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color w:val="000000"/>
                <w:spacing w:val="-11"/>
                <w:sz w:val="20"/>
                <w:szCs w:val="20"/>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Normal"/>
              <w:bidi w:val="0"/>
              <w:jc w:val="left"/>
              <w:rPr>
                <w:sz w:val="20"/>
                <w:szCs w:val="20"/>
              </w:rPr>
            </w:pPr>
            <w:r>
              <w:rPr>
                <w:rFonts w:cs="Times New Roman" w:ascii="Times New Roman" w:hAnsi="Times New Roman"/>
                <w:b w:val="false"/>
                <w:i w:val="false"/>
                <w:strike w:val="false"/>
                <w:dstrike w:val="false"/>
                <w:outline w:val="false"/>
                <w:shadow w:val="false"/>
                <w:color w:val="000000"/>
                <w:kern w:val="0"/>
                <w:sz w:val="20"/>
                <w:szCs w:val="20"/>
                <w:u w:val="none"/>
                <w:shd w:fill="FFFFFF" w:val="clear"/>
                <w:em w:val="none"/>
                <w:lang w:val="ru-RU" w:bidi="ar-SA"/>
              </w:rPr>
              <w:t xml:space="preserve">Манжета </w:t>
            </w:r>
            <w:r>
              <w:rPr>
                <w:rFonts w:ascii="Times New Roman" w:hAnsi="Times New Roman"/>
                <w:b w:val="false"/>
                <w:i w:val="false"/>
                <w:strike w:val="false"/>
                <w:dstrike w:val="false"/>
                <w:outline w:val="false"/>
                <w:shadow w:val="false"/>
                <w:color w:val="000000"/>
                <w:sz w:val="20"/>
                <w:szCs w:val="20"/>
                <w:u w:val="none"/>
                <w:em w:val="none"/>
              </w:rPr>
              <w:t>для неинвазивного измерения давления многоразовая с пневмокамерой с текстильной застежкой (липучкой)</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Подключение трубок манжеты НИАД осуществляется через специальный коннектор, встроенный в трубку НИАД или через коннектор, который входит в состав системы мониторинга</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Размер обхвата плеча (бедра) от 33 до 47 см</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Кол-во трубок: однотрубная</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Длина шлангов манжеты 50 см ± 1 см</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Ширина манжеты 180 мм ± 5 мм</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Длина манжеты 630 мм ± 5 мм</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Диаметр трубки: внутренний 4 мм ± 0,2 мм, наружный 8 мм ± 0,3 мм</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Выдерживает не менее 150 циклов обработки</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Материал изготовления: нейлон</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Максимальное давление, которое выдерживает манжета - 350 мм. рт.</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Пиктограмма индикации размера, возрастной группы, окружности плеча (бедра), не содержат латекса.</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Год выпуска не ранее 202</w:t>
            </w:r>
            <w:r>
              <w:rPr>
                <w:rFonts w:ascii="Times New Roman" w:hAnsi="Times New Roman"/>
                <w:b w:val="false"/>
                <w:i w:val="false"/>
                <w:strike w:val="false"/>
                <w:dstrike w:val="false"/>
                <w:outline w:val="false"/>
                <w:shadow w:val="false"/>
                <w:color w:val="000000"/>
                <w:sz w:val="20"/>
                <w:szCs w:val="20"/>
                <w:u w:val="none"/>
                <w:em w:val="none"/>
              </w:rPr>
              <w:t xml:space="preserve">5 </w:t>
            </w:r>
            <w:r>
              <w:rPr>
                <w:rFonts w:ascii="Times New Roman" w:hAnsi="Times New Roman"/>
                <w:b w:val="false"/>
                <w:i w:val="false"/>
                <w:strike w:val="false"/>
                <w:dstrike w:val="false"/>
                <w:outline w:val="false"/>
                <w:shadow w:val="false"/>
                <w:color w:val="000000"/>
                <w:sz w:val="20"/>
                <w:szCs w:val="20"/>
                <w:u w:val="none"/>
                <w:em w:val="none"/>
              </w:rPr>
              <w:t>года</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Общий срок годности 3 года</w:t>
            </w:r>
          </w:p>
          <w:p>
            <w:pPr>
              <w:pStyle w:val="Normal"/>
              <w:bidi w:val="0"/>
              <w:jc w:val="left"/>
              <w:rPr>
                <w:sz w:val="20"/>
                <w:szCs w:val="20"/>
              </w:rPr>
            </w:pPr>
            <w:r>
              <w:rPr>
                <w:rFonts w:ascii="Times New Roman" w:hAnsi="Times New Roman"/>
                <w:b w:val="false"/>
                <w:i w:val="false"/>
                <w:strike w:val="false"/>
                <w:dstrike w:val="false"/>
                <w:outline w:val="false"/>
                <w:shadow w:val="false"/>
                <w:color w:val="000000"/>
                <w:sz w:val="20"/>
                <w:szCs w:val="20"/>
                <w:u w:val="none"/>
                <w:em w:val="none"/>
              </w:rPr>
              <w:t>Остаточный срок годности на момент поставки не менее 24 месяцев</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ОКПД 2:</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РУ:</w:t>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5</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b/>
                <w:bCs/>
                <w:sz w:val="20"/>
                <w:szCs w:val="20"/>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rFonts w:ascii="Times New Roman" w:hAnsi="Times New Roman"/>
                <w:sz w:val="20"/>
                <w:szCs w:val="20"/>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rFonts w:ascii="Times New Roman" w:hAnsi="Times New Roman"/>
                <w:sz w:val="20"/>
                <w:szCs w:val="20"/>
              </w:rPr>
            </w:pPr>
            <w:r>
              <w:rPr>
                <w:sz w:val="20"/>
                <w:szCs w:val="20"/>
                <w:shd w:fill="auto" w:val="clear"/>
              </w:rPr>
              <w:t>____________</w:t>
            </w:r>
          </w:p>
          <w:p>
            <w:pPr>
              <w:pStyle w:val="Normal"/>
              <w:tabs>
                <w:tab w:val="clear" w:pos="708"/>
                <w:tab w:val="left" w:pos="7680" w:leader="none"/>
              </w:tabs>
              <w:rPr>
                <w:rFonts w:ascii="Times New Roman" w:hAnsi="Times New Roman"/>
                <w:sz w:val="20"/>
                <w:szCs w:val="20"/>
              </w:rPr>
            </w:pPr>
            <w:r>
              <w:rPr>
                <w:sz w:val="20"/>
                <w:szCs w:val="20"/>
                <w:shd w:fill="auto" w:val="clear"/>
              </w:rPr>
              <w:t>м.п.</w:t>
            </w:r>
          </w:p>
        </w:tc>
        <w:tc>
          <w:tcPr>
            <w:tcW w:w="849"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407"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1419"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870"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tc>
        <w:tc>
          <w:tcPr>
            <w:tcW w:w="3405" w:type="dxa"/>
            <w:gridSpan w:val="2"/>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b/>
                <w:color w:val="000000"/>
                <w:sz w:val="20"/>
                <w:szCs w:val="20"/>
                <w:highlight w:val="none"/>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sz w:val="20"/>
                <w:szCs w:val="20"/>
              </w:rPr>
            </w:pPr>
            <w:r>
              <w:rPr>
                <w:b/>
                <w:color w:val="000000"/>
                <w:sz w:val="20"/>
                <w:szCs w:val="20"/>
                <w:shd w:fill="auto" w:val="clear"/>
              </w:rPr>
              <w:t>Поставщик</w:t>
            </w:r>
          </w:p>
          <w:p>
            <w:pPr>
              <w:pStyle w:val="Normal"/>
              <w:tabs>
                <w:tab w:val="clear" w:pos="708"/>
                <w:tab w:val="left" w:pos="7680" w:leader="none"/>
              </w:tabs>
              <w:rPr>
                <w:rFonts w:ascii="Times New Roman" w:hAnsi="Times New Roman"/>
                <w:sz w:val="20"/>
                <w:szCs w:val="20"/>
              </w:rPr>
            </w:pPr>
            <w:r>
              <w:rPr>
                <w:bCs/>
                <w:color w:val="000000"/>
                <w:sz w:val="20"/>
                <w:szCs w:val="20"/>
                <w:shd w:fill="auto" w:val="clear"/>
              </w:rPr>
              <w:t>______________/</w:t>
            </w:r>
            <w:r>
              <w:rPr>
                <w:sz w:val="20"/>
                <w:szCs w:val="20"/>
                <w:shd w:fill="auto" w:val="clear"/>
              </w:rPr>
              <w:t xml:space="preserve"> </w:t>
            </w:r>
            <w:r>
              <w:rPr>
                <w:bCs/>
                <w:color w:val="000000"/>
                <w:sz w:val="20"/>
                <w:szCs w:val="20"/>
                <w:shd w:fill="auto" w:val="clear"/>
              </w:rPr>
              <w:t>______________</w:t>
            </w:r>
          </w:p>
          <w:p>
            <w:pPr>
              <w:pStyle w:val="Normal"/>
              <w:rPr>
                <w:rFonts w:ascii="Times New Roman" w:hAnsi="Times New Roman"/>
                <w:sz w:val="20"/>
                <w:szCs w:val="20"/>
              </w:rPr>
            </w:pPr>
            <w:r>
              <w:rPr>
                <w:sz w:val="20"/>
                <w:szCs w:val="20"/>
                <w:shd w:fill="auto" w:val="clear"/>
              </w:rPr>
              <w:t>м.п.</w:t>
            </w:r>
          </w:p>
        </w:tc>
      </w:tr>
    </w:tbl>
    <w:p>
      <w:pPr>
        <w:pStyle w:val="Normal"/>
        <w:spacing w:before="0" w:after="60"/>
        <w:rPr>
          <w:rFonts w:ascii="Times New Roman" w:hAnsi="Times New Roman"/>
          <w:b/>
          <w:bCs/>
          <w:sz w:val="20"/>
          <w:szCs w:val="20"/>
        </w:rPr>
      </w:pPr>
      <w:r>
        <w:rPr>
          <w:b/>
          <w:bCs/>
          <w:sz w:val="20"/>
          <w:szCs w:val="20"/>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 w:name="Times New Roman">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Style19">
    <w:name w:val="Символ нумерации"/>
    <w:qFormat/>
    <w:rPr/>
  </w:style>
  <w:style w:type="paragraph" w:styleId="Style2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1">
    <w:name w:val="Указатель"/>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20"/>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2">
    <w:name w:val="Колонтитулы"/>
    <w:basedOn w:val="Normal"/>
    <w:qFormat/>
    <w:pPr/>
    <w:rPr/>
  </w:style>
  <w:style w:type="paragraph" w:styleId="HeaderandFooter">
    <w:name w:val="Header and Foot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paragraph" w:styleId="Style25">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bidi w:val="0"/>
      <w:spacing w:before="0" w:after="0"/>
      <w:jc w:val="left"/>
    </w:pPr>
    <w:rPr>
      <w:rFonts w:ascii="Trebuchet MS" w:hAnsi="Trebuchet MS" w:eastAsia="Calibri" w:cs="Trebuchet MS"/>
      <w:color w:val="000000"/>
      <w:kern w:val="0"/>
      <w:sz w:val="24"/>
      <w:szCs w:val="24"/>
      <w:lang w:val="ru-RU" w:eastAsia="zh-CN" w:bidi="ar-SA"/>
    </w:rPr>
  </w:style>
  <w:style w:type="numbering" w:styleId="Style2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226</TotalTime>
  <Application>LibreOffice/24.8.4.2$Linux_X86_64 LibreOffice_project/480$Build-2</Application>
  <AppVersion>15.0000</AppVersion>
  <Pages>7</Pages>
  <Words>3343</Words>
  <Characters>23803</Characters>
  <CharactersWithSpaces>27692</CharactersWithSpaces>
  <Paragraphs>186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2026-08-19T16:24:30Z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