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СУБЛИЦЕНЗИОННЫЙ ДОГОВОР № </w:t>
      </w:r>
    </w:p>
    <w:tbl>
      <w:tblPr>
        <w:tblW w:w="9755" w:type="dxa"/>
        <w:jc w:val="start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5290"/>
        <w:gridCol w:w="4301"/>
        <w:gridCol w:w="164"/>
      </w:tblGrid>
      <w:tr>
        <w:trPr>
          <w:trHeight w:val="225" w:hRule="atLeast"/>
        </w:trPr>
        <w:tc>
          <w:tcPr>
            <w:tcW w:w="529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529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430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Arial" w:cs="Times New Roman" w:ascii="Times New Roman" w:hAnsi="Times New Roman"/>
                <w:w w:val="105"/>
                <w:sz w:val="20"/>
                <w:szCs w:val="20"/>
              </w:rPr>
              <w:t>_____</w:t>
            </w:r>
            <w:r>
              <w:rPr>
                <w:rFonts w:eastAsia="Arial" w:cs="Times New Roman" w:ascii="Times New Roman" w:hAnsi="Times New Roman"/>
                <w:w w:val="105"/>
                <w:sz w:val="20"/>
                <w:szCs w:val="20"/>
                <w:lang w:val="en-US"/>
              </w:rPr>
              <w:t>.06.2026</w:t>
            </w:r>
          </w:p>
        </w:tc>
        <w:tc>
          <w:tcPr>
            <w:tcW w:w="1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spacing w:lineRule="auto" w:line="240" w:beforeAutospacing="1" w:after="17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_________________________________________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, именуемое в дальнейшем «Сублицензиар», в лице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_____________________________________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, действующего на основании Устава, с одной стороны и </w:t>
      </w:r>
      <w:r>
        <w:rPr>
          <w:rFonts w:eastAsia="Arial" w:cs="Times New Roman" w:ascii="Times New Roman" w:hAnsi="Times New Roman"/>
          <w:w w:val="105"/>
          <w:sz w:val="20"/>
          <w:szCs w:val="20"/>
        </w:rPr>
        <w:t>ФЕДЕРАЛЬНОЕ ГОСУДАРСТВЕННОЕ БЮДЖЕТНОЕ НАУЧНОЕ УЧРЕЖДЕНИЕ "ФЕДЕРАЛЬНЫЙ ИССЛЕДОВАТЕЛЬСКИЙ ЦЕНТР ФУНДАМЕНТАЛЬНОЙ И ТРАНСЛЯЦИОННОЙ МЕДИЦИНЫ"</w:t>
      </w:r>
      <w:r>
        <w:rPr>
          <w:rFonts w:eastAsia="Times New Roman" w:cs="Times New Roman" w:ascii="Times New Roman" w:hAnsi="Times New Roman"/>
          <w:sz w:val="20"/>
          <w:szCs w:val="20"/>
        </w:rPr>
        <w:t>,    именуемый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в дальнейшем «Сублицензиат», в лице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первого заместителя директора О.А. Пыклика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действующего на основании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доверенности №97 от 23 апреля 2026 года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, с другой стороны, совместно именуемые «Стороны», а по отдельности – «Сторона», заключили настоящий Договор о нижеследующем.</w:t>
      </w:r>
    </w:p>
    <w:p>
      <w:pPr>
        <w:pStyle w:val="Normal"/>
        <w:spacing w:lineRule="auto" w:line="240" w:before="170" w:after="170"/>
        <w:ind w:firstLine="567" w:start="170" w:end="17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1. ПРЕДМЕТ ДОГОВОРА.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1.1. Сублицензиар передаёт Сублицензиату для личных и/или производственных нужд за плату следующее: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            </w:t>
      </w:r>
      <w:r>
        <w:rPr>
          <w:rFonts w:cs="Times New Roman" w:ascii="Times New Roman" w:hAnsi="Times New Roman"/>
          <w:sz w:val="20"/>
          <w:szCs w:val="20"/>
          <w:lang w:eastAsia="ru-RU"/>
        </w:rPr>
        <w:t>1.1.1. Предоставление права использования на ПК «ВУЗ онлайн» (реестровая запись № 25596 от 20.12.2024) сроком на 1 год с дополнительными функциональными возможностями для защищенного подключения к Суперсервису «Поступление в вуз онлайн»;</w:t>
        <w:br/>
        <w:t>            1.1.2. Предоставление права на использование ПО "СЗИ от НСД Secret Net LSP". Максимальная защита, срок 1 год, Право на использование (реестровая запись № 118 от 18.03.2016);</w:t>
        <w:br/>
        <w:t>            1.1.3. Предоставление права использования антивирусного средства Dr.Web Desktop Security Suite (реестровая запись № 47 от 20.02.2016) сроком на 1 год, включая мастер скачиваний с расширенным функционалом и дополнительные функциональные возможности;</w:t>
        <w:br/>
        <w:t>            1.1.4. Предоставление бессрочного права использования ПО ViPNet PKI Client 1.x (реестровая запись № 3601 от 28.06.2017), Базовая лицензия;</w:t>
        <w:br/>
        <w:t>            1.1.5. Предоставление бессрочного права использования ПО ViPNet Client 5 for Linux(реестровая запись №4319 от 29.03.2018) включая дополнительные функциональные возможности;</w:t>
        <w:br/>
        <w:t>            1.1.6. Предоставление бессрочного права использования ОС специального назначения «Astra Linux Special Edition» (реестровая запись №11154 от 21.07.2021) для 64-х разрядной платформы на базе процессорной архитектуры х86-64 (очередное обновление 1.8), уровень защищенности «Усиленный» («Воронеж»), РУСБ.10015-01 (ФСТЭК), способ передачи диск, для рабочей станции, на срок действия исключительного права, с включенными обновлениями Тип 1 на 12 мес. (для образовательных организаций и библиотек).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1.2. Лицензии на программы для ЭВМ (далее – Программы), перечисленные в настоящем разделе, передаются как простые (неисключительные) и действуют в течение срока, указанного в приложении к настоящему Договору.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 xml:space="preserve">1.3. Сублицензиату представляются Программы с дополнительными функциональными возможностями, указанными в приложении к настоящему Договору. </w:t>
      </w:r>
    </w:p>
    <w:p>
      <w:pPr>
        <w:pStyle w:val="Normal"/>
        <w:spacing w:lineRule="auto" w:line="240" w:before="170" w:after="170"/>
        <w:ind w:firstLine="567" w:start="170" w:end="17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2. РАЗМЕР ВОЗНАГРАЖДЕНИЯ, ПОРЯДОК И СРОКИ ЕГО ВЫПЛАТЫ.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2.1. Сумма лицензионного вознаграждения составляет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____________</w:t>
      </w:r>
      <w:r>
        <w:rPr>
          <w:rFonts w:eastAsia="Times New Roman" w:cs="Times New Roman" w:ascii="Times New Roman" w:hAnsi="Times New Roman"/>
          <w:sz w:val="20"/>
          <w:szCs w:val="20"/>
        </w:rPr>
        <w:t>руб. (</w:t>
      </w:r>
      <w:r>
        <w:rPr>
          <w:rFonts w:eastAsia="Times New Roman" w:cs="Times New Roman" w:ascii="Times New Roman" w:hAnsi="Times New Roman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sz w:val="20"/>
          <w:szCs w:val="20"/>
        </w:rPr>
        <w:t>)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  <w:t>2.2. Вознаграждение, предусмотренное настоящим Договором, оплачивается Сублицензиатом в течение 5 (пяти) рабочих дней со дня подписания Сторонами акта приёма-передачи.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2.3. Уплата вознаграждения производится Сублицензиатом в российских рублях путем зачисления денежных средств на расчетный счет Сублицензиара.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2.4. Датой оплаты является дата зачисления денежных средств на расчетный счет Сублицензиара. </w:t>
      </w:r>
    </w:p>
    <w:p>
      <w:pPr>
        <w:pStyle w:val="Normal"/>
        <w:spacing w:lineRule="auto" w:line="240" w:before="170" w:after="170"/>
        <w:ind w:firstLine="567" w:start="170" w:end="17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3. ПЕРЕДАЧА ПРАВ.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/>
        <w:t xml:space="preserve"> </w:t>
      </w:r>
      <w:r>
        <w:rPr>
          <w:rFonts w:cs="Times New Roman" w:ascii="Times New Roman" w:hAnsi="Times New Roman"/>
          <w:color w:themeColor="text1" w:val="000000"/>
          <w:sz w:val="20"/>
          <w:szCs w:val="20"/>
        </w:rPr>
        <w:t>3.1. Передача прав по настоящему Договору осуществляется в течение 90 (девяносто) рабочих дней с момента подписания сторонами настоящего Договора.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3.2. Передача прав Сублицензиату оформляется актом приёма-передачи.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3.3. Сублицензиат обязан в течение 3 (трех) рабочих дней с момента получения акта приёма-передачи подписать его и предоставить Сублицензиару, либо предоставить письменный мотивированный отказ от его подписания. В случае непредоставления Сублицензиару подписанного акта приёма-передачи или письменного мотивированного отказа в указанные сроки права считаются переданными Сублицензиаром и принятыми Сублицензиатом в полном объёме.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4. ПРАВА И ОБЯЗАННОСТИ СТОРОН.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4.1. По настоящему Договору Сублицензиар предоставляет Сублицензиату право использования Программы способами, предусмотренными ст. 1280 ГК РФ и настоящим Договором</w:t>
      </w:r>
    </w:p>
    <w:p>
      <w:pPr>
        <w:pStyle w:val="Normal"/>
        <w:spacing w:before="0" w:after="0"/>
        <w:ind w:firstLine="567"/>
        <w:rPr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4.2. Сублицензиат обязуется:</w:t>
      </w:r>
    </w:p>
    <w:p>
      <w:pPr>
        <w:pStyle w:val="ListParagraph"/>
        <w:spacing w:lineRule="auto" w:line="240" w:before="0" w:after="0"/>
        <w:ind w:firstLine="540" w:star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4.2.1. Представить Сублицензиару документы и информацию (исходные данные) по следующему перечню исходных данных: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Полное и сокращенное наименование организации Сублицензиата, организационно-правовая форма, юридический адрес и адреса размещения информационной системы (ИС) организации.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Фамилия, имя и отчество руководителя организации, на основании чего действует.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Организационно-распорядительная документация по защите ПДн, имеющаяся в организации на момент проведения предварительного обследования.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Проектно-техническая и эксплуатационная документация на ИС.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Эксплуатационная и правоустанавливающая документация на средства вычислительной техники, входящие в состав ИС.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Проектно-техническая, эксплуатационная и правоустанавливающая документация на здания (помещения), где размещаются элементы ИС, а также проектно-техническая и эксплуатационная документация на инженерно-технические коммуникации.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Структурная схема ИС с указанием размещения элементов ИС.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Перечень и количество ПДн, обрабатываемых в организации.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Технология обработки ПДн в организации.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Перечень сотрудников организации, участвующих в обработке ПДн, их роли и возможности, должностные (функциональные обязанности), фамилия и инициалы.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Правоустанавливающая и эксплуатационная документация на общесистемное и специализированное программное обеспечение, установленное в ИСПДн.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Контактная информация (фамилия, имя и отчество, должность, номер телефона, адрес электронной почты) сотрудника организации, отвечающего за предоставление исходных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4.2.2. Обеспечить допуск специалистов Сублицензиара к объекту при необходимости, создать условия Сублицензиару для исполнения своих обязательств по настоящему Договору.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4.2.3. Выплатить Сублицензиару вознаграждение по настоящему Договору в полном объеме.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4.2.4. Не позднее пяти рабочих дней с даты заключения Договора предоставить Сублицензиару цветные сканированные копии надлежащим образом оформленных документов, а именно: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акт классификации информационной системы / акт определения уровня защищенности персональных данных;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технический паспорт объекта информатизации;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программа и методики аттестационных испытаний объекта информатизации,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40" w:start="72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а также предоставить реквизиты (номер, дату) Приказа о вводе объекта информатизации.</w:t>
      </w:r>
    </w:p>
    <w:p>
      <w:pPr>
        <w:pStyle w:val="ListParagraph"/>
        <w:ind w:firstLine="709" w:start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4.3. В случае неисполнения/ненадлежащего исполнения Сублицензиатом своих обязательств, предусмотренных п. 4.2. настоящего Договора, срок передачи прав передвигается соразмерно времени неисполнения/ненадлежащего исполнения Сублицензиатом своих обязанностей.</w:t>
      </w:r>
    </w:p>
    <w:p>
      <w:pPr>
        <w:pStyle w:val="ListParagraph"/>
        <w:ind w:firstLine="709" w:start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4.4. Сублицензиар не несет ответственность за соответствие Программы ожиданиям Сублицензиата от ее использования, а также ни при каких обстоятельствах не будет нести ответственность перед Сублицензиатом за любые косвенные, случайные, специальные, последующие, штрафные убытки, возникшие в связи с настоящим Договором, включая, без ограничения, убытки от претензий третьих лиц, потерю прибыли, потерю данных, нарушение конфиденциальности, нарушение обязательств действовать разумно и добросовестно, небрежности или иные убытки и потери.</w:t>
      </w:r>
    </w:p>
    <w:p>
      <w:pPr>
        <w:pStyle w:val="Normal"/>
        <w:spacing w:lineRule="auto" w:line="240" w:before="170" w:after="170"/>
        <w:ind w:firstLine="567" w:start="170" w:end="17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5. ОТВЕТСТВЕННОСТЬ СТОРОН.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порядке и размерах, установленных законодательством Российской Федерации. </w:t>
      </w:r>
    </w:p>
    <w:p>
      <w:pPr>
        <w:pStyle w:val="Normal"/>
        <w:spacing w:lineRule="auto" w:line="240" w:before="170" w:after="170"/>
        <w:ind w:firstLine="567" w:start="170" w:end="17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6. КОНФИДЕНЦИАЛЬНОСТЬ.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6.1. Условия настоящего Договора и дополнительных соглашений к нему, а также все материалы и (или) сведения, ставшие известными Сторонам, конфиденциальны и не подлежат разглашению.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6.2. Стороны обязаны сохранять конфиденциальность сведений в течение всего срока действия настоящего Договора, а также в течение 3 (трёх) лет по его истечении, расторжении. </w:t>
      </w:r>
    </w:p>
    <w:p>
      <w:pPr>
        <w:pStyle w:val="Normal"/>
        <w:spacing w:lineRule="auto" w:line="240" w:before="170" w:after="170"/>
        <w:ind w:firstLine="567" w:start="170" w:end="17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7. РАЗРЕШЕНИЕ СПОРОВ.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7.2. Стороны согласны признавать данные, полученные в порядке электронного документооборота, установленного Договором, информацию в электронном виде и/или на бумаге в качестве доказательств для разрешения споров и разногласий, в том числе при разрешении споров в Арбитражном суде.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7.3. При неурегулировании в процессе переговоров спорных вопросов споры разрешаются в Арбитражном суде Смоленской области. </w:t>
      </w:r>
    </w:p>
    <w:p>
      <w:pPr>
        <w:pStyle w:val="Normal"/>
        <w:spacing w:lineRule="auto" w:line="240" w:before="170" w:after="170"/>
        <w:ind w:firstLine="567" w:start="170" w:end="17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8. ДОПОЛНИТЕЛЬНЫЕ УСЛОВИЯ И ЗАКЛЮЧИТЕЛЬНЫЕ ПОЛОЖЕНИЯ.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8.1. Во всем остальном, что не предусмотрено настоящим Договором, Стороны будут руководствоваться действующим законодательством Российской Федерации.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8.2. Стороны осуществляют обмен информацией и документами в электронной форме, а также принимают меры по обеспечению конфиденциальности, передаваемых и полученных при совершении настоящего Договора, и их безопасности при обработке в соответствии с законодательством Российской Федерации.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8.3. Стороны пришли к соглашению, что заключение любого дополнительного соглашения к настоящему Договору осуществляется только в письменном виде на бумажном носителе.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8.4. Настоящий Договор составлен в двух экземплярах, имеющих одинаковую юридическую силу, из которых один находится у Сублицензиара, другой - у Сублицензиата.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8.5. Сублицензиар вправе передавать права и обязанности по настоящему Договору третьим лицам полностью или частично в пределах срока действия настоящего Договора.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8.6. Настоящий Договор действует до полного выполнения Сторонами своих обязательств. </w:t>
      </w:r>
    </w:p>
    <w:p>
      <w:pPr>
        <w:pStyle w:val="Normal"/>
        <w:spacing w:lineRule="auto" w:line="240" w:before="170" w:after="170"/>
        <w:ind w:firstLine="567" w:start="170" w:end="17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en-US" w:eastAsia="ru-RU"/>
        </w:rPr>
        <w:t>9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  <w:t xml:space="preserve">. АДРЕСА И РЕКВИЗИТЫ СТОРОН. </w:t>
      </w:r>
    </w:p>
    <w:tbl>
      <w:tblPr>
        <w:tblW w:w="5000" w:type="pct"/>
        <w:jc w:val="start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4676"/>
        <w:gridCol w:w="460"/>
        <w:gridCol w:w="385"/>
        <w:gridCol w:w="4444"/>
        <w:gridCol w:w="382"/>
      </w:tblGrid>
      <w:tr>
        <w:trPr/>
        <w:tc>
          <w:tcPr>
            <w:tcW w:w="4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Сублицензиар:</w:t>
            </w:r>
          </w:p>
        </w:tc>
        <w:tc>
          <w:tcPr>
            <w:tcW w:w="46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829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Сублицензиат:</w:t>
            </w:r>
          </w:p>
        </w:tc>
        <w:tc>
          <w:tcPr>
            <w:tcW w:w="38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4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82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ФИЦ ФТМ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br/>
              <w:t>ИНН 5408157430 / КПП 540801001</w:t>
              <w:br/>
              <w:t>Юридический адрес: 630060, Новосибирская область, г Новосибирск, ул Тимакова, д 2</w:t>
              <w:br/>
              <w:t>Фактический адрес: 630060, Новосибирская область, г Новосибирск, ул Тимакова, д 2</w:t>
              <w:br/>
              <w:t>Телефон: 8 (383) 274-95-80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Р/счет № 03214643000000015100 в ОКЦ № 1 СибГУ Банка России</w:t>
              <w:br/>
              <w:t>БИК 015004950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>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/счет № 40102810445370000043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Arial" w:cs="Times New Roman" w:ascii="Times New Roman" w:hAnsi="Times New Roman"/>
                <w:w w:val="105"/>
                <w:sz w:val="20"/>
                <w:szCs w:val="20"/>
              </w:rPr>
              <w:t>Лицевой счет 20516У61890 в УФК по Новосибирской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Первый заместитель директора </w:t>
            </w:r>
          </w:p>
        </w:tc>
        <w:tc>
          <w:tcPr>
            <w:tcW w:w="38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416" w:hRule="atLeast"/>
        </w:trPr>
        <w:tc>
          <w:tcPr>
            <w:tcW w:w="467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82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38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467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46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4829" w:type="dxa"/>
            <w:gridSpan w:val="2"/>
            <w:tcBorders>
              <w:bottom w:val="single" w:sz="6" w:space="0" w:color="000000"/>
            </w:tcBorders>
            <w:vAlign w:val="bottom"/>
          </w:tcPr>
          <w:tbl>
            <w:tblPr>
              <w:tblStyle w:val="ae"/>
              <w:tblpPr w:vertAnchor="page" w:horzAnchor="margin" w:leftFromText="180" w:rightFromText="180" w:tblpX="0" w:tblpY="1"/>
              <w:tblOverlap w:val="never"/>
              <w:tblW w:w="4798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2399"/>
              <w:gridCol w:w="2399"/>
            </w:tblGrid>
            <w:tr>
              <w:trPr/>
              <w:tc>
                <w:tcPr>
                  <w:tcW w:w="2399" w:type="dxa"/>
                  <w:tcBorders>
                    <w:top w:val="nil"/>
                    <w:start w:val="nil"/>
                    <w:bottom w:val="nil"/>
                    <w:end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en-US" w:eastAsia="en-US" w:bidi="ar-SA"/>
                    </w:rPr>
                  </w:r>
                </w:p>
              </w:tc>
              <w:tc>
                <w:tcPr>
                  <w:tcW w:w="2399" w:type="dxa"/>
                  <w:tcBorders>
                    <w:top w:val="nil"/>
                    <w:start w:val="nil"/>
                    <w:bottom w:val="nil"/>
                    <w:end w:val="nil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val="en-US"/>
                    </w:rPr>
                    <w:t>О.А. Пыклик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38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4676" w:type="dxa"/>
            <w:tcBorders/>
            <w:tcMar>
              <w:end w:w="567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845" w:type="dxa"/>
            <w:gridSpan w:val="2"/>
            <w:tcBorders/>
            <w:tcMar>
              <w:end w:w="567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826" w:type="dxa"/>
            <w:gridSpan w:val="2"/>
            <w:tcBorders/>
            <w:tcMar>
              <w:end w:w="567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м.п.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Приложение № 1 от </w:t>
      </w:r>
      <w:r>
        <w:rPr>
          <w:rFonts w:eastAsia="Arial" w:cs="Times New Roman" w:ascii="Times New Roman" w:hAnsi="Times New Roman"/>
          <w:w w:val="105"/>
          <w:sz w:val="20"/>
          <w:szCs w:val="20"/>
        </w:rPr>
        <w:t>____.06.2026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г.</w:t>
        <w:br/>
        <w:t xml:space="preserve">к Сублицензионному договору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№  от </w:t>
      </w:r>
      <w:r>
        <w:rPr>
          <w:rFonts w:eastAsia="Arial" w:cs="Times New Roman" w:ascii="Times New Roman" w:hAnsi="Times New Roman"/>
          <w:w w:val="105"/>
          <w:sz w:val="20"/>
          <w:szCs w:val="20"/>
        </w:rPr>
        <w:t>_____.06.2026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г.</w:t>
      </w:r>
    </w:p>
    <w:tbl>
      <w:tblPr>
        <w:tblW w:w="10291" w:type="dxa"/>
        <w:jc w:val="start"/>
        <w:tblInd w:w="-15" w:type="dxa"/>
        <w:tblLayout w:type="fixed"/>
        <w:tblCellMar>
          <w:top w:w="0" w:type="dxa"/>
          <w:start w:w="75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663"/>
        <w:gridCol w:w="1559"/>
        <w:gridCol w:w="934"/>
        <w:gridCol w:w="1135"/>
      </w:tblGrid>
      <w:tr>
        <w:trPr>
          <w:trHeight w:val="848" w:hRule="atLeast"/>
        </w:trPr>
        <w:tc>
          <w:tcPr>
            <w:tcW w:w="6663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0" w:after="20"/>
              <w:ind w:hanging="20" w:start="20" w:end="20"/>
              <w:jc w:val="center"/>
              <w:rPr/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szCs w:val="18"/>
              </w:rPr>
              <w:t>Простые (неисключительные) лицензии на Программы</w:t>
            </w:r>
          </w:p>
        </w:tc>
        <w:tc>
          <w:tcPr>
            <w:tcW w:w="1559" w:type="dxa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0" w:after="20"/>
              <w:ind w:hanging="20" w:start="20" w:end="2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Cs w:val="18"/>
              </w:rPr>
              <w:t>Цена за единицу, руб.</w:t>
            </w:r>
          </w:p>
        </w:tc>
        <w:tc>
          <w:tcPr>
            <w:tcW w:w="934" w:type="dxa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0" w:after="20"/>
              <w:ind w:start="20" w:end="2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Cs w:val="18"/>
              </w:rPr>
              <w:t>Кол-во</w:t>
            </w:r>
          </w:p>
        </w:tc>
        <w:tc>
          <w:tcPr>
            <w:tcW w:w="1135" w:type="dxa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20" w:after="20"/>
              <w:ind w:hanging="20" w:start="20" w:end="2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Cs w:val="18"/>
              </w:rPr>
              <w:t>Сумма, руб.</w:t>
            </w:r>
          </w:p>
        </w:tc>
      </w:tr>
      <w:tr>
        <w:trPr>
          <w:trHeight w:val="848" w:hRule="atLeast"/>
        </w:trPr>
        <w:tc>
          <w:tcPr>
            <w:tcW w:w="666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Предоставление права использования на ПК «ВУЗ онлайн»* (реестровая запись № 25596 от 20.12.2024) сроком на 1 год с дополнительными функциональными возможностями для защищенного подключения к Суперсервису «Поступление в вуз онлайн».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szCs w:val="18"/>
                <w:lang w:val="en-US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848" w:hRule="atLeast"/>
        </w:trPr>
        <w:tc>
          <w:tcPr>
            <w:tcW w:w="666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Предоставление права на использование ПО "СЗИ от НСД Secret Net LSP". Максимальная защита, срок 1 год, Право на использование (реестровая запись № 118 от 18.03.2016)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szCs w:val="18"/>
                <w:lang w:val="en-US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848" w:hRule="atLeast"/>
        </w:trPr>
        <w:tc>
          <w:tcPr>
            <w:tcW w:w="666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Предоставление права использования антивирусного средства Dr.Web Desktop Security Suite (реестровая запись № 47 от 20.02.2016) сроком на 1 год, включая мастер скачиваний с расширенным функционалом и дополнительные функциональные возможности:</w:t>
              <w:br/>
              <w:t>- Dr.Web сертифицированный ФСТЭК России (сертификат №3509 действует до 27.01.2029) - 1 экземпляр на весь комплект лицензий..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szCs w:val="18"/>
                <w:lang w:val="en-US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848" w:hRule="atLeast"/>
        </w:trPr>
        <w:tc>
          <w:tcPr>
            <w:tcW w:w="666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Предоставление бессрочного права использования ПО ViPNet PKI Client 1.x (реестровая запись № 3601 от 28.06.2017), Базовая лицензия:</w:t>
              <w:br/>
              <w:t>- Сертификат активации сервиса совместной технической поддержки ПО ViPNet PKI Client 1.x на срок 1 год, уровень–Расширенный - 1 экземпляр на весь комплект лицензий..</w:t>
              <w:br/>
              <w:t>- Установочный комплект ПО ViPNet PKI Client 1.х - 1 экземпляр на весь комплект лицензий.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szCs w:val="18"/>
                <w:lang w:val="en-US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848" w:hRule="atLeast"/>
        </w:trPr>
        <w:tc>
          <w:tcPr>
            <w:tcW w:w="666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Предоставление бессрочного права использования ПО ViPNet Client 5 for Linux(реестровая запись №4319 от 29.03.2018) включая дополнительные функциональные возможности:</w:t>
              <w:br/>
              <w:t>- Компакт-диск с дистрибутивом ПО ViPNet Client 5 for Linux - 1 экземпляр на весь комплект лицензий..</w:t>
              <w:br/>
              <w:t>- Сертификат активации сервиса совместной технической поддержки ПО ViPNet Client 5 for Linux сроком на 1 год, уровень–Расширенный - 1 экземпляр на весь комплект лицензий.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szCs w:val="18"/>
                <w:lang w:val="en-US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848" w:hRule="atLeast"/>
        </w:trPr>
        <w:tc>
          <w:tcPr>
            <w:tcW w:w="6663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Предоставление бессрочного права использования ОС специального назначения «Astra Linux Special Edition» (реестровая запись №11154 от 21.07.2021) для 64-х разрядной платформы на базе процессорной архитектуры х86-64 (очередное обновление 1.8), уровень защищенности «Усиленный» («Воронеж»), РУСБ.10015-01 (ФСТЭК), способ передачи диск, для рабочей станции, на срок действия исключительного права, с включенными обновлениями Тип 1 на 12 мес. (для образовательных организаций и библиотек)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szCs w:val="18"/>
                <w:lang w:val="en-US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20" w:after="20"/>
              <w:ind w:hanging="20" w:start="20" w:end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b/>
          <w:sz w:val="20"/>
          <w:szCs w:val="20"/>
          <w:lang w:eastAsia="ru-RU"/>
        </w:rPr>
        <w:t xml:space="preserve">Всего на сумму </w:t>
      </w:r>
      <w:r>
        <w:rPr>
          <w:rFonts w:cs="Times New Roman" w:ascii="Times New Roman" w:hAnsi="Times New Roman"/>
          <w:b/>
          <w:sz w:val="20"/>
          <w:szCs w:val="20"/>
          <w:lang w:eastAsia="ru-RU"/>
        </w:rPr>
        <w:t>_____________</w:t>
      </w:r>
      <w:r>
        <w:rPr>
          <w:rFonts w:cs="Times New Roman" w:ascii="Times New Roman" w:hAnsi="Times New Roman"/>
          <w:b/>
          <w:sz w:val="20"/>
          <w:szCs w:val="20"/>
        </w:rPr>
        <w:t>руб. (</w:t>
      </w:r>
      <w:r>
        <w:rPr>
          <w:rFonts w:cs="Times New Roman" w:ascii="Times New Roman" w:hAnsi="Times New Roman"/>
          <w:b/>
          <w:sz w:val="20"/>
          <w:szCs w:val="20"/>
        </w:rPr>
        <w:t>_____________________</w:t>
      </w:r>
      <w:r>
        <w:rPr>
          <w:rFonts w:cs="Times New Roman" w:ascii="Times New Roman" w:hAnsi="Times New Roman"/>
          <w:b/>
          <w:sz w:val="20"/>
          <w:szCs w:val="20"/>
        </w:rPr>
        <w:t>)</w:t>
      </w:r>
      <w:r>
        <w:rPr>
          <w:rFonts w:cs="Times New Roman" w:ascii="Times New Roman" w:hAnsi="Times New Roman"/>
          <w:b/>
          <w:sz w:val="20"/>
          <w:szCs w:val="20"/>
          <w:lang w:eastAsia="ru-RU"/>
        </w:rPr>
        <w:t>, без НДС.</w:t>
      </w:r>
      <w:r>
        <w:rPr>
          <w:rFonts w:cs="Times New Roman" w:ascii="Times New Roman" w:hAnsi="Times New Roman"/>
          <w:sz w:val="20"/>
          <w:szCs w:val="20"/>
          <w:lang w:eastAsia="ru-RU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*В целях полноценной эксплуатации программного обеспечения Сублицензиаром предоставляется:</w:t>
        <w:br/>
        <w:t>- Установка и настройка средств защиты информации</w:t>
        <w:br/>
        <w:t>- Оценка эффективности реализованных мер объекта информатизации в соответствии с требованиями безопасности информации</w:t>
        <w:br/>
        <w:t>- Комплект типовой организационно-распорядительной документации, в электронном виде, подписанный электронной подписью, на цифровом носителе</w:t>
        <w:br/>
      </w:r>
    </w:p>
    <w:tbl>
      <w:tblPr>
        <w:tblW w:w="5000" w:type="pct"/>
        <w:jc w:val="start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firstRow="1" w:noVBand="1" w:lastRow="0" w:firstColumn="1" w:lastColumn="0" w:noHBand="0" w:val="04a0"/>
      </w:tblPr>
      <w:tblGrid>
        <w:gridCol w:w="4554"/>
        <w:gridCol w:w="95"/>
        <w:gridCol w:w="793"/>
        <w:gridCol w:w="695"/>
        <w:gridCol w:w="4210"/>
      </w:tblGrid>
      <w:tr>
        <w:trPr/>
        <w:tc>
          <w:tcPr>
            <w:tcW w:w="4649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От Сублицензиара:</w:t>
            </w:r>
          </w:p>
        </w:tc>
        <w:tc>
          <w:tcPr>
            <w:tcW w:w="7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5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От Сублицензиата</w:t>
            </w: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>
        <w:trPr/>
        <w:tc>
          <w:tcPr>
            <w:tcW w:w="464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7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4554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583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4210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4649" w:type="dxa"/>
            <w:gridSpan w:val="2"/>
            <w:tcBorders/>
            <w:tcMar>
              <w:end w:w="56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793" w:type="dxa"/>
            <w:tcBorders/>
            <w:tcMar>
              <w:end w:w="56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5" w:type="dxa"/>
            <w:gridSpan w:val="2"/>
            <w:tcBorders/>
            <w:tcMar>
              <w:end w:w="56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м.п. </w:t>
            </w:r>
          </w:p>
        </w:tc>
      </w:tr>
    </w:tbl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sectPr>
      <w:type w:val="nextPage"/>
      <w:pgSz w:w="11906" w:h="16838"/>
      <w:pgMar w:left="709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Carlito">
    <w:altName w:val="Calibri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432"/>
        </w:tabs>
        <w:ind w:star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0701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ditablespan1" w:customStyle="1">
    <w:name w:val="editablespan1"/>
    <w:basedOn w:val="DefaultParagraphFont"/>
    <w:qFormat/>
    <w:rsid w:val="00b32578"/>
    <w:rPr>
      <w:color w:val="FF0000"/>
      <w:bdr w:val="single" w:sz="6" w:space="0" w:color="AAAAAA"/>
    </w:rPr>
  </w:style>
  <w:style w:type="character" w:styleId="Strong">
    <w:name w:val="Strong"/>
    <w:basedOn w:val="DefaultParagraphFont"/>
    <w:uiPriority w:val="22"/>
    <w:qFormat/>
    <w:rsid w:val="00b32578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76c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58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uiPriority w:val="1"/>
    <w:qFormat/>
    <w:rsid w:val="00512de6"/>
    <w:rPr>
      <w:rFonts w:ascii="Carlito" w:hAnsi="Carlito" w:eastAsia="Carlito" w:cs="Carlito"/>
      <w:sz w:val="20"/>
      <w:szCs w:val="20"/>
    </w:rPr>
  </w:style>
  <w:style w:type="character" w:styleId="Style16" w:customStyle="1">
    <w:name w:val="Заголовок Знак"/>
    <w:basedOn w:val="DefaultParagraphFont"/>
    <w:uiPriority w:val="10"/>
    <w:qFormat/>
    <w:rsid w:val="00512de6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fontstyle01" w:customStyle="1">
    <w:name w:val="fontstyle01"/>
    <w:basedOn w:val="DefaultParagraphFont"/>
    <w:qFormat/>
    <w:rsid w:val="00fe5ca7"/>
    <w:rPr>
      <w:rFonts w:ascii="Times New Roman" w:hAnsi="Times New Roman" w:cs="Times New Roman"/>
      <w:b w:val="false"/>
      <w:bCs w:val="false"/>
      <w:i w:val="false"/>
      <w:iCs w:val="false"/>
      <w:color w:val="000000"/>
      <w:sz w:val="20"/>
      <w:szCs w:val="2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512de6"/>
    <w:pPr>
      <w:widowControl w:val="false"/>
      <w:spacing w:lineRule="auto" w:line="240" w:before="0" w:after="0"/>
    </w:pPr>
    <w:rPr>
      <w:rFonts w:ascii="Carlito" w:hAnsi="Carlito" w:eastAsia="Carlito" w:cs="Carlito"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3257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76c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31" w:customStyle="1">
    <w:name w:val="Заголовок 31"/>
    <w:basedOn w:val="Normal"/>
    <w:qFormat/>
    <w:rsid w:val="00876cad"/>
    <w:pPr>
      <w:keepNext w:val="true"/>
      <w:numPr>
        <w:ilvl w:val="2"/>
        <w:numId w:val="1"/>
      </w:numPr>
      <w:tabs>
        <w:tab w:val="clear" w:pos="709"/>
        <w:tab w:val="left" w:pos="312" w:leader="none"/>
      </w:tabs>
      <w:spacing w:lineRule="auto" w:line="240" w:before="240" w:after="60"/>
      <w:ind w:hanging="0" w:start="142"/>
      <w:jc w:val="both"/>
      <w:outlineLvl w:val="2"/>
    </w:pPr>
    <w:rPr>
      <w:rFonts w:ascii="Arial" w:hAnsi="Arial" w:eastAsia="Times New Roman" w:cs="Arial"/>
      <w:b/>
      <w:bCs/>
      <w:sz w:val="24"/>
      <w:szCs w:val="24"/>
      <w:lang w:eastAsia="zh-CN"/>
    </w:rPr>
  </w:style>
  <w:style w:type="paragraph" w:styleId="41" w:customStyle="1">
    <w:name w:val="Заголовок 41"/>
    <w:basedOn w:val="Normal"/>
    <w:qFormat/>
    <w:rsid w:val="00876cad"/>
    <w:pPr>
      <w:keepNext w:val="true"/>
      <w:numPr>
        <w:ilvl w:val="3"/>
        <w:numId w:val="1"/>
      </w:numPr>
      <w:spacing w:lineRule="auto" w:line="240" w:before="120" w:after="120"/>
      <w:outlineLvl w:val="3"/>
    </w:pPr>
    <w:rPr>
      <w:rFonts w:ascii="Liberation Serif" w:hAnsi="Liberation Serif" w:eastAsia="SimSun" w:cs="Mangal"/>
      <w:b/>
      <w:bCs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76cad"/>
    <w:pPr>
      <w:spacing w:before="0" w:after="160"/>
      <w:ind w:start="720"/>
      <w:contextualSpacing/>
    </w:pPr>
    <w:rPr/>
  </w:style>
  <w:style w:type="paragraph" w:styleId="Title">
    <w:name w:val="Title"/>
    <w:basedOn w:val="Normal"/>
    <w:link w:val="Style16"/>
    <w:uiPriority w:val="10"/>
    <w:qFormat/>
    <w:rsid w:val="00512de6"/>
    <w:pPr>
      <w:widowControl w:val="false"/>
      <w:spacing w:lineRule="auto" w:line="240" w:before="0" w:after="0"/>
      <w:ind w:start="122" w:end="489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4477e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xmsonormal" w:customStyle="1">
    <w:name w:val="x_msonormal"/>
    <w:basedOn w:val="Normal"/>
    <w:qFormat/>
    <w:rsid w:val="00b00517"/>
    <w:pPr>
      <w:spacing w:lineRule="auto" w:line="240" w:before="0" w:after="0"/>
    </w:pPr>
    <w:rPr>
      <w:rFonts w:ascii="Calibri" w:hAnsi="Calibri" w:cs="Times New Roman"/>
      <w:lang w:eastAsia="ru-RU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067bbf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9519-58A4-4DFC-B9D5-82A8660E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LibreOffice/26.2.0.3$Windows_X86_64 LibreOffice_project/620$Build-3</Application>
  <AppVersion>15.0000</AppVersion>
  <Pages>4</Pages>
  <Words>1547</Words>
  <Characters>11144</Characters>
  <CharactersWithSpaces>12696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2026-06-23T05:46:00Z</dcterms:created>
  <dc:creator>Шекун Марианна Анатольевна</dc:creator>
  <dc:description/>
  <dc:language>ru-RU</dc:language>
  <cp:lastModifiedBy/>
  <cp:lastPrinted>2024-07-19T12:46:00Z</cp:lastPrinted>
  <dcterms:modified xsi:type="dcterms:W3CDTF">2026-06-23T15:21:08Z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