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F000000">
      <w:pPr>
        <w:widowControl w:val="1"/>
        <w:ind/>
        <w:contextualSpacing w:val="1"/>
        <w:jc w:val="center"/>
        <w:rPr>
          <w:b w:val="1"/>
          <w:color w:val="000000"/>
          <w:spacing w:val="-3"/>
          <w:sz w:val="28"/>
        </w:rPr>
      </w:pPr>
    </w:p>
    <w:p w14:paraId="10000000">
      <w:pPr>
        <w:widowControl w:val="1"/>
        <w:ind/>
        <w:contextualSpacing w:val="1"/>
        <w:jc w:val="center"/>
        <w:rPr>
          <w:b w:val="1"/>
          <w:color w:val="000000"/>
          <w:spacing w:val="-3"/>
          <w:sz w:val="28"/>
        </w:rPr>
      </w:pPr>
    </w:p>
    <w:p w14:paraId="11000000">
      <w:pPr>
        <w:widowControl w:val="1"/>
        <w:ind/>
        <w:contextualSpacing w:val="1"/>
        <w:jc w:val="center"/>
        <w:rPr>
          <w:b w:val="1"/>
          <w:color w:val="000000"/>
          <w:spacing w:val="-3"/>
          <w:sz w:val="28"/>
        </w:rPr>
      </w:pPr>
      <w:r>
        <w:rPr>
          <w:b w:val="1"/>
          <w:color w:val="000000"/>
          <w:spacing w:val="-3"/>
          <w:sz w:val="28"/>
        </w:rPr>
        <w:t>Договор</w:t>
      </w:r>
      <w:r>
        <w:rPr>
          <w:b w:val="1"/>
          <w:color w:val="000000"/>
          <w:spacing w:val="-3"/>
          <w:sz w:val="28"/>
        </w:rPr>
        <w:t xml:space="preserve"> № </w:t>
      </w:r>
    </w:p>
    <w:p w14:paraId="12000000">
      <w:pPr>
        <w:widowControl w:val="1"/>
        <w:tabs>
          <w:tab w:leader="none" w:pos="1134" w:val="left"/>
        </w:tabs>
        <w:ind w:firstLine="737"/>
        <w:contextualSpacing w:val="1"/>
        <w:jc w:val="center"/>
        <w:rPr>
          <w:b w:val="1"/>
          <w:color w:val="000000"/>
          <w:sz w:val="28"/>
        </w:rPr>
      </w:pPr>
      <w:r>
        <w:rPr>
          <w:b w:val="1"/>
          <w:color w:val="000000"/>
          <w:sz w:val="28"/>
        </w:rPr>
        <w:t>н</w:t>
      </w:r>
      <w:r>
        <w:rPr>
          <w:b w:val="1"/>
          <w:color w:val="000000"/>
          <w:sz w:val="28"/>
        </w:rPr>
        <w:t>а разработку паспортов отходов 1-4 класса опасности.</w:t>
      </w:r>
    </w:p>
    <w:p w14:paraId="13000000">
      <w:pPr>
        <w:widowControl w:val="1"/>
        <w:ind/>
        <w:contextualSpacing w:val="1"/>
        <w:rPr>
          <w:sz w:val="24"/>
        </w:rPr>
      </w:pPr>
    </w:p>
    <w:p w14:paraId="14000000">
      <w:pPr>
        <w:widowControl w:val="1"/>
        <w:ind/>
        <w:contextualSpacing w:val="1"/>
        <w:rPr>
          <w:sz w:val="24"/>
        </w:rPr>
      </w:pPr>
    </w:p>
    <w:p w14:paraId="15000000">
      <w:pPr>
        <w:widowControl w:val="1"/>
        <w:tabs>
          <w:tab w:leader="none" w:pos="7229" w:val="left"/>
          <w:tab w:leader="underscore" w:pos="7632" w:val="left"/>
          <w:tab w:leader="underscore" w:pos="9324" w:val="left"/>
        </w:tabs>
        <w:spacing w:after="285" w:before="285"/>
        <w:ind/>
        <w:jc w:val="both"/>
        <w:rPr>
          <w:sz w:val="24"/>
        </w:rPr>
      </w:pPr>
      <w:r>
        <w:rPr>
          <w:color w:val="000000"/>
          <w:sz w:val="24"/>
        </w:rPr>
        <w:t>г. Симферопль</w:t>
      </w:r>
      <w:r>
        <w:rPr>
          <w:color w:val="000000"/>
          <w:sz w:val="24"/>
        </w:rPr>
        <w:tab/>
      </w:r>
      <w:r>
        <w:rPr>
          <w:color w:val="000000"/>
          <w:sz w:val="24"/>
        </w:rPr>
        <w:t xml:space="preserve">          «</w:t>
      </w:r>
      <w:r>
        <w:rPr>
          <w:color w:val="000000"/>
          <w:sz w:val="24"/>
        </w:rPr>
        <w:t xml:space="preserve">   </w:t>
      </w:r>
      <w:r>
        <w:rPr>
          <w:color w:val="000000"/>
          <w:sz w:val="24"/>
        </w:rPr>
        <w:t xml:space="preserve">» </w:t>
      </w:r>
      <w:r>
        <w:rPr>
          <w:color w:val="000000"/>
          <w:sz w:val="24"/>
        </w:rPr>
        <w:t>______</w:t>
      </w:r>
      <w:r>
        <w:rPr>
          <w:color w:val="000000"/>
          <w:sz w:val="24"/>
        </w:rPr>
        <w:t xml:space="preserve"> </w:t>
      </w:r>
      <w:r>
        <w:rPr>
          <w:color w:val="000000"/>
          <w:sz w:val="24"/>
        </w:rPr>
        <w:t>2026</w:t>
      </w:r>
      <w:r>
        <w:rPr>
          <w:color w:val="000000"/>
          <w:sz w:val="24"/>
        </w:rPr>
        <w:t xml:space="preserve"> г.  </w:t>
      </w:r>
    </w:p>
    <w:p w14:paraId="16000000">
      <w:pPr>
        <w:widowControl w:val="1"/>
        <w:ind w:firstLine="900"/>
        <w:contextualSpacing w:val="1"/>
        <w:jc w:val="both"/>
        <w:rPr>
          <w:sz w:val="24"/>
        </w:rPr>
      </w:pPr>
      <w:r>
        <w:rPr>
          <w:b w:val="1"/>
          <w:sz w:val="24"/>
        </w:rPr>
        <w:t>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w:t>
      </w:r>
      <w:r>
        <w:rPr>
          <w:sz w:val="24"/>
        </w:rPr>
        <w:t xml:space="preserve">, в лице </w:t>
      </w:r>
      <w:r>
        <w:rPr>
          <w:sz w:val="24"/>
        </w:rPr>
        <w:t xml:space="preserve">заместителя руководителя по общим вопросам деятельности учреждения Посторонко Ирины Павловны, действующей на основании Приказа </w:t>
      </w:r>
      <w:r>
        <w:rPr>
          <w:sz w:val="24"/>
        </w:rPr>
        <w:t>от 01 ноября 2023 г. № 413</w:t>
      </w:r>
      <w:r>
        <w:rPr>
          <w:sz w:val="24"/>
        </w:rPr>
        <w:t>, с одной стороны (далее – Заказчик), ____________________</w:t>
      </w:r>
      <w:r>
        <w:rPr>
          <w:sz w:val="24"/>
        </w:rPr>
        <w:t>, с другой стороны</w:t>
      </w:r>
      <w:r>
        <w:rPr>
          <w:sz w:val="24"/>
        </w:rPr>
        <w:t>,</w:t>
      </w:r>
      <w:r>
        <w:rPr>
          <w:sz w:val="24"/>
        </w:rPr>
        <w:t xml:space="preserve"> совместно именуемые Стороны,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7000000">
      <w:pPr>
        <w:widowControl w:val="1"/>
        <w:ind w:firstLine="900"/>
        <w:contextualSpacing w:val="1"/>
        <w:jc w:val="both"/>
        <w:rPr>
          <w:sz w:val="24"/>
        </w:rPr>
      </w:pPr>
      <w:r>
        <w:rPr>
          <w:sz w:val="24"/>
        </w:rPr>
        <w:t xml:space="preserve">ИКЗ </w:t>
      </w:r>
      <w:r>
        <w:rPr>
          <w:rFonts w:ascii="Times New Roman" w:hAnsi="Times New Roman"/>
          <w:b w:val="1"/>
          <w:sz w:val="24"/>
        </w:rPr>
        <w:t>261910200990891020100100210000000244</w:t>
      </w:r>
    </w:p>
    <w:p w14:paraId="18000000">
      <w:pPr>
        <w:widowControl w:val="1"/>
        <w:ind w:firstLine="900"/>
        <w:contextualSpacing w:val="1"/>
        <w:jc w:val="both"/>
        <w:rPr>
          <w:rFonts w:ascii="Times New Roman" w:hAnsi="Times New Roman"/>
          <w:b w:val="1"/>
          <w:sz w:val="24"/>
        </w:rPr>
      </w:pPr>
    </w:p>
    <w:p w14:paraId="19000000">
      <w:pPr>
        <w:widowControl w:val="1"/>
        <w:numPr>
          <w:ilvl w:val="0"/>
          <w:numId w:val="1"/>
        </w:numPr>
        <w:ind/>
        <w:jc w:val="center"/>
        <w:rPr>
          <w:b w:val="1"/>
          <w:color w:val="000000"/>
          <w:sz w:val="24"/>
        </w:rPr>
      </w:pPr>
      <w:r>
        <w:rPr>
          <w:b w:val="1"/>
          <w:color w:val="000000"/>
          <w:sz w:val="24"/>
        </w:rPr>
        <w:t xml:space="preserve">Предмет </w:t>
      </w:r>
      <w:r>
        <w:rPr>
          <w:b w:val="1"/>
          <w:color w:val="000000"/>
          <w:sz w:val="24"/>
        </w:rPr>
        <w:t>Договор</w:t>
      </w:r>
      <w:r>
        <w:rPr>
          <w:b w:val="1"/>
          <w:color w:val="000000"/>
          <w:sz w:val="24"/>
        </w:rPr>
        <w:t>а и срок исполнения</w:t>
      </w:r>
    </w:p>
    <w:p w14:paraId="1A000000">
      <w:pPr>
        <w:widowControl w:val="1"/>
        <w:ind w:left="720"/>
        <w:rPr>
          <w:b w:val="1"/>
          <w:color w:val="000000"/>
          <w:sz w:val="24"/>
        </w:rPr>
      </w:pPr>
    </w:p>
    <w:p w14:paraId="1B000000">
      <w:pPr>
        <w:widowControl w:val="1"/>
        <w:tabs>
          <w:tab w:leader="none" w:pos="1134" w:val="left"/>
        </w:tabs>
        <w:ind w:firstLine="737"/>
        <w:contextualSpacing w:val="1"/>
        <w:jc w:val="both"/>
        <w:rPr>
          <w:color w:val="000000"/>
          <w:spacing w:val="6"/>
          <w:sz w:val="24"/>
        </w:rPr>
      </w:pPr>
      <w:r>
        <w:rPr>
          <w:color w:val="000000"/>
          <w:sz w:val="24"/>
        </w:rPr>
        <w:t xml:space="preserve">1.1. Заказчик поручает, а Исполнитель принимает на себя обязательства по оказанию </w:t>
      </w:r>
      <w:r>
        <w:rPr>
          <w:color w:val="000000"/>
          <w:sz w:val="24"/>
        </w:rPr>
        <w:t>услуг</w:t>
      </w:r>
      <w:r>
        <w:rPr>
          <w:color w:val="000000"/>
          <w:spacing w:val="6"/>
          <w:sz w:val="24"/>
        </w:rPr>
        <w:t xml:space="preserve"> по р</w:t>
      </w:r>
      <w:r>
        <w:rPr>
          <w:color w:val="000000"/>
          <w:sz w:val="24"/>
        </w:rPr>
        <w:t>азработк</w:t>
      </w:r>
      <w:r>
        <w:rPr>
          <w:color w:val="000000"/>
          <w:sz w:val="24"/>
        </w:rPr>
        <w:t>е</w:t>
      </w:r>
      <w:r>
        <w:rPr>
          <w:color w:val="000000"/>
          <w:sz w:val="24"/>
        </w:rPr>
        <w:t xml:space="preserve"> паспортов отходов 1-4 класса опасности</w:t>
      </w:r>
      <w:r>
        <w:rPr>
          <w:color w:val="000000"/>
          <w:sz w:val="24"/>
        </w:rPr>
        <w:t xml:space="preserve"> в соответствии с перечнем отходов (приложение к договору № 1)</w:t>
      </w:r>
      <w:r>
        <w:rPr>
          <w:color w:val="000000"/>
          <w:sz w:val="24"/>
        </w:rPr>
        <w:t xml:space="preserve"> (далее – </w:t>
      </w:r>
      <w:r>
        <w:rPr>
          <w:color w:val="000000"/>
          <w:sz w:val="24"/>
        </w:rPr>
        <w:t>Услуг</w:t>
      </w:r>
      <w:r>
        <w:rPr>
          <w:color w:val="000000"/>
          <w:sz w:val="24"/>
        </w:rPr>
        <w:t>и)</w:t>
      </w:r>
      <w:r>
        <w:rPr>
          <w:color w:val="000000"/>
          <w:sz w:val="24"/>
        </w:rPr>
        <w:t>.</w:t>
      </w:r>
      <w:r>
        <w:rPr>
          <w:color w:val="000000"/>
          <w:sz w:val="24"/>
        </w:rPr>
        <w:t xml:space="preserve"> </w:t>
      </w:r>
    </w:p>
    <w:p w14:paraId="1C000000">
      <w:pPr>
        <w:widowControl w:val="1"/>
        <w:ind w:firstLine="737"/>
        <w:jc w:val="both"/>
        <w:rPr>
          <w:color w:val="000000"/>
          <w:sz w:val="24"/>
        </w:rPr>
      </w:pPr>
      <w:r>
        <w:rPr>
          <w:color w:val="000000"/>
          <w:sz w:val="24"/>
        </w:rPr>
        <w:t xml:space="preserve">1.2. Срок оказания </w:t>
      </w:r>
      <w:r>
        <w:rPr>
          <w:color w:val="000000"/>
          <w:sz w:val="24"/>
        </w:rPr>
        <w:t>Услуг</w:t>
      </w:r>
      <w:r>
        <w:rPr>
          <w:color w:val="000000"/>
          <w:sz w:val="24"/>
        </w:rPr>
        <w:t xml:space="preserve"> по </w:t>
      </w:r>
      <w:r>
        <w:rPr>
          <w:color w:val="000000"/>
          <w:sz w:val="24"/>
        </w:rPr>
        <w:t>Договор</w:t>
      </w:r>
      <w:r>
        <w:rPr>
          <w:color w:val="000000"/>
          <w:sz w:val="24"/>
        </w:rPr>
        <w:t xml:space="preserve">у определяется со дня </w:t>
      </w:r>
      <w:r>
        <w:rPr>
          <w:color w:val="000000"/>
          <w:sz w:val="24"/>
        </w:rPr>
        <w:t xml:space="preserve">подписания настоящего </w:t>
      </w:r>
      <w:r>
        <w:rPr>
          <w:color w:val="000000"/>
          <w:sz w:val="24"/>
        </w:rPr>
        <w:t>Договор</w:t>
      </w:r>
      <w:r>
        <w:rPr>
          <w:color w:val="000000"/>
          <w:sz w:val="24"/>
        </w:rPr>
        <w:t>а,</w:t>
      </w:r>
      <w:r>
        <w:rPr>
          <w:color w:val="000000"/>
          <w:sz w:val="24"/>
        </w:rPr>
        <w:t xml:space="preserve"> предоставления исходных данных </w:t>
      </w:r>
      <w:r>
        <w:rPr>
          <w:color w:val="000000"/>
          <w:sz w:val="24"/>
        </w:rPr>
        <w:t xml:space="preserve">перечня отходов </w:t>
      </w:r>
      <w:r>
        <w:rPr>
          <w:color w:val="000000"/>
          <w:sz w:val="24"/>
        </w:rPr>
        <w:t xml:space="preserve">в полном объеме </w:t>
      </w:r>
      <w:r>
        <w:rPr>
          <w:color w:val="000000"/>
          <w:sz w:val="24"/>
        </w:rPr>
        <w:t xml:space="preserve">                            </w:t>
      </w:r>
      <w:r>
        <w:rPr>
          <w:color w:val="000000"/>
          <w:sz w:val="24"/>
        </w:rPr>
        <w:t>(Приложение №</w:t>
      </w:r>
      <w:r>
        <w:rPr>
          <w:color w:val="000000"/>
          <w:sz w:val="24"/>
        </w:rPr>
        <w:t xml:space="preserve"> </w:t>
      </w:r>
      <w:r>
        <w:rPr>
          <w:color w:val="000000"/>
          <w:sz w:val="24"/>
        </w:rPr>
        <w:t xml:space="preserve">1) и составляет не более </w:t>
      </w:r>
      <w:r>
        <w:rPr>
          <w:color w:val="000000"/>
          <w:sz w:val="24"/>
        </w:rPr>
        <w:t>3</w:t>
      </w:r>
      <w:r>
        <w:rPr>
          <w:color w:val="000000"/>
          <w:sz w:val="24"/>
        </w:rPr>
        <w:t>0</w:t>
      </w:r>
      <w:r>
        <w:rPr>
          <w:color w:val="000000"/>
          <w:sz w:val="24"/>
        </w:rPr>
        <w:t xml:space="preserve"> рабочих дней.</w:t>
      </w:r>
      <w:r>
        <w:rPr>
          <w:sz w:val="24"/>
        </w:rPr>
        <w:t xml:space="preserve"> </w:t>
      </w:r>
    </w:p>
    <w:p w14:paraId="1D000000">
      <w:pPr>
        <w:widowControl w:val="1"/>
        <w:tabs>
          <w:tab w:leader="none" w:pos="1037" w:val="left"/>
        </w:tabs>
        <w:ind w:firstLine="737"/>
        <w:jc w:val="both"/>
        <w:rPr>
          <w:sz w:val="24"/>
        </w:rPr>
      </w:pPr>
      <w:r>
        <w:rPr>
          <w:color w:val="000000"/>
          <w:sz w:val="24"/>
        </w:rPr>
        <w:t xml:space="preserve">1.3. </w:t>
      </w:r>
      <w:r>
        <w:rPr>
          <w:color w:val="000000"/>
          <w:spacing w:val="13"/>
          <w:sz w:val="24"/>
        </w:rPr>
        <w:t xml:space="preserve">Исполнитель не имеет права продавать или публиковать без согласия Заказчика </w:t>
      </w:r>
      <w:r>
        <w:rPr>
          <w:color w:val="000000"/>
          <w:sz w:val="24"/>
        </w:rPr>
        <w:t xml:space="preserve">информацию, полученную им в результате оказанных </w:t>
      </w:r>
      <w:r>
        <w:rPr>
          <w:color w:val="000000"/>
          <w:sz w:val="24"/>
        </w:rPr>
        <w:t>Услуг</w:t>
      </w:r>
      <w:r>
        <w:rPr>
          <w:color w:val="000000"/>
          <w:sz w:val="24"/>
        </w:rPr>
        <w:t>.</w:t>
      </w:r>
    </w:p>
    <w:p w14:paraId="1E000000">
      <w:pPr>
        <w:widowControl w:val="1"/>
        <w:tabs>
          <w:tab w:leader="none" w:pos="709" w:val="left"/>
        </w:tabs>
        <w:ind w:firstLine="737"/>
        <w:jc w:val="both"/>
        <w:rPr>
          <w:sz w:val="24"/>
        </w:rPr>
      </w:pPr>
      <w:r>
        <w:rPr>
          <w:color w:val="000000"/>
          <w:spacing w:val="3"/>
          <w:sz w:val="24"/>
        </w:rPr>
        <w:t xml:space="preserve">1.4. В случае выявления в процессе оказания </w:t>
      </w:r>
      <w:r>
        <w:rPr>
          <w:color w:val="000000"/>
          <w:spacing w:val="3"/>
          <w:sz w:val="24"/>
        </w:rPr>
        <w:t>Услуг</w:t>
      </w:r>
      <w:r>
        <w:rPr>
          <w:color w:val="000000"/>
          <w:spacing w:val="3"/>
          <w:sz w:val="24"/>
        </w:rPr>
        <w:t xml:space="preserve"> недостаточности представленных документов Исполнитель имеет </w:t>
      </w:r>
      <w:r>
        <w:rPr>
          <w:color w:val="000000"/>
          <w:spacing w:val="8"/>
          <w:sz w:val="24"/>
        </w:rPr>
        <w:t xml:space="preserve">право потребовать дополнительные данные и документацию. Срок оказания </w:t>
      </w:r>
      <w:r>
        <w:rPr>
          <w:color w:val="000000"/>
          <w:spacing w:val="8"/>
          <w:sz w:val="24"/>
        </w:rPr>
        <w:t>Услуг</w:t>
      </w:r>
      <w:r>
        <w:rPr>
          <w:color w:val="000000"/>
          <w:spacing w:val="8"/>
          <w:sz w:val="24"/>
        </w:rPr>
        <w:t xml:space="preserve"> в данном случае </w:t>
      </w:r>
      <w:r>
        <w:rPr>
          <w:color w:val="000000"/>
          <w:spacing w:val="5"/>
          <w:sz w:val="24"/>
        </w:rPr>
        <w:t>увеличивается на срок подготовки и предоставления дополнительной информации и документации.</w:t>
      </w:r>
    </w:p>
    <w:p w14:paraId="1F000000">
      <w:pPr>
        <w:widowControl w:val="1"/>
        <w:tabs>
          <w:tab w:leader="none" w:pos="709" w:val="left"/>
        </w:tabs>
        <w:ind w:firstLine="737"/>
        <w:jc w:val="both"/>
        <w:rPr>
          <w:sz w:val="24"/>
        </w:rPr>
      </w:pPr>
      <w:r>
        <w:rPr>
          <w:color w:val="000000"/>
          <w:spacing w:val="5"/>
          <w:sz w:val="24"/>
        </w:rPr>
        <w:t xml:space="preserve">1.5. Исполнитель имеет право привлекать к оказанию </w:t>
      </w:r>
      <w:r>
        <w:rPr>
          <w:color w:val="000000"/>
          <w:spacing w:val="5"/>
          <w:sz w:val="24"/>
        </w:rPr>
        <w:t>Услуг</w:t>
      </w:r>
      <w:r>
        <w:rPr>
          <w:color w:val="000000"/>
          <w:spacing w:val="5"/>
          <w:sz w:val="24"/>
        </w:rPr>
        <w:t xml:space="preserve"> третьих лиц, </w:t>
      </w:r>
      <w:r>
        <w:rPr>
          <w:sz w:val="24"/>
        </w:rPr>
        <w:t>за действие которых отв</w:t>
      </w:r>
      <w:r>
        <w:rPr>
          <w:sz w:val="24"/>
        </w:rPr>
        <w:t>ечает, как за свои собственные.</w:t>
      </w:r>
    </w:p>
    <w:p w14:paraId="20000000">
      <w:pPr>
        <w:widowControl w:val="1"/>
        <w:spacing w:before="290"/>
        <w:ind w:firstLine="737"/>
        <w:jc w:val="center"/>
        <w:rPr>
          <w:b w:val="1"/>
          <w:color w:val="000000"/>
          <w:sz w:val="24"/>
        </w:rPr>
      </w:pPr>
      <w:r>
        <w:rPr>
          <w:b w:val="1"/>
          <w:color w:val="000000"/>
          <w:sz w:val="24"/>
        </w:rPr>
        <w:t xml:space="preserve">2. Обязанности </w:t>
      </w:r>
      <w:r>
        <w:rPr>
          <w:b w:val="1"/>
          <w:color w:val="000000"/>
          <w:sz w:val="24"/>
        </w:rPr>
        <w:t xml:space="preserve">и права </w:t>
      </w:r>
      <w:r>
        <w:rPr>
          <w:b w:val="1"/>
          <w:color w:val="000000"/>
          <w:sz w:val="24"/>
        </w:rPr>
        <w:t>сторон</w:t>
      </w:r>
    </w:p>
    <w:p w14:paraId="21000000">
      <w:pPr>
        <w:widowControl w:val="1"/>
        <w:spacing w:before="290"/>
        <w:ind w:firstLine="737"/>
        <w:jc w:val="center"/>
        <w:rPr>
          <w:b w:val="1"/>
          <w:color w:val="000000"/>
          <w:sz w:val="24"/>
        </w:rPr>
      </w:pPr>
    </w:p>
    <w:p w14:paraId="22000000">
      <w:pPr>
        <w:widowControl w:val="1"/>
        <w:tabs>
          <w:tab w:leader="none" w:pos="900" w:val="left"/>
        </w:tabs>
        <w:ind w:firstLine="737"/>
        <w:jc w:val="both"/>
        <w:rPr>
          <w:color w:val="000000"/>
          <w:sz w:val="24"/>
        </w:rPr>
      </w:pPr>
      <w:r>
        <w:rPr>
          <w:color w:val="000000"/>
          <w:sz w:val="24"/>
        </w:rPr>
        <w:t>2.1. Заказчик обязуется:</w:t>
      </w:r>
    </w:p>
    <w:p w14:paraId="23000000">
      <w:pPr>
        <w:widowControl w:val="1"/>
        <w:tabs>
          <w:tab w:leader="none" w:pos="900" w:val="left"/>
        </w:tabs>
        <w:ind w:firstLine="737"/>
        <w:jc w:val="both"/>
        <w:rPr>
          <w:color w:val="000000"/>
          <w:sz w:val="24"/>
        </w:rPr>
      </w:pPr>
      <w:r>
        <w:rPr>
          <w:color w:val="000000"/>
          <w:sz w:val="24"/>
        </w:rPr>
        <w:t xml:space="preserve">2.1.1 Производить приемку и оплату оказываемых в соответствии с настоящим </w:t>
      </w:r>
      <w:r>
        <w:rPr>
          <w:color w:val="000000"/>
          <w:sz w:val="24"/>
        </w:rPr>
        <w:t>Договор</w:t>
      </w:r>
      <w:r>
        <w:rPr>
          <w:color w:val="000000"/>
          <w:sz w:val="24"/>
        </w:rPr>
        <w:t xml:space="preserve">ом </w:t>
      </w:r>
      <w:r>
        <w:rPr>
          <w:color w:val="000000"/>
          <w:sz w:val="24"/>
        </w:rPr>
        <w:t>Услуг</w:t>
      </w:r>
      <w:r>
        <w:rPr>
          <w:color w:val="000000"/>
          <w:sz w:val="24"/>
        </w:rPr>
        <w:t>.</w:t>
      </w:r>
    </w:p>
    <w:p w14:paraId="24000000">
      <w:pPr>
        <w:widowControl w:val="1"/>
        <w:tabs>
          <w:tab w:leader="none" w:pos="900" w:val="left"/>
        </w:tabs>
        <w:ind w:firstLine="737"/>
        <w:jc w:val="both"/>
        <w:rPr>
          <w:color w:val="000000"/>
          <w:sz w:val="24"/>
        </w:rPr>
      </w:pPr>
      <w:r>
        <w:rPr>
          <w:color w:val="000000"/>
          <w:sz w:val="24"/>
        </w:rPr>
        <w:t>2.1.2</w:t>
      </w:r>
      <w:r>
        <w:rPr>
          <w:color w:val="000000"/>
          <w:sz w:val="24"/>
        </w:rPr>
        <w:t xml:space="preserve">. Заказчик обязуется своевременно предоставить Исполнителю все исходные данные, необходимые для оказания </w:t>
      </w:r>
      <w:r>
        <w:rPr>
          <w:color w:val="000000"/>
          <w:sz w:val="24"/>
        </w:rPr>
        <w:t>Услуг</w:t>
      </w:r>
      <w:r>
        <w:rPr>
          <w:color w:val="000000"/>
          <w:sz w:val="24"/>
        </w:rPr>
        <w:t>и.</w:t>
      </w:r>
    </w:p>
    <w:p w14:paraId="25000000">
      <w:pPr>
        <w:widowControl w:val="1"/>
        <w:tabs>
          <w:tab w:leader="none" w:pos="900" w:val="left"/>
        </w:tabs>
        <w:ind w:firstLine="737"/>
        <w:jc w:val="both"/>
        <w:rPr>
          <w:color w:val="000000"/>
          <w:sz w:val="24"/>
        </w:rPr>
      </w:pPr>
      <w:r>
        <w:rPr>
          <w:color w:val="000000"/>
          <w:sz w:val="24"/>
        </w:rPr>
        <w:t>2</w:t>
      </w:r>
      <w:r>
        <w:rPr>
          <w:color w:val="000000"/>
          <w:sz w:val="24"/>
        </w:rPr>
        <w:t xml:space="preserve">.2. Заказчик имеет право осуществлять текущий контроль за ходом оказания </w:t>
      </w:r>
      <w:r>
        <w:rPr>
          <w:color w:val="000000"/>
          <w:sz w:val="24"/>
        </w:rPr>
        <w:t>Услуг</w:t>
      </w:r>
      <w:r>
        <w:rPr>
          <w:color w:val="000000"/>
          <w:sz w:val="24"/>
        </w:rPr>
        <w:t xml:space="preserve"> Исполнителем.</w:t>
      </w:r>
    </w:p>
    <w:p w14:paraId="26000000">
      <w:pPr>
        <w:widowControl w:val="1"/>
        <w:tabs>
          <w:tab w:leader="none" w:pos="900" w:val="left"/>
        </w:tabs>
        <w:ind w:firstLine="737"/>
        <w:jc w:val="both"/>
        <w:rPr>
          <w:color w:val="000000"/>
          <w:sz w:val="24"/>
        </w:rPr>
      </w:pPr>
      <w:r>
        <w:rPr>
          <w:color w:val="000000"/>
          <w:sz w:val="24"/>
        </w:rPr>
        <w:t>2.</w:t>
      </w:r>
      <w:r>
        <w:rPr>
          <w:color w:val="000000"/>
          <w:sz w:val="24"/>
        </w:rPr>
        <w:t>3</w:t>
      </w:r>
      <w:r>
        <w:rPr>
          <w:color w:val="000000"/>
          <w:sz w:val="24"/>
        </w:rPr>
        <w:t>. Исполнитель обязуется:</w:t>
      </w:r>
    </w:p>
    <w:p w14:paraId="27000000">
      <w:pPr>
        <w:widowControl w:val="1"/>
        <w:tabs>
          <w:tab w:leader="none" w:pos="900" w:val="left"/>
        </w:tabs>
        <w:ind w:firstLine="737"/>
        <w:jc w:val="both"/>
        <w:rPr>
          <w:color w:val="000000"/>
          <w:sz w:val="24"/>
        </w:rPr>
      </w:pPr>
      <w:r>
        <w:rPr>
          <w:color w:val="000000"/>
          <w:sz w:val="24"/>
        </w:rPr>
        <w:t>2.</w:t>
      </w:r>
      <w:r>
        <w:rPr>
          <w:color w:val="000000"/>
          <w:sz w:val="24"/>
        </w:rPr>
        <w:t>3</w:t>
      </w:r>
      <w:r>
        <w:rPr>
          <w:color w:val="000000"/>
          <w:sz w:val="24"/>
        </w:rPr>
        <w:t>.1</w:t>
      </w:r>
      <w:r>
        <w:rPr>
          <w:color w:val="000000"/>
          <w:sz w:val="24"/>
        </w:rPr>
        <w:t>.</w:t>
      </w:r>
      <w:r>
        <w:rPr>
          <w:color w:val="000000"/>
          <w:sz w:val="24"/>
        </w:rPr>
        <w:t xml:space="preserve"> Своевременно и должным образом выполнять принятые на себя обязательства в соответствии с условиями настоящего </w:t>
      </w:r>
      <w:r>
        <w:rPr>
          <w:color w:val="000000"/>
          <w:sz w:val="24"/>
        </w:rPr>
        <w:t>Договор</w:t>
      </w:r>
      <w:r>
        <w:rPr>
          <w:color w:val="000000"/>
          <w:sz w:val="24"/>
        </w:rPr>
        <w:t>а.</w:t>
      </w:r>
    </w:p>
    <w:p w14:paraId="28000000">
      <w:pPr>
        <w:widowControl w:val="1"/>
        <w:tabs>
          <w:tab w:leader="none" w:pos="900" w:val="left"/>
        </w:tabs>
        <w:ind w:firstLine="737"/>
        <w:jc w:val="both"/>
        <w:rPr>
          <w:color w:val="000000"/>
          <w:sz w:val="24"/>
        </w:rPr>
      </w:pPr>
      <w:r>
        <w:rPr>
          <w:color w:val="000000"/>
          <w:sz w:val="24"/>
        </w:rPr>
        <w:t>2.</w:t>
      </w:r>
      <w:r>
        <w:rPr>
          <w:color w:val="000000"/>
          <w:sz w:val="24"/>
        </w:rPr>
        <w:t>3</w:t>
      </w:r>
      <w:r>
        <w:rPr>
          <w:color w:val="000000"/>
          <w:sz w:val="24"/>
        </w:rPr>
        <w:t>.2</w:t>
      </w:r>
      <w:r>
        <w:rPr>
          <w:color w:val="000000"/>
          <w:sz w:val="24"/>
        </w:rPr>
        <w:t>.</w:t>
      </w:r>
      <w:r>
        <w:rPr>
          <w:color w:val="000000"/>
          <w:sz w:val="24"/>
        </w:rPr>
        <w:t xml:space="preserve"> Выполнять указания Заказчика, представленные в письменном виде, если они не противоречат условиям настоящего </w:t>
      </w:r>
      <w:r>
        <w:rPr>
          <w:color w:val="000000"/>
          <w:sz w:val="24"/>
        </w:rPr>
        <w:t>Договор</w:t>
      </w:r>
      <w:r>
        <w:rPr>
          <w:color w:val="000000"/>
          <w:sz w:val="24"/>
        </w:rPr>
        <w:t>а, действующему законодательству РФ.</w:t>
      </w:r>
    </w:p>
    <w:p w14:paraId="29000000">
      <w:pPr>
        <w:widowControl w:val="1"/>
        <w:tabs>
          <w:tab w:leader="none" w:pos="900" w:val="left"/>
        </w:tabs>
        <w:ind w:firstLine="737"/>
        <w:jc w:val="both"/>
        <w:rPr>
          <w:color w:val="000000"/>
          <w:sz w:val="24"/>
        </w:rPr>
      </w:pPr>
      <w:r>
        <w:rPr>
          <w:color w:val="000000"/>
          <w:sz w:val="24"/>
        </w:rPr>
        <w:t>2.</w:t>
      </w:r>
      <w:r>
        <w:rPr>
          <w:color w:val="000000"/>
          <w:sz w:val="24"/>
        </w:rPr>
        <w:t>3</w:t>
      </w:r>
      <w:r>
        <w:rPr>
          <w:color w:val="000000"/>
          <w:sz w:val="24"/>
        </w:rPr>
        <w:t>.3</w:t>
      </w:r>
      <w:r>
        <w:rPr>
          <w:color w:val="000000"/>
          <w:sz w:val="24"/>
        </w:rPr>
        <w:t>.</w:t>
      </w:r>
      <w:r>
        <w:rPr>
          <w:color w:val="000000"/>
          <w:sz w:val="24"/>
        </w:rPr>
        <w:t xml:space="preserve"> Информировать регулярно Заказчика по его запросу о состоянии дел по выполнению настоящего </w:t>
      </w:r>
      <w:r>
        <w:rPr>
          <w:color w:val="000000"/>
          <w:sz w:val="24"/>
        </w:rPr>
        <w:t>Договор</w:t>
      </w:r>
      <w:r>
        <w:rPr>
          <w:color w:val="000000"/>
          <w:sz w:val="24"/>
        </w:rPr>
        <w:t>а.</w:t>
      </w:r>
    </w:p>
    <w:p w14:paraId="2A000000">
      <w:pPr>
        <w:widowControl w:val="1"/>
        <w:tabs>
          <w:tab w:leader="none" w:pos="900" w:val="left"/>
        </w:tabs>
        <w:ind w:firstLine="737"/>
        <w:jc w:val="center"/>
        <w:rPr>
          <w:b w:val="1"/>
          <w:color w:val="000000"/>
          <w:sz w:val="24"/>
        </w:rPr>
      </w:pPr>
      <w:r>
        <w:rPr>
          <w:b w:val="1"/>
          <w:color w:val="000000"/>
          <w:sz w:val="24"/>
        </w:rPr>
        <w:t xml:space="preserve">3. Цена </w:t>
      </w:r>
      <w:r>
        <w:rPr>
          <w:b w:val="1"/>
          <w:color w:val="000000"/>
          <w:sz w:val="24"/>
        </w:rPr>
        <w:t>Договор</w:t>
      </w:r>
      <w:r>
        <w:rPr>
          <w:b w:val="1"/>
          <w:color w:val="000000"/>
          <w:sz w:val="24"/>
        </w:rPr>
        <w:t>а</w:t>
      </w:r>
    </w:p>
    <w:p w14:paraId="2B000000">
      <w:pPr>
        <w:widowControl w:val="1"/>
        <w:tabs>
          <w:tab w:leader="none" w:pos="900" w:val="left"/>
        </w:tabs>
        <w:ind w:firstLine="737"/>
        <w:jc w:val="center"/>
        <w:rPr>
          <w:b w:val="1"/>
          <w:color w:val="000000"/>
          <w:sz w:val="24"/>
        </w:rPr>
      </w:pPr>
    </w:p>
    <w:p w14:paraId="2C000000">
      <w:pPr>
        <w:widowControl w:val="1"/>
        <w:tabs>
          <w:tab w:leader="none" w:pos="0" w:val="left"/>
          <w:tab w:leader="none" w:pos="1134" w:val="left"/>
        </w:tabs>
        <w:ind w:firstLine="851" w:left="-142"/>
        <w:jc w:val="both"/>
        <w:rPr>
          <w:sz w:val="24"/>
        </w:rPr>
      </w:pPr>
      <w:r>
        <w:rPr>
          <w:sz w:val="24"/>
        </w:rPr>
        <w:t xml:space="preserve">3.1. </w:t>
      </w:r>
      <w:r>
        <w:rPr>
          <w:sz w:val="24"/>
        </w:rPr>
        <w:tab/>
      </w:r>
      <w:r>
        <w:rPr>
          <w:sz w:val="24"/>
        </w:rPr>
        <w:t>Цена Договора устанавливается в российских рублях.</w:t>
      </w:r>
    </w:p>
    <w:p w14:paraId="2D000000">
      <w:pPr>
        <w:widowControl w:val="1"/>
        <w:tabs>
          <w:tab w:leader="none" w:pos="0" w:val="left"/>
          <w:tab w:leader="none" w:pos="1134" w:val="left"/>
        </w:tabs>
        <w:ind w:firstLine="851" w:left="-142"/>
        <w:jc w:val="both"/>
        <w:rPr>
          <w:b w:val="1"/>
          <w:sz w:val="24"/>
        </w:rPr>
      </w:pPr>
      <w:r>
        <w:rPr>
          <w:sz w:val="24"/>
        </w:rPr>
        <w:t>3.2.</w:t>
      </w:r>
      <w:r>
        <w:rPr>
          <w:sz w:val="24"/>
        </w:rPr>
        <w:tab/>
      </w:r>
      <w:r>
        <w:rPr>
          <w:sz w:val="24"/>
        </w:rPr>
        <w:t xml:space="preserve">Цена Договора составляет </w:t>
      </w:r>
    </w:p>
    <w:p w14:paraId="2E000000">
      <w:pPr>
        <w:widowControl w:val="1"/>
        <w:tabs>
          <w:tab w:leader="none" w:pos="0" w:val="left"/>
        </w:tabs>
        <w:ind w:firstLine="851" w:left="-142"/>
        <w:jc w:val="both"/>
        <w:rPr>
          <w:sz w:val="24"/>
        </w:rPr>
      </w:pPr>
      <w:r>
        <w:rPr>
          <w:sz w:val="24"/>
        </w:rPr>
        <w:t xml:space="preserve">Цена Договора рассчитана в соответствии </w:t>
      </w:r>
      <w:r>
        <w:rPr>
          <w:sz w:val="24"/>
        </w:rPr>
        <w:t>с исходными данными</w:t>
      </w:r>
      <w:r>
        <w:rPr>
          <w:sz w:val="24"/>
        </w:rPr>
        <w:t xml:space="preserve"> перечня отходов</w:t>
      </w:r>
      <w:r>
        <w:rPr>
          <w:sz w:val="24"/>
        </w:rPr>
        <w:t xml:space="preserve"> (Приложение № 1)</w:t>
      </w:r>
      <w:r>
        <w:rPr>
          <w:sz w:val="24"/>
        </w:rPr>
        <w:t>, включает все расходы связанные с пересылкой (при необходимости)</w:t>
      </w:r>
      <w:r>
        <w:rPr>
          <w:sz w:val="24"/>
        </w:rPr>
        <w:t>.</w:t>
      </w:r>
    </w:p>
    <w:p w14:paraId="2F000000">
      <w:pPr>
        <w:widowControl w:val="1"/>
        <w:tabs>
          <w:tab w:leader="none" w:pos="0" w:val="left"/>
        </w:tabs>
        <w:ind w:firstLine="851" w:left="-142"/>
        <w:jc w:val="both"/>
        <w:rPr>
          <w:sz w:val="24"/>
        </w:rPr>
      </w:pPr>
      <w:r>
        <w:rPr>
          <w:sz w:val="24"/>
        </w:rPr>
        <w:t>3.3. Цена Договора является твердой и не подлежит изменению в течение срока действия Договора, за исключением случаев, предусмотренных Федеральным законом от 05.04.2013</w:t>
      </w:r>
      <w:r>
        <w:rPr>
          <w:sz w:val="24"/>
        </w:rPr>
        <w:t xml:space="preserve">                     </w:t>
      </w:r>
      <w:r>
        <w:rPr>
          <w:sz w:val="24"/>
        </w:rPr>
        <w:t xml:space="preserve"> № 44-ФЗ «О контрактной системе в сфере закупок товаров, работ, </w:t>
      </w:r>
      <w:r>
        <w:rPr>
          <w:sz w:val="24"/>
        </w:rPr>
        <w:t>Услуг</w:t>
      </w:r>
      <w:r>
        <w:rPr>
          <w:sz w:val="24"/>
        </w:rPr>
        <w:t xml:space="preserve"> для обеспечения государственных и муниципальных нужд» (далее – Федеральный закон от 05.04.2013 № 44-ФЗ). </w:t>
      </w:r>
    </w:p>
    <w:p w14:paraId="30000000">
      <w:pPr>
        <w:widowControl w:val="1"/>
        <w:tabs>
          <w:tab w:leader="none" w:pos="0" w:val="left"/>
        </w:tabs>
        <w:ind w:firstLine="851" w:left="-142"/>
        <w:jc w:val="both"/>
        <w:rPr>
          <w:sz w:val="24"/>
        </w:rPr>
      </w:pPr>
      <w:r>
        <w:rPr>
          <w:sz w:val="24"/>
        </w:rPr>
        <w:t xml:space="preserve">3.4.  Оплата </w:t>
      </w:r>
      <w:r>
        <w:rPr>
          <w:sz w:val="24"/>
        </w:rPr>
        <w:t>Услуг</w:t>
      </w:r>
      <w:r>
        <w:rPr>
          <w:sz w:val="24"/>
        </w:rPr>
        <w:t xml:space="preserve"> производится в форме безналичных расчетов.</w:t>
      </w:r>
    </w:p>
    <w:p w14:paraId="31000000">
      <w:pPr>
        <w:widowControl w:val="1"/>
        <w:tabs>
          <w:tab w:leader="none" w:pos="0" w:val="left"/>
        </w:tabs>
        <w:ind w:firstLine="851" w:left="-142"/>
        <w:jc w:val="both"/>
        <w:rPr>
          <w:sz w:val="24"/>
        </w:rPr>
      </w:pPr>
      <w:r>
        <w:rPr>
          <w:sz w:val="24"/>
        </w:rPr>
        <w:t xml:space="preserve">3.5. Оплата по Договору осуществляется за </w:t>
      </w:r>
      <w:r>
        <w:rPr>
          <w:b w:val="1"/>
          <w:sz w:val="24"/>
        </w:rPr>
        <w:t>счет средств федерального бюджета</w:t>
      </w:r>
      <w:r>
        <w:rPr>
          <w:sz w:val="24"/>
        </w:rPr>
        <w:t>, предусмотренных на указанные цели Федеральному казенному учреждению «Главное бюро медико-социальной экспертизы по Республике Крым» Министерства труда и социальной защ</w:t>
      </w:r>
      <w:r>
        <w:rPr>
          <w:sz w:val="24"/>
        </w:rPr>
        <w:t>иты Российской Федерации на 2026</w:t>
      </w:r>
      <w:r>
        <w:rPr>
          <w:sz w:val="24"/>
        </w:rPr>
        <w:t xml:space="preserve"> год.</w:t>
      </w:r>
    </w:p>
    <w:p w14:paraId="32000000">
      <w:pPr>
        <w:widowControl w:val="1"/>
        <w:tabs>
          <w:tab w:leader="none" w:pos="0" w:val="left"/>
        </w:tabs>
        <w:ind w:firstLine="851" w:left="-142"/>
        <w:jc w:val="both"/>
        <w:rPr>
          <w:sz w:val="24"/>
        </w:rPr>
      </w:pPr>
      <w:r>
        <w:rPr>
          <w:sz w:val="24"/>
        </w:rPr>
        <w:t>3.6. Оплата осуществляется платежным поручением с лицевого счета Заказчика на расчетный счет Исполнителя. Датой оплаты считается дата списания денежных средств со счета Заказчика (лицевого счета получателя средств федерального бюджета).</w:t>
      </w:r>
    </w:p>
    <w:p w14:paraId="33000000">
      <w:pPr>
        <w:widowControl w:val="1"/>
        <w:tabs>
          <w:tab w:leader="none" w:pos="0" w:val="left"/>
        </w:tabs>
        <w:ind w:firstLine="851" w:left="-142"/>
        <w:jc w:val="both"/>
        <w:rPr>
          <w:sz w:val="24"/>
        </w:rPr>
      </w:pPr>
      <w:r>
        <w:rPr>
          <w:sz w:val="24"/>
        </w:rPr>
        <w:t xml:space="preserve"> 3.7. Оплата осуществляется Заказчиком по факту оказания </w:t>
      </w:r>
      <w:r>
        <w:rPr>
          <w:sz w:val="24"/>
        </w:rPr>
        <w:t>Услуг</w:t>
      </w:r>
      <w:r>
        <w:rPr>
          <w:sz w:val="24"/>
        </w:rPr>
        <w:t xml:space="preserve"> в течение </w:t>
      </w:r>
      <w:r>
        <w:rPr>
          <w:sz w:val="24"/>
        </w:rPr>
        <w:t>7</w:t>
      </w:r>
      <w:r>
        <w:rPr>
          <w:sz w:val="24"/>
        </w:rPr>
        <w:t xml:space="preserve"> (</w:t>
      </w:r>
      <w:r>
        <w:rPr>
          <w:sz w:val="24"/>
        </w:rPr>
        <w:t>семи</w:t>
      </w:r>
      <w:r>
        <w:rPr>
          <w:sz w:val="24"/>
        </w:rPr>
        <w:t xml:space="preserve">) банковских дней со дня предоставления Исполнителем Заказчику следующих документов: </w:t>
      </w:r>
    </w:p>
    <w:p w14:paraId="34000000">
      <w:pPr>
        <w:widowControl w:val="1"/>
        <w:tabs>
          <w:tab w:leader="none" w:pos="0" w:val="left"/>
        </w:tabs>
        <w:ind w:firstLine="851" w:left="-142"/>
        <w:jc w:val="both"/>
        <w:rPr>
          <w:sz w:val="24"/>
        </w:rPr>
      </w:pPr>
      <w:r>
        <w:rPr>
          <w:sz w:val="24"/>
        </w:rPr>
        <w:t xml:space="preserve">а) счета на оплату </w:t>
      </w:r>
      <w:r>
        <w:rPr>
          <w:sz w:val="24"/>
        </w:rPr>
        <w:t>Услуг</w:t>
      </w:r>
      <w:r>
        <w:rPr>
          <w:sz w:val="24"/>
        </w:rPr>
        <w:t xml:space="preserve">; </w:t>
      </w:r>
    </w:p>
    <w:p w14:paraId="35000000">
      <w:pPr>
        <w:widowControl w:val="1"/>
        <w:tabs>
          <w:tab w:leader="none" w:pos="0" w:val="left"/>
        </w:tabs>
        <w:ind w:firstLine="851" w:left="-142"/>
        <w:jc w:val="both"/>
        <w:rPr>
          <w:sz w:val="24"/>
        </w:rPr>
      </w:pPr>
      <w:r>
        <w:rPr>
          <w:sz w:val="24"/>
        </w:rPr>
        <w:t xml:space="preserve">б) </w:t>
      </w:r>
      <w:r>
        <w:rPr>
          <w:sz w:val="24"/>
        </w:rPr>
        <w:t>акт</w:t>
      </w:r>
      <w:r>
        <w:rPr>
          <w:sz w:val="24"/>
        </w:rPr>
        <w:t>а</w:t>
      </w:r>
      <w:r>
        <w:rPr>
          <w:sz w:val="24"/>
        </w:rPr>
        <w:t xml:space="preserve"> </w:t>
      </w:r>
      <w:r>
        <w:rPr>
          <w:color w:val="000000"/>
          <w:spacing w:val="1"/>
          <w:sz w:val="24"/>
        </w:rPr>
        <w:t xml:space="preserve">приема-сдачи результатов оказанных </w:t>
      </w:r>
      <w:r>
        <w:rPr>
          <w:color w:val="000000"/>
          <w:spacing w:val="1"/>
          <w:sz w:val="24"/>
        </w:rPr>
        <w:t>Услуг</w:t>
      </w:r>
      <w:r>
        <w:rPr>
          <w:sz w:val="24"/>
        </w:rPr>
        <w:t>.</w:t>
      </w:r>
    </w:p>
    <w:p w14:paraId="36000000">
      <w:pPr>
        <w:widowControl w:val="1"/>
        <w:tabs>
          <w:tab w:leader="none" w:pos="0" w:val="left"/>
        </w:tabs>
        <w:ind w:firstLine="851" w:left="-142"/>
        <w:jc w:val="both"/>
        <w:rPr>
          <w:sz w:val="24"/>
        </w:rPr>
      </w:pPr>
      <w:r>
        <w:rPr>
          <w:sz w:val="24"/>
        </w:rPr>
        <w:t>3.8. На всех документах, пере</w:t>
      </w:r>
      <w:r>
        <w:rPr>
          <w:sz w:val="24"/>
        </w:rPr>
        <w:t>численных в подпунктах «а», «б»</w:t>
      </w:r>
      <w:r>
        <w:rPr>
          <w:sz w:val="24"/>
        </w:rPr>
        <w:t xml:space="preserve"> пункта 3.7 Договора обязательно должны быть указаны наименования Заказчика и Исполнителя, номер и дата Договора, даты оформления и подписания  документов. </w:t>
      </w:r>
    </w:p>
    <w:p w14:paraId="37000000">
      <w:pPr>
        <w:widowControl w:val="1"/>
        <w:tabs>
          <w:tab w:leader="none" w:pos="0" w:val="left"/>
        </w:tabs>
        <w:ind w:firstLine="851" w:left="-142"/>
        <w:jc w:val="both"/>
        <w:rPr>
          <w:sz w:val="24"/>
        </w:rPr>
      </w:pPr>
      <w:r>
        <w:rPr>
          <w:sz w:val="24"/>
        </w:rPr>
        <w:t>3.9. По окончании исполнения Сторонами обязательств по Договору Исполнитель в течение 3 (трёх) рабочих дней представляет Заказчику Акт сверки расчетов по Договору.</w:t>
      </w:r>
    </w:p>
    <w:p w14:paraId="38000000">
      <w:pPr>
        <w:widowControl w:val="1"/>
        <w:tabs>
          <w:tab w:leader="none" w:pos="0" w:val="left"/>
        </w:tabs>
        <w:ind w:firstLine="851" w:left="-142"/>
        <w:jc w:val="both"/>
        <w:rPr>
          <w:sz w:val="24"/>
        </w:rPr>
      </w:pPr>
    </w:p>
    <w:p w14:paraId="39000000">
      <w:pPr>
        <w:widowControl w:val="1"/>
        <w:ind w:firstLine="737"/>
        <w:jc w:val="center"/>
        <w:rPr>
          <w:b w:val="1"/>
          <w:color w:val="000000"/>
          <w:sz w:val="24"/>
        </w:rPr>
      </w:pPr>
      <w:r>
        <w:rPr>
          <w:b w:val="1"/>
          <w:color w:val="000000"/>
          <w:sz w:val="24"/>
        </w:rPr>
        <w:t xml:space="preserve">4. Порядок сдачи и приемки результатов оказываемых </w:t>
      </w:r>
      <w:r>
        <w:rPr>
          <w:b w:val="1"/>
          <w:color w:val="000000"/>
          <w:sz w:val="24"/>
        </w:rPr>
        <w:t>Услуг</w:t>
      </w:r>
    </w:p>
    <w:p w14:paraId="3A000000">
      <w:pPr>
        <w:widowControl w:val="1"/>
        <w:ind w:firstLine="737"/>
        <w:jc w:val="center"/>
        <w:rPr>
          <w:sz w:val="24"/>
        </w:rPr>
      </w:pPr>
    </w:p>
    <w:p w14:paraId="3B000000">
      <w:pPr>
        <w:widowControl w:val="1"/>
        <w:tabs>
          <w:tab w:leader="none" w:pos="0" w:val="left"/>
          <w:tab w:leader="none" w:pos="388" w:val="left"/>
        </w:tabs>
        <w:ind w:firstLine="737"/>
        <w:jc w:val="both"/>
        <w:rPr>
          <w:sz w:val="24"/>
        </w:rPr>
      </w:pPr>
      <w:r>
        <w:rPr>
          <w:color w:val="000000"/>
          <w:spacing w:val="1"/>
          <w:sz w:val="24"/>
        </w:rPr>
        <w:t>4.1. После исполнения обязательств Исполнителем</w:t>
      </w:r>
      <w:r>
        <w:rPr>
          <w:color w:val="000000"/>
          <w:spacing w:val="1"/>
          <w:sz w:val="24"/>
        </w:rPr>
        <w:t>, указанных в п. 1.1,</w:t>
      </w:r>
      <w:r>
        <w:rPr>
          <w:color w:val="000000"/>
          <w:spacing w:val="1"/>
          <w:sz w:val="24"/>
        </w:rPr>
        <w:t xml:space="preserve"> сторонами составляется акт приема-сдачи результатов оказанных </w:t>
      </w:r>
      <w:r>
        <w:rPr>
          <w:color w:val="000000"/>
          <w:spacing w:val="1"/>
          <w:sz w:val="24"/>
        </w:rPr>
        <w:t>Услуг</w:t>
      </w:r>
      <w:r>
        <w:rPr>
          <w:color w:val="000000"/>
          <w:spacing w:val="1"/>
          <w:sz w:val="24"/>
        </w:rPr>
        <w:t xml:space="preserve"> (далее по тексту - Акт).</w:t>
      </w:r>
    </w:p>
    <w:p w14:paraId="3C000000">
      <w:pPr>
        <w:widowControl w:val="1"/>
        <w:tabs>
          <w:tab w:leader="none" w:pos="0" w:val="left"/>
          <w:tab w:leader="none" w:pos="388" w:val="left"/>
        </w:tabs>
        <w:ind w:firstLine="737"/>
        <w:jc w:val="both"/>
        <w:rPr>
          <w:sz w:val="24"/>
        </w:rPr>
      </w:pPr>
      <w:r>
        <w:rPr>
          <w:color w:val="000000"/>
          <w:spacing w:val="1"/>
          <w:sz w:val="24"/>
        </w:rPr>
        <w:t>4.2. Заказчик в т</w:t>
      </w:r>
      <w:r>
        <w:rPr>
          <w:color w:val="000000"/>
          <w:spacing w:val="1"/>
          <w:sz w:val="24"/>
        </w:rPr>
        <w:t>ечение 5</w:t>
      </w:r>
      <w:r>
        <w:rPr>
          <w:color w:val="000000"/>
          <w:spacing w:val="1"/>
          <w:sz w:val="24"/>
        </w:rPr>
        <w:t xml:space="preserve"> рабочих дней со дня получения Акта обязан направить Исполнителю подписанный Акт или мотивированный отказ от приемки результатов оказанных </w:t>
      </w:r>
      <w:r>
        <w:rPr>
          <w:color w:val="000000"/>
          <w:spacing w:val="1"/>
          <w:sz w:val="24"/>
        </w:rPr>
        <w:t>Услуг</w:t>
      </w:r>
      <w:r>
        <w:rPr>
          <w:color w:val="000000"/>
          <w:spacing w:val="1"/>
          <w:sz w:val="24"/>
        </w:rPr>
        <w:t xml:space="preserve">. При отсутствии мотивированного отказа от приема результатов оказанных </w:t>
      </w:r>
      <w:r>
        <w:rPr>
          <w:color w:val="000000"/>
          <w:spacing w:val="1"/>
          <w:sz w:val="24"/>
        </w:rPr>
        <w:t>Услуг</w:t>
      </w:r>
      <w:r>
        <w:rPr>
          <w:color w:val="000000"/>
          <w:spacing w:val="1"/>
          <w:sz w:val="24"/>
        </w:rPr>
        <w:t xml:space="preserve"> в течение 5</w:t>
      </w:r>
      <w:r>
        <w:rPr>
          <w:color w:val="000000"/>
          <w:spacing w:val="1"/>
          <w:sz w:val="24"/>
        </w:rPr>
        <w:t xml:space="preserve"> </w:t>
      </w:r>
      <w:r>
        <w:rPr>
          <w:color w:val="000000"/>
          <w:spacing w:val="1"/>
          <w:sz w:val="24"/>
        </w:rPr>
        <w:t xml:space="preserve">рабочих </w:t>
      </w:r>
      <w:r>
        <w:rPr>
          <w:color w:val="000000"/>
          <w:spacing w:val="1"/>
          <w:sz w:val="24"/>
        </w:rPr>
        <w:t xml:space="preserve">дней, </w:t>
      </w:r>
      <w:r>
        <w:rPr>
          <w:color w:val="000000"/>
          <w:spacing w:val="1"/>
          <w:sz w:val="24"/>
        </w:rPr>
        <w:t>Услуг</w:t>
      </w:r>
      <w:r>
        <w:rPr>
          <w:color w:val="000000"/>
          <w:spacing w:val="1"/>
          <w:sz w:val="24"/>
        </w:rPr>
        <w:t>и считаются оказанными в полном объеме и в установленный срок на основании одностороннего Акта.</w:t>
      </w:r>
    </w:p>
    <w:p w14:paraId="3D000000">
      <w:pPr>
        <w:widowControl w:val="1"/>
        <w:tabs>
          <w:tab w:leader="none" w:pos="878" w:val="left"/>
        </w:tabs>
        <w:ind w:firstLine="737"/>
        <w:jc w:val="both"/>
        <w:rPr>
          <w:sz w:val="24"/>
        </w:rPr>
      </w:pPr>
      <w:r>
        <w:rPr>
          <w:color w:val="000000"/>
          <w:sz w:val="24"/>
        </w:rPr>
        <w:t xml:space="preserve">4.3. </w:t>
      </w:r>
      <w:r>
        <w:rPr>
          <w:color w:val="000000"/>
          <w:spacing w:val="5"/>
          <w:sz w:val="24"/>
        </w:rPr>
        <w:t xml:space="preserve">В случае мотивированного отказа Заказчика от приемки </w:t>
      </w:r>
      <w:r>
        <w:rPr>
          <w:color w:val="000000"/>
          <w:spacing w:val="1"/>
          <w:sz w:val="24"/>
        </w:rPr>
        <w:t xml:space="preserve">результатов оказанных </w:t>
      </w:r>
      <w:r>
        <w:rPr>
          <w:color w:val="000000"/>
          <w:spacing w:val="1"/>
          <w:sz w:val="24"/>
        </w:rPr>
        <w:t>Услуг</w:t>
      </w:r>
      <w:r>
        <w:rPr>
          <w:color w:val="000000"/>
          <w:spacing w:val="5"/>
          <w:sz w:val="24"/>
        </w:rPr>
        <w:t xml:space="preserve"> Сторонами составляется двусторонний а</w:t>
      </w:r>
      <w:r>
        <w:rPr>
          <w:color w:val="000000"/>
          <w:spacing w:val="-1"/>
          <w:sz w:val="24"/>
        </w:rPr>
        <w:t>кт с перечнем необходимых доработок и сроков их выполнения.</w:t>
      </w:r>
    </w:p>
    <w:p w14:paraId="3E000000">
      <w:pPr>
        <w:widowControl w:val="1"/>
        <w:ind w:firstLine="737"/>
        <w:jc w:val="both"/>
        <w:rPr>
          <w:sz w:val="24"/>
        </w:rPr>
      </w:pPr>
      <w:r>
        <w:rPr>
          <w:color w:val="000000"/>
          <w:spacing w:val="7"/>
          <w:sz w:val="24"/>
        </w:rPr>
        <w:t xml:space="preserve">Основаниями для отказа в приемке </w:t>
      </w:r>
      <w:r>
        <w:rPr>
          <w:color w:val="000000"/>
          <w:spacing w:val="1"/>
          <w:sz w:val="24"/>
        </w:rPr>
        <w:t xml:space="preserve">результатов оказанных </w:t>
      </w:r>
      <w:r>
        <w:rPr>
          <w:color w:val="000000"/>
          <w:spacing w:val="1"/>
          <w:sz w:val="24"/>
        </w:rPr>
        <w:t>Услуг</w:t>
      </w:r>
      <w:r>
        <w:rPr>
          <w:color w:val="000000"/>
          <w:spacing w:val="7"/>
          <w:sz w:val="24"/>
        </w:rPr>
        <w:t xml:space="preserve"> является несоответствие документации, разработанной </w:t>
      </w:r>
      <w:r>
        <w:rPr>
          <w:color w:val="000000"/>
          <w:spacing w:val="4"/>
          <w:sz w:val="24"/>
        </w:rPr>
        <w:t xml:space="preserve">Исполнителем, требованиям действующего законодательства, а также требованиям и указаниям Заказчика, </w:t>
      </w:r>
      <w:r>
        <w:rPr>
          <w:color w:val="000000"/>
          <w:spacing w:val="-2"/>
          <w:sz w:val="24"/>
        </w:rPr>
        <w:t xml:space="preserve">изложенным в настоящем </w:t>
      </w:r>
      <w:r>
        <w:rPr>
          <w:color w:val="000000"/>
          <w:spacing w:val="-2"/>
          <w:sz w:val="24"/>
        </w:rPr>
        <w:t>Договор</w:t>
      </w:r>
      <w:r>
        <w:rPr>
          <w:color w:val="000000"/>
          <w:spacing w:val="-2"/>
          <w:sz w:val="24"/>
        </w:rPr>
        <w:t>е.</w:t>
      </w:r>
    </w:p>
    <w:p w14:paraId="3F000000">
      <w:pPr>
        <w:widowControl w:val="1"/>
        <w:tabs>
          <w:tab w:leader="none" w:pos="0" w:val="left"/>
          <w:tab w:leader="none" w:pos="382" w:val="left"/>
        </w:tabs>
        <w:ind w:firstLine="737"/>
        <w:jc w:val="both"/>
        <w:rPr>
          <w:color w:val="000000"/>
          <w:spacing w:val="-1"/>
          <w:sz w:val="24"/>
        </w:rPr>
      </w:pPr>
      <w:r>
        <w:rPr>
          <w:color w:val="000000"/>
          <w:spacing w:val="2"/>
          <w:sz w:val="24"/>
        </w:rPr>
        <w:t xml:space="preserve">4.4. При досрочном оказании Исполнителем предусмотренных </w:t>
      </w:r>
      <w:r>
        <w:rPr>
          <w:color w:val="000000"/>
          <w:spacing w:val="2"/>
          <w:sz w:val="24"/>
        </w:rPr>
        <w:t>Услуг</w:t>
      </w:r>
      <w:r>
        <w:rPr>
          <w:color w:val="000000"/>
          <w:spacing w:val="2"/>
          <w:sz w:val="24"/>
        </w:rPr>
        <w:t xml:space="preserve"> Заказчик обязан принять </w:t>
      </w:r>
      <w:r>
        <w:rPr>
          <w:color w:val="000000"/>
          <w:spacing w:val="1"/>
          <w:sz w:val="24"/>
        </w:rPr>
        <w:t xml:space="preserve">результат оказанных </w:t>
      </w:r>
      <w:r>
        <w:rPr>
          <w:color w:val="000000"/>
          <w:spacing w:val="1"/>
          <w:sz w:val="24"/>
        </w:rPr>
        <w:t>Услуг</w:t>
      </w:r>
      <w:r>
        <w:rPr>
          <w:color w:val="000000"/>
          <w:spacing w:val="2"/>
          <w:sz w:val="24"/>
        </w:rPr>
        <w:t xml:space="preserve"> </w:t>
      </w:r>
      <w:r>
        <w:rPr>
          <w:color w:val="000000"/>
          <w:spacing w:val="-1"/>
          <w:sz w:val="24"/>
        </w:rPr>
        <w:t xml:space="preserve">на условиях настоящего </w:t>
      </w:r>
      <w:r>
        <w:rPr>
          <w:color w:val="000000"/>
          <w:spacing w:val="-1"/>
          <w:sz w:val="24"/>
        </w:rPr>
        <w:t>Договор</w:t>
      </w:r>
      <w:r>
        <w:rPr>
          <w:color w:val="000000"/>
          <w:spacing w:val="-1"/>
          <w:sz w:val="24"/>
        </w:rPr>
        <w:t>а.</w:t>
      </w:r>
    </w:p>
    <w:p w14:paraId="40000000">
      <w:pPr>
        <w:widowControl w:val="1"/>
        <w:tabs>
          <w:tab w:leader="none" w:pos="0" w:val="left"/>
          <w:tab w:leader="none" w:pos="382" w:val="left"/>
        </w:tabs>
        <w:ind w:firstLine="737"/>
        <w:jc w:val="both"/>
        <w:rPr>
          <w:color w:val="000000"/>
          <w:spacing w:val="-1"/>
          <w:sz w:val="24"/>
        </w:rPr>
      </w:pPr>
      <w:r>
        <w:rPr>
          <w:color w:val="000000"/>
          <w:spacing w:val="-1"/>
          <w:sz w:val="24"/>
        </w:rPr>
        <w:t xml:space="preserve">4.5 </w:t>
      </w:r>
      <w:r>
        <w:rPr>
          <w:color w:val="000000"/>
          <w:spacing w:val="-1"/>
          <w:sz w:val="24"/>
        </w:rPr>
        <w:t>При отсутствии претензий и расхождений при приемке ТРУ Заказчик уведомляет Исполнителя о приемке путем направления на электронный адрес Исполнителя   акта приемки товаров, работ, услуг по форме ОКУД № 0510452 (в ред. Приказа Минфина России от 30.10.2023 № 174 н).</w:t>
      </w:r>
    </w:p>
    <w:p w14:paraId="41000000">
      <w:pPr>
        <w:widowControl w:val="1"/>
        <w:tabs>
          <w:tab w:leader="none" w:pos="0" w:val="left"/>
          <w:tab w:leader="none" w:pos="382" w:val="left"/>
        </w:tabs>
        <w:ind w:firstLine="737"/>
        <w:jc w:val="both"/>
        <w:rPr>
          <w:color w:val="000000"/>
          <w:spacing w:val="-1"/>
          <w:sz w:val="24"/>
        </w:rPr>
      </w:pPr>
    </w:p>
    <w:p w14:paraId="42000000">
      <w:pPr>
        <w:widowControl w:val="1"/>
        <w:tabs>
          <w:tab w:leader="none" w:pos="0" w:val="left"/>
          <w:tab w:leader="none" w:pos="382" w:val="left"/>
        </w:tabs>
        <w:ind w:firstLine="737"/>
        <w:jc w:val="both"/>
        <w:rPr>
          <w:color w:val="000000"/>
          <w:spacing w:val="-1"/>
          <w:sz w:val="24"/>
        </w:rPr>
      </w:pPr>
    </w:p>
    <w:p w14:paraId="43000000">
      <w:pPr>
        <w:widowControl w:val="1"/>
        <w:tabs>
          <w:tab w:leader="none" w:pos="0" w:val="left"/>
          <w:tab w:leader="none" w:pos="382" w:val="left"/>
        </w:tabs>
        <w:ind w:firstLine="737"/>
        <w:jc w:val="both"/>
        <w:rPr>
          <w:color w:val="000000"/>
          <w:spacing w:val="-1"/>
          <w:sz w:val="24"/>
        </w:rPr>
      </w:pPr>
    </w:p>
    <w:p w14:paraId="44000000">
      <w:pPr>
        <w:widowControl w:val="1"/>
        <w:tabs>
          <w:tab w:leader="none" w:pos="0" w:val="left"/>
          <w:tab w:leader="none" w:pos="382" w:val="left"/>
        </w:tabs>
        <w:ind w:firstLine="737"/>
        <w:jc w:val="both"/>
        <w:rPr>
          <w:color w:val="000000"/>
          <w:spacing w:val="-1"/>
          <w:sz w:val="24"/>
        </w:rPr>
      </w:pPr>
    </w:p>
    <w:p w14:paraId="45000000">
      <w:pPr>
        <w:widowControl w:val="1"/>
        <w:tabs>
          <w:tab w:leader="none" w:pos="0" w:val="left"/>
          <w:tab w:leader="none" w:pos="382" w:val="left"/>
        </w:tabs>
        <w:ind w:firstLine="737"/>
        <w:jc w:val="both"/>
        <w:rPr>
          <w:color w:val="000000"/>
          <w:spacing w:val="-1"/>
          <w:sz w:val="24"/>
        </w:rPr>
      </w:pPr>
    </w:p>
    <w:p w14:paraId="46000000">
      <w:pPr>
        <w:widowControl w:val="1"/>
        <w:spacing w:after="85" w:before="85"/>
        <w:ind w:left="-20"/>
        <w:contextualSpacing w:val="1"/>
        <w:jc w:val="center"/>
        <w:rPr>
          <w:b w:val="1"/>
          <w:color w:val="000000"/>
          <w:sz w:val="24"/>
        </w:rPr>
      </w:pPr>
      <w:r>
        <w:rPr>
          <w:b w:val="1"/>
          <w:color w:val="000000"/>
          <w:sz w:val="24"/>
        </w:rPr>
        <w:t>5. Ответственность сторон</w:t>
      </w:r>
    </w:p>
    <w:p w14:paraId="47000000">
      <w:pPr>
        <w:widowControl w:val="1"/>
        <w:spacing w:after="85" w:before="85"/>
        <w:ind w:left="-20"/>
        <w:contextualSpacing w:val="1"/>
        <w:jc w:val="center"/>
        <w:rPr>
          <w:b w:val="1"/>
          <w:color w:val="000000"/>
          <w:sz w:val="24"/>
        </w:rPr>
      </w:pPr>
    </w:p>
    <w:p w14:paraId="48000000">
      <w:pPr>
        <w:widowControl w:val="1"/>
        <w:ind w:firstLine="720"/>
        <w:jc w:val="both"/>
        <w:rPr>
          <w:sz w:val="24"/>
        </w:rPr>
      </w:pPr>
      <w:r>
        <w:rPr>
          <w:sz w:val="24"/>
        </w:rPr>
        <w:t>5</w:t>
      </w:r>
      <w:r>
        <w:rPr>
          <w:sz w:val="24"/>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9000000">
      <w:pPr>
        <w:widowControl w:val="1"/>
        <w:ind w:firstLine="720"/>
        <w:jc w:val="both"/>
        <w:rPr>
          <w:sz w:val="24"/>
        </w:rPr>
      </w:pPr>
      <w:r>
        <w:rPr>
          <w:sz w:val="24"/>
        </w:rPr>
        <w:t>5</w:t>
      </w:r>
      <w:r>
        <w:rPr>
          <w:sz w:val="24"/>
        </w:rPr>
        <w:t>.2. В случае просрочки исполнения Исполнителем обязательств, предусмотренных Договору, Заказчик направляет Исполнителю требование об уплате пени.</w:t>
      </w:r>
    </w:p>
    <w:p w14:paraId="4A000000">
      <w:pPr>
        <w:widowControl w:val="1"/>
        <w:ind w:firstLine="720"/>
        <w:jc w:val="both"/>
        <w:rPr>
          <w:sz w:val="24"/>
        </w:rPr>
      </w:pPr>
      <w:r>
        <w:rPr>
          <w:sz w:val="24"/>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4B000000">
      <w:pPr>
        <w:widowControl w:val="1"/>
        <w:ind w:firstLine="720"/>
        <w:jc w:val="both"/>
        <w:rPr>
          <w:sz w:val="24"/>
        </w:rPr>
      </w:pPr>
      <w:r>
        <w:rPr>
          <w:sz w:val="24"/>
        </w:rPr>
        <w:t>5</w:t>
      </w:r>
      <w:r>
        <w:rPr>
          <w:sz w:val="24"/>
        </w:rPr>
        <w:t xml:space="preserve">.3.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соответствии с постановлением Правительства Российской Федерации от 30.08.2017 № 1042 и равен 10 % начальной (максимальной) цены Договора, что составляет </w:t>
      </w:r>
      <w:r>
        <w:rPr>
          <w:sz w:val="24"/>
        </w:rPr>
        <w:t>750</w:t>
      </w:r>
      <w:r>
        <w:rPr>
          <w:sz w:val="24"/>
        </w:rPr>
        <w:t xml:space="preserve"> (</w:t>
      </w:r>
      <w:r>
        <w:rPr>
          <w:sz w:val="24"/>
        </w:rPr>
        <w:t>семьсот пятьдесят) руб.</w:t>
      </w:r>
      <w:r>
        <w:rPr>
          <w:sz w:val="24"/>
        </w:rPr>
        <w:t xml:space="preserve"> </w:t>
      </w:r>
      <w:r>
        <w:rPr>
          <w:sz w:val="24"/>
        </w:rPr>
        <w:t>00</w:t>
      </w:r>
      <w:r>
        <w:rPr>
          <w:sz w:val="24"/>
        </w:rPr>
        <w:t xml:space="preserve"> ко</w:t>
      </w:r>
      <w:r>
        <w:rPr>
          <w:sz w:val="24"/>
        </w:rPr>
        <w:t>п</w:t>
      </w:r>
      <w:r>
        <w:rPr>
          <w:sz w:val="24"/>
        </w:rPr>
        <w:t>.</w:t>
      </w:r>
    </w:p>
    <w:p w14:paraId="4C000000">
      <w:pPr>
        <w:widowControl w:val="1"/>
        <w:ind w:firstLine="720"/>
        <w:jc w:val="both"/>
        <w:rPr>
          <w:sz w:val="24"/>
        </w:rPr>
      </w:pPr>
      <w:r>
        <w:rPr>
          <w:sz w:val="24"/>
        </w:rPr>
        <w:t>5</w:t>
      </w:r>
      <w:r>
        <w:rPr>
          <w:sz w:val="24"/>
        </w:rPr>
        <w:t>.4.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Российской Федерации от 30.08.2017 № 1042 и составляет 1 000 (одну тысячу) рублей 00 копеек.</w:t>
      </w:r>
    </w:p>
    <w:p w14:paraId="4D000000">
      <w:pPr>
        <w:widowControl w:val="1"/>
        <w:ind w:firstLine="720"/>
        <w:jc w:val="both"/>
        <w:rPr>
          <w:sz w:val="24"/>
        </w:rPr>
      </w:pPr>
      <w:r>
        <w:rPr>
          <w:sz w:val="24"/>
        </w:rPr>
        <w:t>5</w:t>
      </w:r>
      <w:r>
        <w:rPr>
          <w:sz w:val="24"/>
        </w:rPr>
        <w:t>.5.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E000000">
      <w:pPr>
        <w:widowControl w:val="1"/>
        <w:ind w:firstLine="720"/>
        <w:jc w:val="both"/>
        <w:rPr>
          <w:sz w:val="24"/>
        </w:rPr>
      </w:pPr>
      <w:r>
        <w:rPr>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F000000">
      <w:pPr>
        <w:widowControl w:val="1"/>
        <w:ind w:firstLine="720"/>
        <w:jc w:val="both"/>
        <w:rPr>
          <w:sz w:val="24"/>
        </w:rPr>
      </w:pPr>
      <w:r>
        <w:rPr>
          <w:sz w:val="24"/>
        </w:rPr>
        <w:t>5</w:t>
      </w:r>
      <w:r>
        <w:rPr>
          <w:sz w:val="24"/>
        </w:rPr>
        <w:t>.6. 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Исполнитель вправе потребовать уплаты штрафа. Размер штрафа определяется в соответствии с постановлением Правительства Российской Федерации от 30.08.2017 № 1042 и составляет 1 000 (одну тысячу) рублей 00 копеек.</w:t>
      </w:r>
    </w:p>
    <w:p w14:paraId="50000000">
      <w:pPr>
        <w:widowControl w:val="1"/>
        <w:ind w:firstLine="720"/>
        <w:jc w:val="both"/>
        <w:rPr>
          <w:sz w:val="24"/>
        </w:rPr>
      </w:pPr>
      <w:r>
        <w:rPr>
          <w:sz w:val="24"/>
        </w:rPr>
        <w:t>5</w:t>
      </w:r>
      <w:r>
        <w:rPr>
          <w:sz w:val="24"/>
        </w:rPr>
        <w:t>.7.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1000000">
      <w:pPr>
        <w:widowControl w:val="1"/>
        <w:ind w:firstLine="720"/>
        <w:jc w:val="both"/>
        <w:rPr>
          <w:sz w:val="24"/>
        </w:rPr>
      </w:pPr>
      <w:r>
        <w:rPr>
          <w:sz w:val="24"/>
        </w:rPr>
        <w:t>5</w:t>
      </w:r>
      <w:r>
        <w:rPr>
          <w:sz w:val="24"/>
        </w:rPr>
        <w:t>.8.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3 календарных дней с даты их наступления. В случае прекращения указанных обстоятельств Сторона в течение 3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14:paraId="52000000">
      <w:pPr>
        <w:widowControl w:val="1"/>
        <w:ind w:firstLine="720"/>
        <w:jc w:val="both"/>
        <w:rPr>
          <w:sz w:val="24"/>
        </w:rPr>
      </w:pPr>
      <w:r>
        <w:rPr>
          <w:sz w:val="24"/>
        </w:rPr>
        <w:t>5</w:t>
      </w:r>
      <w:r>
        <w:rPr>
          <w:sz w:val="24"/>
        </w:rPr>
        <w:t>.9.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3000000">
      <w:pPr>
        <w:widowControl w:val="1"/>
        <w:ind w:firstLine="720"/>
        <w:jc w:val="both"/>
        <w:rPr>
          <w:sz w:val="24"/>
        </w:rPr>
      </w:pPr>
      <w:r>
        <w:rPr>
          <w:sz w:val="24"/>
        </w:rPr>
        <w:t>5</w:t>
      </w:r>
      <w:r>
        <w:rPr>
          <w:sz w:val="24"/>
        </w:rPr>
        <w:t>.10. 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14:paraId="54000000">
      <w:pPr>
        <w:widowControl w:val="1"/>
        <w:ind w:firstLine="720"/>
        <w:jc w:val="both"/>
        <w:rPr>
          <w:sz w:val="24"/>
        </w:rPr>
      </w:pPr>
      <w:r>
        <w:rPr>
          <w:sz w:val="24"/>
        </w:rPr>
        <w:t>5</w:t>
      </w:r>
      <w:r>
        <w:rPr>
          <w:sz w:val="24"/>
        </w:rPr>
        <w:t xml:space="preserve">.11. Уплата Исполнителем неустойки или применение иной формы ответственности не освобождает его от исполнения обязательств по настоящему Договору. </w:t>
      </w:r>
    </w:p>
    <w:p w14:paraId="55000000">
      <w:pPr>
        <w:widowControl w:val="1"/>
        <w:tabs>
          <w:tab w:leader="none" w:pos="0" w:val="left"/>
          <w:tab w:leader="none" w:pos="345" w:val="left"/>
        </w:tabs>
        <w:ind w:firstLine="425"/>
        <w:jc w:val="both"/>
        <w:rPr>
          <w:sz w:val="24"/>
        </w:rPr>
      </w:pPr>
      <w:r>
        <w:rPr>
          <w:sz w:val="24"/>
        </w:rPr>
        <w:t xml:space="preserve">     </w:t>
      </w:r>
      <w:r>
        <w:rPr>
          <w:sz w:val="24"/>
        </w:rPr>
        <w:t>5</w:t>
      </w:r>
      <w:r>
        <w:rPr>
          <w:sz w:val="24"/>
        </w:rPr>
        <w:t>.12.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r>
        <w:rPr>
          <w:sz w:val="24"/>
        </w:rPr>
        <w:t xml:space="preserve"> </w:t>
      </w:r>
    </w:p>
    <w:p w14:paraId="56000000">
      <w:pPr>
        <w:widowControl w:val="1"/>
        <w:spacing w:after="85" w:before="85"/>
        <w:ind w:left="-20"/>
        <w:contextualSpacing w:val="1"/>
        <w:jc w:val="center"/>
        <w:rPr>
          <w:b w:val="1"/>
          <w:color w:val="000000"/>
          <w:sz w:val="24"/>
        </w:rPr>
      </w:pPr>
      <w:r>
        <w:rPr>
          <w:b w:val="1"/>
          <w:color w:val="000000"/>
          <w:sz w:val="24"/>
        </w:rPr>
        <w:t>6. Порядок разрешения споров</w:t>
      </w:r>
    </w:p>
    <w:p w14:paraId="57000000">
      <w:pPr>
        <w:widowControl w:val="1"/>
        <w:spacing w:after="85" w:before="85"/>
        <w:ind w:left="-20"/>
        <w:contextualSpacing w:val="1"/>
        <w:jc w:val="center"/>
        <w:rPr>
          <w:sz w:val="24"/>
        </w:rPr>
      </w:pPr>
    </w:p>
    <w:p w14:paraId="58000000">
      <w:pPr>
        <w:widowControl w:val="1"/>
        <w:tabs>
          <w:tab w:leader="none" w:pos="10206" w:val="left"/>
        </w:tabs>
        <w:ind w:firstLine="567"/>
        <w:jc w:val="both"/>
        <w:rPr>
          <w:sz w:val="24"/>
        </w:rPr>
      </w:pPr>
      <w:r>
        <w:rPr>
          <w:sz w:val="24"/>
        </w:rPr>
        <w:t>6</w:t>
      </w:r>
      <w:r>
        <w:rPr>
          <w:sz w:val="24"/>
        </w:rPr>
        <w:t>.1. Все правоотношения, возникающие из настоящего Договора или связанные с ним, в том числе связанные с действительностью, заключением, исполнением, изменением и прекращением настоящего Договора, толкованием его условий, определением последствий недействительности или нарушения Договора, регламентируются настоящим Договором и соответствующими нормами действующего законодательства Российской Федерации.</w:t>
      </w:r>
    </w:p>
    <w:p w14:paraId="59000000">
      <w:pPr>
        <w:widowControl w:val="1"/>
        <w:tabs>
          <w:tab w:leader="none" w:pos="10206" w:val="left"/>
        </w:tabs>
        <w:ind w:firstLine="567"/>
        <w:jc w:val="both"/>
        <w:rPr>
          <w:sz w:val="24"/>
        </w:rPr>
      </w:pPr>
      <w:r>
        <w:rPr>
          <w:sz w:val="24"/>
        </w:rPr>
        <w:t>6</w:t>
      </w:r>
      <w:r>
        <w:rPr>
          <w:sz w:val="24"/>
        </w:rPr>
        <w:t>.2. Взаимоотношения Сторон, не урегулированные данным Договором, регулируются нормами действующего законодательства Российской Федерации.</w:t>
      </w:r>
    </w:p>
    <w:p w14:paraId="5A000000">
      <w:pPr>
        <w:widowControl w:val="1"/>
        <w:ind w:firstLine="567"/>
        <w:jc w:val="both"/>
        <w:rPr>
          <w:sz w:val="24"/>
        </w:rPr>
      </w:pPr>
      <w:r>
        <w:rPr>
          <w:sz w:val="24"/>
        </w:rPr>
        <w:t>6</w:t>
      </w:r>
      <w:r>
        <w:rPr>
          <w:sz w:val="24"/>
        </w:rPr>
        <w:t>.3. Все споры, возникающие из настоящего Договора или связанные с ним, разрешаются путем переговоров между Сторонами.</w:t>
      </w:r>
    </w:p>
    <w:p w14:paraId="5B000000">
      <w:pPr>
        <w:widowControl w:val="1"/>
        <w:ind w:firstLine="567"/>
        <w:jc w:val="both"/>
        <w:rPr>
          <w:sz w:val="24"/>
        </w:rPr>
      </w:pPr>
      <w:r>
        <w:rPr>
          <w:sz w:val="24"/>
        </w:rPr>
        <w:t>6</w:t>
      </w:r>
      <w:r>
        <w:rPr>
          <w:sz w:val="24"/>
        </w:rPr>
        <w:t>.4. Если соответствующий спор невозможно урегулировать путем переговоров между Сторонами, то он решается в судебном порядке по установленной подведомственности и подсудности такого спора, в соответствии с действующим законодательством Российской Федерации.</w:t>
      </w:r>
    </w:p>
    <w:p w14:paraId="5C000000">
      <w:pPr>
        <w:widowControl w:val="1"/>
        <w:ind w:firstLine="567"/>
        <w:jc w:val="both"/>
        <w:rPr>
          <w:sz w:val="24"/>
        </w:rPr>
      </w:pPr>
      <w:r>
        <w:rPr>
          <w:sz w:val="24"/>
        </w:rPr>
        <w:t>6</w:t>
      </w:r>
      <w:r>
        <w:rPr>
          <w:sz w:val="24"/>
        </w:rPr>
        <w:t xml:space="preserve">.5. При возникновении спора </w:t>
      </w:r>
      <w:r>
        <w:rPr>
          <w:sz w:val="24"/>
        </w:rPr>
        <w:t xml:space="preserve">между собственниками Объекта и </w:t>
      </w:r>
      <w:r>
        <w:rPr>
          <w:sz w:val="24"/>
        </w:rPr>
        <w:t>Заказчиком и в случае, если право собственности, аренды либо иное законное право, на основании которого Заказчик владеет, пользуется, распоряжается, осуществляет хозяйственное ведение, оперативное или доверительное управ</w:t>
      </w:r>
      <w:r>
        <w:rPr>
          <w:sz w:val="24"/>
        </w:rPr>
        <w:t>ление Имуществом, переходит от Заказчика</w:t>
      </w:r>
      <w:r>
        <w:rPr>
          <w:sz w:val="24"/>
        </w:rPr>
        <w:t xml:space="preserve"> третьему лицу, ущемляя интересы, а </w:t>
      </w:r>
      <w:r>
        <w:rPr>
          <w:sz w:val="24"/>
        </w:rPr>
        <w:t>равно и права Исполнителя</w:t>
      </w:r>
      <w:r>
        <w:rPr>
          <w:sz w:val="24"/>
        </w:rPr>
        <w:t xml:space="preserve"> по</w:t>
      </w:r>
      <w:r>
        <w:rPr>
          <w:sz w:val="24"/>
        </w:rPr>
        <w:t xml:space="preserve"> данному Договору, Исполнитель</w:t>
      </w:r>
      <w:r>
        <w:rPr>
          <w:sz w:val="24"/>
        </w:rPr>
        <w:t xml:space="preserve"> вправе расторгнуть Договор в одностороннем порядке в течение 1 (одного) календарного дня после пис</w:t>
      </w:r>
      <w:r>
        <w:rPr>
          <w:sz w:val="24"/>
        </w:rPr>
        <w:t>ьменного уведомления Заказчика</w:t>
      </w:r>
      <w:r>
        <w:rPr>
          <w:sz w:val="24"/>
        </w:rPr>
        <w:t>.</w:t>
      </w:r>
    </w:p>
    <w:p w14:paraId="5D000000">
      <w:pPr>
        <w:widowControl w:val="1"/>
        <w:ind w:firstLine="567"/>
        <w:jc w:val="both"/>
        <w:rPr>
          <w:sz w:val="24"/>
        </w:rPr>
      </w:pPr>
    </w:p>
    <w:p w14:paraId="5E000000">
      <w:pPr>
        <w:widowControl w:val="1"/>
        <w:ind/>
        <w:jc w:val="center"/>
        <w:rPr>
          <w:b w:val="1"/>
          <w:color w:val="000000"/>
          <w:sz w:val="24"/>
        </w:rPr>
      </w:pPr>
      <w:r>
        <w:rPr>
          <w:b w:val="1"/>
          <w:color w:val="000000"/>
          <w:sz w:val="24"/>
        </w:rPr>
        <w:t xml:space="preserve">7. Срок </w:t>
      </w:r>
      <w:r>
        <w:rPr>
          <w:b w:val="1"/>
          <w:color w:val="000000"/>
          <w:sz w:val="24"/>
        </w:rPr>
        <w:t>действия и порядок расторжения Д</w:t>
      </w:r>
      <w:r>
        <w:rPr>
          <w:b w:val="1"/>
          <w:color w:val="000000"/>
          <w:sz w:val="24"/>
        </w:rPr>
        <w:t>оговора</w:t>
      </w:r>
    </w:p>
    <w:p w14:paraId="5F000000">
      <w:pPr>
        <w:widowControl w:val="1"/>
        <w:ind/>
        <w:jc w:val="center"/>
        <w:rPr>
          <w:b w:val="1"/>
          <w:color w:val="000000"/>
          <w:sz w:val="24"/>
        </w:rPr>
      </w:pPr>
    </w:p>
    <w:p w14:paraId="60000000">
      <w:pPr>
        <w:widowControl w:val="1"/>
        <w:ind w:firstLine="567"/>
        <w:jc w:val="both"/>
        <w:rPr>
          <w:sz w:val="24"/>
        </w:rPr>
      </w:pPr>
      <w:r>
        <w:rPr>
          <w:sz w:val="24"/>
        </w:rPr>
        <w:t xml:space="preserve">7.1. Настоящий Договор </w:t>
      </w:r>
      <w:r>
        <w:rPr>
          <w:b w:val="1"/>
          <w:sz w:val="24"/>
        </w:rPr>
        <w:t xml:space="preserve">вступает в силу с </w:t>
      </w:r>
      <w:r>
        <w:rPr>
          <w:b w:val="1"/>
          <w:sz w:val="24"/>
        </w:rPr>
        <w:t>момента подписания</w:t>
      </w:r>
      <w:r>
        <w:rPr>
          <w:b w:val="1"/>
          <w:sz w:val="24"/>
        </w:rPr>
        <w:t xml:space="preserve"> и действует до </w:t>
      </w:r>
      <w:r>
        <w:rPr>
          <w:b w:val="1"/>
          <w:sz w:val="24"/>
        </w:rPr>
        <w:t>31 декабря 2026</w:t>
      </w:r>
      <w:r>
        <w:rPr>
          <w:b w:val="1"/>
          <w:sz w:val="24"/>
        </w:rPr>
        <w:t xml:space="preserve"> года</w:t>
      </w:r>
      <w:r>
        <w:rPr>
          <w:sz w:val="24"/>
        </w:rPr>
        <w:t xml:space="preserve"> включительно.</w:t>
      </w:r>
    </w:p>
    <w:p w14:paraId="61000000">
      <w:pPr>
        <w:widowControl w:val="1"/>
        <w:ind w:firstLine="567"/>
        <w:jc w:val="both"/>
        <w:rPr>
          <w:sz w:val="24"/>
        </w:rPr>
      </w:pPr>
      <w:r>
        <w:rPr>
          <w:sz w:val="24"/>
        </w:rPr>
        <w:t>7.2. Фактическое прекращение (приостановление) обязательств по Договору наступает при истечении срока действия Договора, либо с даты подписания Сторонами Дополнительного соглашения о расторжении Договора – в случае его досрочного расторжения.</w:t>
      </w:r>
    </w:p>
    <w:p w14:paraId="62000000">
      <w:pPr>
        <w:widowControl w:val="1"/>
        <w:ind w:firstLine="567"/>
        <w:jc w:val="both"/>
        <w:rPr>
          <w:sz w:val="24"/>
        </w:rPr>
      </w:pPr>
      <w:r>
        <w:rPr>
          <w:sz w:val="24"/>
        </w:rPr>
        <w:t>7.</w:t>
      </w:r>
      <w:r>
        <w:rPr>
          <w:sz w:val="24"/>
        </w:rPr>
        <w:t>3</w:t>
      </w:r>
      <w:r>
        <w:rPr>
          <w:sz w:val="24"/>
        </w:rPr>
        <w:t xml:space="preserve">. Настоящий Договор может быть расторгнут досрочно </w:t>
      </w:r>
      <w:r>
        <w:rPr>
          <w:sz w:val="24"/>
        </w:rPr>
        <w:t>по соглашению между Заказчиком и Исполнителем</w:t>
      </w:r>
      <w:r>
        <w:rPr>
          <w:sz w:val="24"/>
        </w:rPr>
        <w:t xml:space="preserve"> или </w:t>
      </w:r>
      <w:r>
        <w:rPr>
          <w:sz w:val="24"/>
        </w:rPr>
        <w:t>по инициативе одной из Сторон (Заказчика или Исполнителя</w:t>
      </w:r>
      <w:r>
        <w:rPr>
          <w:sz w:val="24"/>
        </w:rPr>
        <w:t xml:space="preserve">), а также по иным основаниям, предусмотренным действующим законодательством. При досрочном расторжении Договора по инициативе одной из Сторон, Сторона-инициатор должна письменно известить об этом </w:t>
      </w:r>
      <w:r>
        <w:rPr>
          <w:sz w:val="24"/>
        </w:rPr>
        <w:t xml:space="preserve">другую Сторону не менее чем за 10 </w:t>
      </w:r>
      <w:r>
        <w:rPr>
          <w:sz w:val="24"/>
        </w:rPr>
        <w:t xml:space="preserve"> календарных дней до даты предполагаемого расторжения Договора.</w:t>
      </w:r>
    </w:p>
    <w:p w14:paraId="63000000">
      <w:pPr>
        <w:widowControl w:val="1"/>
        <w:ind w:firstLine="567"/>
        <w:jc w:val="both"/>
        <w:rPr>
          <w:sz w:val="24"/>
        </w:rPr>
      </w:pPr>
      <w:r>
        <w:rPr>
          <w:sz w:val="24"/>
        </w:rPr>
        <w:t>7.</w:t>
      </w:r>
      <w:r>
        <w:rPr>
          <w:sz w:val="24"/>
        </w:rPr>
        <w:t>4</w:t>
      </w:r>
      <w:r>
        <w:rPr>
          <w:sz w:val="24"/>
        </w:rPr>
        <w:t>. Односторонний отказ от исполнения обязательств по настоящему Договору допускается в случае, если имеет место ненадлежащее исполнение одной из Сторон обязательств по настоящему Договору. При этом потерпевшая Сторона вправе расторгнуть настоящий Договор при условии направления виновной Стороне соответствующего уведомления не менее чем за 14 (четырнадцать) календарных дней до предполагаемой даты расторжения Договора.</w:t>
      </w:r>
    </w:p>
    <w:p w14:paraId="64000000">
      <w:pPr>
        <w:widowControl w:val="1"/>
        <w:ind w:firstLine="567"/>
        <w:jc w:val="both"/>
        <w:rPr>
          <w:sz w:val="24"/>
        </w:rPr>
      </w:pPr>
      <w:r>
        <w:rPr>
          <w:sz w:val="24"/>
        </w:rPr>
        <w:t>7.</w:t>
      </w:r>
      <w:r>
        <w:rPr>
          <w:sz w:val="24"/>
        </w:rPr>
        <w:t>5</w:t>
      </w:r>
      <w:r>
        <w:rPr>
          <w:sz w:val="24"/>
        </w:rPr>
        <w:t>. Инициаторами расторжения настоящего Договора или изменения его условий могут выступ</w:t>
      </w:r>
      <w:r>
        <w:rPr>
          <w:sz w:val="24"/>
        </w:rPr>
        <w:t xml:space="preserve">ать только Исполнитель и/или </w:t>
      </w:r>
      <w:r>
        <w:rPr>
          <w:sz w:val="24"/>
        </w:rPr>
        <w:t>Заказчик.</w:t>
      </w:r>
    </w:p>
    <w:p w14:paraId="65000000">
      <w:pPr>
        <w:widowControl w:val="1"/>
        <w:ind w:firstLine="567"/>
        <w:jc w:val="both"/>
        <w:rPr>
          <w:sz w:val="24"/>
        </w:rPr>
      </w:pPr>
      <w:r>
        <w:rPr>
          <w:sz w:val="24"/>
        </w:rPr>
        <w:t>7.</w:t>
      </w:r>
      <w:r>
        <w:rPr>
          <w:sz w:val="24"/>
        </w:rPr>
        <w:t>6</w:t>
      </w:r>
      <w:r>
        <w:rPr>
          <w:sz w:val="24"/>
        </w:rPr>
        <w:t>. Окончание срока действия Договора не освобождает Стороны от ответственн</w:t>
      </w:r>
      <w:r>
        <w:rPr>
          <w:sz w:val="24"/>
        </w:rPr>
        <w:t>ости.</w:t>
      </w:r>
    </w:p>
    <w:p w14:paraId="66000000">
      <w:pPr>
        <w:widowControl w:val="1"/>
        <w:ind w:firstLine="567"/>
        <w:jc w:val="both"/>
        <w:rPr>
          <w:sz w:val="24"/>
        </w:rPr>
      </w:pPr>
    </w:p>
    <w:p w14:paraId="67000000">
      <w:pPr>
        <w:widowControl w:val="1"/>
        <w:ind w:firstLine="720"/>
        <w:jc w:val="center"/>
        <w:rPr>
          <w:b w:val="1"/>
          <w:sz w:val="24"/>
        </w:rPr>
      </w:pPr>
      <w:r>
        <w:rPr>
          <w:b w:val="1"/>
          <w:sz w:val="24"/>
        </w:rPr>
        <w:t>8.</w:t>
      </w:r>
      <w:r>
        <w:rPr>
          <w:b w:val="1"/>
          <w:sz w:val="24"/>
        </w:rPr>
        <w:tab/>
      </w:r>
      <w:r>
        <w:rPr>
          <w:b w:val="1"/>
          <w:sz w:val="24"/>
        </w:rPr>
        <w:t>Обстоятельства непреодолимой силы</w:t>
      </w:r>
    </w:p>
    <w:p w14:paraId="68000000">
      <w:pPr>
        <w:widowControl w:val="1"/>
        <w:ind w:firstLine="720"/>
        <w:jc w:val="center"/>
        <w:rPr>
          <w:b w:val="1"/>
          <w:sz w:val="24"/>
        </w:rPr>
      </w:pPr>
    </w:p>
    <w:p w14:paraId="69000000">
      <w:pPr>
        <w:widowControl w:val="1"/>
        <w:ind w:firstLine="720"/>
        <w:jc w:val="both"/>
        <w:rPr>
          <w:sz w:val="24"/>
        </w:rPr>
      </w:pPr>
      <w:r>
        <w:rPr>
          <w:sz w:val="24"/>
        </w:rPr>
        <w:t>8</w:t>
      </w:r>
      <w:r>
        <w:rPr>
          <w:sz w:val="24"/>
        </w:rPr>
        <w:t>.1.</w:t>
      </w:r>
      <w:r>
        <w:rPr>
          <w:sz w:val="24"/>
        </w:rPr>
        <w:tab/>
      </w:r>
      <w:r>
        <w:rPr>
          <w:sz w:val="24"/>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Договора.</w:t>
      </w:r>
    </w:p>
    <w:p w14:paraId="6A000000">
      <w:pPr>
        <w:widowControl w:val="1"/>
        <w:ind w:firstLine="720"/>
        <w:jc w:val="both"/>
        <w:rPr>
          <w:sz w:val="24"/>
        </w:rPr>
      </w:pPr>
      <w:r>
        <w:rPr>
          <w:sz w:val="24"/>
        </w:rPr>
        <w:t>8</w:t>
      </w:r>
      <w:r>
        <w:rPr>
          <w:sz w:val="24"/>
        </w:rPr>
        <w:t>.2. 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B000000">
      <w:pPr>
        <w:widowControl w:val="1"/>
        <w:ind w:firstLine="720"/>
        <w:jc w:val="both"/>
        <w:rPr>
          <w:sz w:val="24"/>
        </w:rPr>
      </w:pPr>
      <w:r>
        <w:rPr>
          <w:sz w:val="24"/>
        </w:rPr>
        <w:t>8</w:t>
      </w:r>
      <w:r>
        <w:rPr>
          <w:sz w:val="24"/>
        </w:rPr>
        <w:t>.3.</w:t>
      </w:r>
      <w:r>
        <w:rPr>
          <w:sz w:val="24"/>
        </w:rPr>
        <w:tab/>
      </w:r>
      <w:r>
        <w:rPr>
          <w:sz w:val="24"/>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обстоятельство.</w:t>
      </w:r>
    </w:p>
    <w:p w14:paraId="6C000000">
      <w:pPr>
        <w:widowControl w:val="1"/>
        <w:ind w:firstLine="720"/>
        <w:jc w:val="both"/>
        <w:rPr>
          <w:sz w:val="24"/>
        </w:rPr>
      </w:pPr>
      <w:r>
        <w:rPr>
          <w:sz w:val="24"/>
        </w:rPr>
        <w:t>8</w:t>
      </w:r>
      <w:r>
        <w:rPr>
          <w:sz w:val="24"/>
        </w:rPr>
        <w:t>.4.</w:t>
      </w:r>
      <w:r>
        <w:rPr>
          <w:sz w:val="24"/>
        </w:rPr>
        <w:tab/>
      </w:r>
      <w:r>
        <w:rPr>
          <w:sz w:val="24"/>
        </w:rPr>
        <w:t>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D000000">
      <w:pPr>
        <w:widowControl w:val="1"/>
        <w:ind w:firstLine="720"/>
        <w:jc w:val="both"/>
        <w:rPr>
          <w:sz w:val="24"/>
        </w:rPr>
      </w:pPr>
      <w:r>
        <w:rPr>
          <w:sz w:val="24"/>
        </w:rPr>
        <w:t>8</w:t>
      </w:r>
      <w:r>
        <w:rPr>
          <w:sz w:val="24"/>
        </w:rPr>
        <w:t>.5.</w:t>
      </w:r>
      <w:r>
        <w:rPr>
          <w:sz w:val="24"/>
        </w:rPr>
        <w:tab/>
      </w:r>
      <w:r>
        <w:rPr>
          <w:sz w:val="24"/>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14:paraId="6E000000">
      <w:pPr>
        <w:widowControl w:val="1"/>
        <w:ind w:firstLine="720"/>
        <w:jc w:val="both"/>
        <w:rPr>
          <w:sz w:val="24"/>
        </w:rPr>
      </w:pPr>
      <w:r>
        <w:rPr>
          <w:sz w:val="24"/>
        </w:rPr>
        <w:t>8</w:t>
      </w:r>
      <w:r>
        <w:rPr>
          <w:sz w:val="24"/>
        </w:rPr>
        <w:t>.6.</w:t>
      </w:r>
      <w:r>
        <w:rPr>
          <w:sz w:val="24"/>
        </w:rPr>
        <w:tab/>
      </w:r>
      <w:r>
        <w:rPr>
          <w:sz w:val="24"/>
        </w:rPr>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6F000000">
      <w:pPr>
        <w:widowControl w:val="1"/>
        <w:ind w:firstLine="720"/>
        <w:jc w:val="both"/>
        <w:rPr>
          <w:sz w:val="24"/>
        </w:rPr>
      </w:pPr>
      <w:r>
        <w:rPr>
          <w:sz w:val="24"/>
        </w:rPr>
        <w:t>8</w:t>
      </w:r>
      <w:r>
        <w:rPr>
          <w:sz w:val="24"/>
        </w:rPr>
        <w:t>.7.</w:t>
      </w:r>
      <w:r>
        <w:rPr>
          <w:sz w:val="24"/>
        </w:rPr>
        <w:tab/>
      </w:r>
      <w:r>
        <w:rPr>
          <w:sz w:val="24"/>
        </w:rPr>
        <w:t>Если Стороны не найдут взаимоприемлемого решения, то каждая из Сторон будет иметь право отказаться от дальнейшего исполнения Договора, при этом Стороны обязаны произвести полные взаиморасчеты по уже реализованной части настоящего Договора, и ни одна из Сторон не будет иметь право на возмеще</w:t>
      </w:r>
      <w:r>
        <w:rPr>
          <w:sz w:val="24"/>
        </w:rPr>
        <w:t>ние убытков и упущенной выгоды</w:t>
      </w:r>
    </w:p>
    <w:p w14:paraId="70000000">
      <w:pPr>
        <w:widowControl w:val="1"/>
        <w:ind w:firstLine="720"/>
        <w:jc w:val="both"/>
        <w:rPr>
          <w:sz w:val="24"/>
        </w:rPr>
      </w:pPr>
    </w:p>
    <w:p w14:paraId="71000000">
      <w:pPr>
        <w:widowControl w:val="1"/>
        <w:ind/>
        <w:jc w:val="center"/>
        <w:rPr>
          <w:b w:val="1"/>
          <w:sz w:val="24"/>
        </w:rPr>
      </w:pPr>
      <w:r>
        <w:rPr>
          <w:b w:val="1"/>
          <w:sz w:val="24"/>
        </w:rPr>
        <w:t>9</w:t>
      </w:r>
      <w:r>
        <w:rPr>
          <w:b w:val="1"/>
          <w:sz w:val="24"/>
        </w:rPr>
        <w:t>.  Заключительные положения</w:t>
      </w:r>
    </w:p>
    <w:p w14:paraId="72000000">
      <w:pPr>
        <w:widowControl w:val="1"/>
        <w:ind/>
        <w:jc w:val="center"/>
        <w:rPr>
          <w:b w:val="1"/>
          <w:sz w:val="24"/>
        </w:rPr>
      </w:pPr>
    </w:p>
    <w:p w14:paraId="73000000">
      <w:pPr>
        <w:widowControl w:val="1"/>
        <w:ind w:firstLine="567"/>
        <w:jc w:val="both"/>
        <w:rPr>
          <w:sz w:val="24"/>
        </w:rPr>
      </w:pPr>
      <w:r>
        <w:rPr>
          <w:sz w:val="24"/>
        </w:rPr>
        <w:t>9</w:t>
      </w:r>
      <w:r>
        <w:rPr>
          <w:sz w:val="24"/>
        </w:rPr>
        <w:t>.1. После подписания настоящего Договора все предыдущие переговоры по нему, переписка, предварительные договоры о намерениях и любые другие устные или письменные договоренности Сторон по вопросам, так или иначе касающимся данного Договора, теряют юридическую силу.</w:t>
      </w:r>
    </w:p>
    <w:p w14:paraId="74000000">
      <w:pPr>
        <w:widowControl w:val="1"/>
        <w:ind w:firstLine="567"/>
        <w:jc w:val="both"/>
        <w:rPr>
          <w:sz w:val="24"/>
        </w:rPr>
      </w:pPr>
      <w:r>
        <w:rPr>
          <w:sz w:val="24"/>
        </w:rPr>
        <w:t>9</w:t>
      </w:r>
      <w:r>
        <w:rPr>
          <w:sz w:val="24"/>
        </w:rPr>
        <w:t>.2. Стороны несут полную ответственность за правильность указанных ими в данном Договоре адресов, телефонных номеров и факсов, банковских и иных реквизитов, и обязуются своевременно, в течение 3 (трёх) рабочих дней, в письменной форме извещать другую Сторону об их изменении, а в случае не уведомления несут риск наступления связанных с этим неблагоприятных последствий.</w:t>
      </w:r>
    </w:p>
    <w:p w14:paraId="75000000">
      <w:pPr>
        <w:widowControl w:val="1"/>
        <w:ind w:firstLine="567"/>
        <w:jc w:val="both"/>
        <w:rPr>
          <w:sz w:val="24"/>
        </w:rPr>
      </w:pPr>
      <w:r>
        <w:rPr>
          <w:sz w:val="24"/>
        </w:rPr>
        <w:t>9</w:t>
      </w:r>
      <w:r>
        <w:rPr>
          <w:sz w:val="24"/>
        </w:rPr>
        <w:t>.3. Какие-либо изменения и/или дополнения в настоящий Договор могут быть внесены только по взаимной договоренности Сторон, которая оформляется в письменном виде Дополнительным соглашением, Протоколом или Приложением к настоящему Договору.</w:t>
      </w:r>
    </w:p>
    <w:p w14:paraId="76000000">
      <w:pPr>
        <w:widowControl w:val="1"/>
        <w:ind w:firstLine="567"/>
        <w:jc w:val="both"/>
        <w:rPr>
          <w:sz w:val="24"/>
        </w:rPr>
      </w:pPr>
      <w:r>
        <w:rPr>
          <w:sz w:val="24"/>
        </w:rPr>
        <w:t>9</w:t>
      </w:r>
      <w:r>
        <w:rPr>
          <w:sz w:val="24"/>
        </w:rPr>
        <w:t>.4. Дополнительные соглашения и Приложения к настоящему Договору являются его неотъемлемой частью и имеют юридическую силу в случае, если они оформлены в письменной форме и скреплены подписями уполномоченных представителей обеих Сторон. Приложения к настоящему Договору ре</w:t>
      </w:r>
      <w:r>
        <w:rPr>
          <w:sz w:val="24"/>
        </w:rPr>
        <w:t xml:space="preserve">гулируют взаимоотношения между </w:t>
      </w:r>
      <w:r>
        <w:rPr>
          <w:sz w:val="24"/>
        </w:rPr>
        <w:t>Исполнителем</w:t>
      </w:r>
      <w:r>
        <w:rPr>
          <w:sz w:val="24"/>
        </w:rPr>
        <w:t xml:space="preserve"> и </w:t>
      </w:r>
      <w:r>
        <w:rPr>
          <w:sz w:val="24"/>
        </w:rPr>
        <w:t>Заказчиком.</w:t>
      </w:r>
    </w:p>
    <w:p w14:paraId="77000000">
      <w:pPr>
        <w:widowControl w:val="1"/>
        <w:ind w:firstLine="567"/>
        <w:jc w:val="both"/>
        <w:rPr>
          <w:sz w:val="24"/>
        </w:rPr>
      </w:pPr>
      <w:r>
        <w:rPr>
          <w:sz w:val="24"/>
        </w:rPr>
        <w:t>9</w:t>
      </w:r>
      <w:r>
        <w:rPr>
          <w:sz w:val="24"/>
        </w:rPr>
        <w:t xml:space="preserve">.5. Какие-либо уведомления, сообщения и иная переписка между Сторонами должна вестись в письменной форме. Какое-либо уведомление по данному Договору предоставляется в письменной форме в виде факсимильного сообщения (номера факсов Сторон указаны в разделе 11 Договора), письма по электронной почте (адреса электронной почты Сторон указаны в разделе 11 Договора), либо отправляется заказным письмом получателю по адресу, указанному в настоящем Договоре, либо вручается лично. Уведомление считается данным в день отправления факсимильного сообщения или на следующий день после отправления письма электронной почтой, либо отправления письма посредством </w:t>
      </w:r>
      <w:r>
        <w:rPr>
          <w:sz w:val="24"/>
        </w:rPr>
        <w:t>Услуг</w:t>
      </w:r>
      <w:r>
        <w:rPr>
          <w:sz w:val="24"/>
        </w:rPr>
        <w:t xml:space="preserve"> отделений почтовой связи, транспортных компаний. При вручении уведомления лично оно считается полученным сразу после вручения, при наличии на копии уведомления подписи должностного лица – стороны получателя о его получении.</w:t>
      </w:r>
    </w:p>
    <w:p w14:paraId="78000000">
      <w:pPr>
        <w:widowControl w:val="1"/>
        <w:ind w:firstLine="567"/>
        <w:jc w:val="both"/>
        <w:rPr>
          <w:sz w:val="24"/>
        </w:rPr>
      </w:pPr>
      <w:r>
        <w:rPr>
          <w:sz w:val="24"/>
        </w:rPr>
        <w:t>9</w:t>
      </w:r>
      <w:r>
        <w:rPr>
          <w:sz w:val="24"/>
        </w:rPr>
        <w:t>.6. Устные договоренности не имеют юридической силы.</w:t>
      </w:r>
    </w:p>
    <w:p w14:paraId="79000000">
      <w:pPr>
        <w:widowControl w:val="1"/>
        <w:ind w:firstLine="567"/>
        <w:jc w:val="both"/>
        <w:rPr>
          <w:sz w:val="24"/>
        </w:rPr>
      </w:pPr>
      <w:r>
        <w:rPr>
          <w:sz w:val="24"/>
        </w:rPr>
        <w:t>9</w:t>
      </w:r>
      <w:r>
        <w:rPr>
          <w:sz w:val="24"/>
        </w:rPr>
        <w:t>.7. Если по тем или иным причинам в соответствии с условиями данного Договора и действующего законодательства Российской Федерации, какая-либо его часть становится недействительной или аннулируется, остальные пункты и разделы Договора остаются действующими.</w:t>
      </w:r>
    </w:p>
    <w:p w14:paraId="7A000000">
      <w:pPr>
        <w:widowControl w:val="1"/>
        <w:ind w:firstLine="567"/>
        <w:jc w:val="both"/>
        <w:rPr>
          <w:sz w:val="24"/>
        </w:rPr>
      </w:pPr>
      <w:r>
        <w:rPr>
          <w:sz w:val="24"/>
        </w:rPr>
        <w:t>9</w:t>
      </w:r>
      <w:r>
        <w:rPr>
          <w:sz w:val="24"/>
        </w:rPr>
        <w:t>.8. Уступка права требования и/или перевода долга по данному Договору одной из Сторон к третьим лицам не допускается, без письменного согласия на это другой Стороны.</w:t>
      </w:r>
    </w:p>
    <w:p w14:paraId="7B000000">
      <w:pPr>
        <w:widowControl w:val="1"/>
        <w:tabs>
          <w:tab w:leader="none" w:pos="10206" w:val="left"/>
        </w:tabs>
        <w:ind w:firstLine="567"/>
        <w:jc w:val="both"/>
        <w:rPr>
          <w:sz w:val="24"/>
        </w:rPr>
      </w:pPr>
      <w:r>
        <w:rPr>
          <w:sz w:val="24"/>
        </w:rPr>
        <w:t>9</w:t>
      </w:r>
      <w:r>
        <w:rPr>
          <w:sz w:val="24"/>
        </w:rPr>
        <w:t>.9. Стороны гарантируют, что на момент заключения настоящего Договора, ни законом, ни иным нормативно-правовым актом, ни судебным решением или иными способами, ни одна из Сторон не ограничена в праве заключать и исполнять данный Договор.</w:t>
      </w:r>
    </w:p>
    <w:p w14:paraId="7C000000">
      <w:pPr>
        <w:widowControl w:val="1"/>
        <w:ind w:firstLine="567"/>
        <w:jc w:val="both"/>
        <w:rPr>
          <w:sz w:val="24"/>
        </w:rPr>
      </w:pPr>
      <w:r>
        <w:rPr>
          <w:sz w:val="24"/>
        </w:rPr>
        <w:t>9</w:t>
      </w:r>
      <w:r>
        <w:rPr>
          <w:sz w:val="24"/>
        </w:rPr>
        <w:t>.10. Настоящий Договор составлен при полном понимании Сторонами его условий и терминологии, на русском языке, в 2 (двух) аутентичных экземплярах, имеющих одинаковую юридическую силу, – по одному для каждой из Сторон.</w:t>
      </w:r>
    </w:p>
    <w:p w14:paraId="7D000000">
      <w:pPr>
        <w:widowControl w:val="1"/>
        <w:ind w:firstLine="567"/>
        <w:jc w:val="both"/>
        <w:rPr>
          <w:sz w:val="24"/>
        </w:rPr>
      </w:pPr>
      <w:r>
        <w:rPr>
          <w:sz w:val="24"/>
        </w:rPr>
        <w:t>9</w:t>
      </w:r>
      <w:r>
        <w:rPr>
          <w:sz w:val="24"/>
        </w:rPr>
        <w:t>.11. В целях надлежащего исполнения Сторонами обязательств по договору Стороны дают свое согласие на обработку персональных данных, в соответствие с требованиями Федерального закона от 27.07.2006 № 152-ФЗ «О персональных данных». Стороны пришли к согласию о том, что любые сведения о физическом лице (лице, которое является стороной в Договоре, работнике или представителе Стороны), содержащиеся в данном Договоре,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14:paraId="7E000000">
      <w:pPr>
        <w:widowControl w:val="1"/>
        <w:ind w:firstLine="567"/>
        <w:jc w:val="both"/>
        <w:rPr>
          <w:sz w:val="24"/>
        </w:rPr>
      </w:pPr>
      <w:r>
        <w:rPr>
          <w:sz w:val="24"/>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Договора запрещается, кроме случаев, определенных настоящим Договором.</w:t>
      </w:r>
    </w:p>
    <w:p w14:paraId="7F000000">
      <w:pPr>
        <w:widowControl w:val="1"/>
        <w:tabs>
          <w:tab w:leader="none" w:pos="851" w:val="left"/>
        </w:tabs>
        <w:ind w:firstLine="567"/>
        <w:jc w:val="both"/>
        <w:rPr>
          <w:sz w:val="24"/>
        </w:rPr>
      </w:pPr>
      <w:r>
        <w:rPr>
          <w:sz w:val="24"/>
        </w:rPr>
        <w:t>9</w:t>
      </w:r>
      <w:r>
        <w:rPr>
          <w:sz w:val="24"/>
        </w:rPr>
        <w:t xml:space="preserve">.12. Подписанием настоящего Договора Исполнитель подтверждает свое соответствие единым требованиям, установленным в части 1 </w:t>
      </w:r>
      <w:r>
        <w:rPr>
          <w:sz w:val="24"/>
        </w:rPr>
        <w:t xml:space="preserve">статьи 31  </w:t>
      </w:r>
      <w:r>
        <w:rPr>
          <w:sz w:val="24"/>
        </w:rPr>
        <w:t xml:space="preserve"> </w:t>
      </w:r>
      <w:r>
        <w:rPr>
          <w:sz w:val="24"/>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Pr>
          <w:sz w:val="24"/>
        </w:rPr>
        <w:t>.</w:t>
      </w:r>
    </w:p>
    <w:p w14:paraId="80000000">
      <w:pPr>
        <w:widowControl w:val="1"/>
        <w:tabs>
          <w:tab w:leader="none" w:pos="851" w:val="left"/>
        </w:tabs>
        <w:ind w:firstLine="567"/>
        <w:jc w:val="both"/>
        <w:rPr>
          <w:sz w:val="24"/>
        </w:rPr>
      </w:pPr>
    </w:p>
    <w:p w14:paraId="81000000">
      <w:pPr>
        <w:pStyle w:val="Style_3"/>
        <w:widowControl w:val="1"/>
        <w:spacing w:after="85" w:before="85"/>
        <w:ind w:firstLine="284"/>
        <w:contextualSpacing w:val="1"/>
        <w:jc w:val="center"/>
        <w:rPr>
          <w:rStyle w:val="Style_4_ch"/>
          <w:color w:val="000000"/>
        </w:rPr>
      </w:pPr>
      <w:r>
        <w:rPr>
          <w:rStyle w:val="Style_4_ch"/>
          <w:color w:val="000000"/>
        </w:rPr>
        <w:t>10</w:t>
      </w:r>
      <w:r>
        <w:rPr>
          <w:rStyle w:val="Style_4_ch"/>
          <w:color w:val="000000"/>
        </w:rPr>
        <w:t>. Конфиденциальность</w:t>
      </w:r>
    </w:p>
    <w:p w14:paraId="82000000">
      <w:pPr>
        <w:pStyle w:val="Style_3"/>
        <w:widowControl w:val="1"/>
        <w:spacing w:after="85" w:before="85"/>
        <w:ind w:firstLine="284"/>
        <w:contextualSpacing w:val="1"/>
        <w:jc w:val="center"/>
      </w:pPr>
    </w:p>
    <w:p w14:paraId="83000000">
      <w:pPr>
        <w:pStyle w:val="Style_3"/>
        <w:widowControl w:val="1"/>
        <w:spacing w:after="0" w:before="0"/>
        <w:ind w:firstLine="425"/>
        <w:contextualSpacing w:val="1"/>
        <w:jc w:val="both"/>
      </w:pPr>
      <w:r>
        <w:rPr>
          <w:color w:val="000000"/>
        </w:rPr>
        <w:t>10.1. Стороны</w:t>
      </w:r>
      <w:r>
        <w:rPr>
          <w:color w:val="000000"/>
        </w:rPr>
        <w:t xml:space="preserve"> обязаны сохранять конфиденциальность информации, полученной в ходе исполнения настоящего </w:t>
      </w:r>
      <w:r>
        <w:rPr>
          <w:color w:val="000000"/>
        </w:rPr>
        <w:t>Договор</w:t>
      </w:r>
      <w:r>
        <w:rPr>
          <w:color w:val="000000"/>
        </w:rPr>
        <w:t>а.</w:t>
      </w:r>
    </w:p>
    <w:p w14:paraId="84000000">
      <w:pPr>
        <w:pStyle w:val="Style_3"/>
        <w:widowControl w:val="1"/>
        <w:spacing w:after="0" w:before="0"/>
        <w:ind w:firstLine="425"/>
        <w:contextualSpacing w:val="1"/>
        <w:jc w:val="both"/>
      </w:pPr>
      <w:r>
        <w:rPr>
          <w:color w:val="000000"/>
        </w:rPr>
        <w:t>10</w:t>
      </w:r>
      <w:r>
        <w:rPr>
          <w:color w:val="000000"/>
        </w:rPr>
        <w:t xml:space="preserve">.2. Передача конфиденциальной информации третьим лицам, опубликование или иное разглашение такой информации может осуществляться только с </w:t>
      </w:r>
      <w:r>
        <w:rPr>
          <w:color w:val="000000"/>
        </w:rPr>
        <w:t>письменного согласия Заказчика</w:t>
      </w:r>
      <w:r>
        <w:rPr>
          <w:color w:val="000000"/>
        </w:rPr>
        <w:t xml:space="preserve">, независимо от причины прекращения действия настоящего </w:t>
      </w:r>
      <w:r>
        <w:rPr>
          <w:color w:val="000000"/>
        </w:rPr>
        <w:t>Договор</w:t>
      </w:r>
      <w:r>
        <w:rPr>
          <w:color w:val="000000"/>
        </w:rPr>
        <w:t>а.</w:t>
      </w:r>
    </w:p>
    <w:p w14:paraId="85000000">
      <w:pPr>
        <w:pStyle w:val="Style_3"/>
        <w:widowControl w:val="1"/>
        <w:spacing w:after="0" w:before="0"/>
        <w:ind w:firstLine="425"/>
        <w:contextualSpacing w:val="1"/>
        <w:jc w:val="both"/>
        <w:rPr>
          <w:color w:val="000000"/>
        </w:rPr>
      </w:pPr>
      <w:r>
        <w:rPr>
          <w:color w:val="000000"/>
        </w:rPr>
        <w:t>10.3. Ни одна из Сторон</w:t>
      </w:r>
      <w:r>
        <w:rPr>
          <w:color w:val="000000"/>
        </w:rPr>
        <w:t xml:space="preserve"> не несет ответственности в случае передачи информации государственным органам, имеющим право и основание её затребовать в соответствии с законодательством Российской Федерации, если предварите</w:t>
      </w:r>
      <w:r>
        <w:rPr>
          <w:color w:val="000000"/>
        </w:rPr>
        <w:t xml:space="preserve">льно уведомить другую Сторону </w:t>
      </w:r>
      <w:r>
        <w:rPr>
          <w:color w:val="000000"/>
        </w:rPr>
        <w:t>об обращении за информацией соответствующих государственных органов.</w:t>
      </w:r>
    </w:p>
    <w:p w14:paraId="86000000">
      <w:pPr>
        <w:pStyle w:val="Style_3"/>
        <w:widowControl w:val="1"/>
        <w:spacing w:after="0" w:before="0"/>
        <w:ind w:firstLine="425"/>
        <w:contextualSpacing w:val="1"/>
        <w:jc w:val="both"/>
      </w:pPr>
    </w:p>
    <w:p w14:paraId="87000000">
      <w:pPr>
        <w:widowControl w:val="1"/>
        <w:tabs>
          <w:tab w:leader="none" w:pos="0" w:val="left"/>
          <w:tab w:leader="none" w:pos="339" w:val="left"/>
        </w:tabs>
        <w:spacing w:line="315" w:lineRule="atLeast"/>
        <w:ind/>
        <w:jc w:val="center"/>
        <w:rPr>
          <w:sz w:val="24"/>
        </w:rPr>
      </w:pPr>
      <w:r>
        <w:rPr>
          <w:b w:val="1"/>
          <w:color w:val="000000"/>
          <w:sz w:val="24"/>
        </w:rPr>
        <w:t>11</w:t>
      </w:r>
      <w:r>
        <w:rPr>
          <w:b w:val="1"/>
          <w:color w:val="000000"/>
          <w:sz w:val="24"/>
        </w:rPr>
        <w:t>. Адреса и реквизиты сторон</w:t>
      </w:r>
    </w:p>
    <w:tbl>
      <w:tblPr>
        <w:tblStyle w:val="Style_5"/>
        <w:tblW w:type="auto" w:w="0"/>
        <w:tblLayout w:type="fixed"/>
      </w:tblPr>
      <w:tblGrid>
        <w:gridCol w:w="5295"/>
        <w:gridCol w:w="5040"/>
      </w:tblGrid>
      <w:tr>
        <w:trPr>
          <w:trHeight w:hRule="atLeast" w:val="1410"/>
        </w:trPr>
        <w:tc>
          <w:tcPr>
            <w:tcW w:type="dxa" w:w="5295"/>
            <w:tcBorders>
              <w:top w:color="000000" w:sz="4" w:val="single"/>
              <w:left w:color="000000" w:sz="4" w:val="single"/>
              <w:bottom w:color="000000" w:sz="4" w:val="single"/>
              <w:right w:color="000000" w:sz="4" w:val="single"/>
            </w:tcBorders>
          </w:tcPr>
          <w:p w14:paraId="88000000">
            <w:pPr>
              <w:widowControl w:val="1"/>
              <w:ind w:right="57"/>
              <w:contextualSpacing w:val="1"/>
              <w:jc w:val="center"/>
              <w:rPr>
                <w:b w:val="1"/>
                <w:sz w:val="22"/>
              </w:rPr>
            </w:pPr>
          </w:p>
          <w:p w14:paraId="89000000">
            <w:pPr>
              <w:widowControl w:val="1"/>
              <w:ind w:right="57"/>
              <w:contextualSpacing w:val="1"/>
              <w:jc w:val="center"/>
              <w:rPr>
                <w:b w:val="1"/>
                <w:sz w:val="22"/>
              </w:rPr>
            </w:pPr>
            <w:r>
              <w:rPr>
                <w:b w:val="1"/>
                <w:sz w:val="22"/>
              </w:rPr>
              <w:t>ЗАКАЗЧИК:</w:t>
            </w:r>
          </w:p>
          <w:p w14:paraId="8A000000">
            <w:pPr>
              <w:rPr>
                <w:b w:val="1"/>
                <w:sz w:val="22"/>
              </w:rPr>
            </w:pPr>
            <w:r>
              <w:rPr>
                <w:b w:val="1"/>
                <w:sz w:val="22"/>
              </w:rPr>
              <w:t>Федеральное казенное учреждение «Главное бюро медико-социальной экспертизы по Республике Крым» Министерства труда и социальной защиты Россий</w:t>
            </w:r>
            <w:r>
              <w:rPr>
                <w:b w:val="1"/>
                <w:sz w:val="22"/>
              </w:rPr>
              <w:t>ской Федерации</w:t>
            </w:r>
          </w:p>
          <w:p w14:paraId="8B000000">
            <w:pPr>
              <w:widowControl w:val="1"/>
              <w:tabs>
                <w:tab w:leader="none" w:pos="1260" w:val="left"/>
              </w:tabs>
              <w:ind/>
              <w:jc w:val="both"/>
              <w:rPr>
                <w:color w:val="000000"/>
                <w:sz w:val="24"/>
              </w:rPr>
            </w:pPr>
            <w:r>
              <w:rPr>
                <w:color w:val="000000"/>
                <w:sz w:val="24"/>
              </w:rPr>
              <w:t xml:space="preserve">Юридический адрес: 295024, </w:t>
            </w:r>
          </w:p>
          <w:p w14:paraId="8C000000">
            <w:pPr>
              <w:widowControl w:val="1"/>
              <w:tabs>
                <w:tab w:leader="none" w:pos="1260" w:val="left"/>
              </w:tabs>
              <w:ind/>
              <w:jc w:val="both"/>
              <w:rPr>
                <w:color w:val="000000"/>
                <w:sz w:val="24"/>
              </w:rPr>
            </w:pPr>
            <w:r>
              <w:rPr>
                <w:color w:val="000000"/>
                <w:sz w:val="24"/>
              </w:rPr>
              <w:t xml:space="preserve">Республика Крым, г. Симферополь, </w:t>
            </w:r>
          </w:p>
          <w:p w14:paraId="8D000000">
            <w:pPr>
              <w:widowControl w:val="1"/>
              <w:tabs>
                <w:tab w:leader="none" w:pos="1260" w:val="left"/>
              </w:tabs>
              <w:ind/>
              <w:jc w:val="both"/>
              <w:rPr>
                <w:color w:val="000000"/>
                <w:sz w:val="24"/>
              </w:rPr>
            </w:pPr>
            <w:r>
              <w:rPr>
                <w:color w:val="000000"/>
                <w:sz w:val="24"/>
              </w:rPr>
              <w:t>ул. 1 Конной Армии, д. 17Б</w:t>
            </w:r>
          </w:p>
          <w:p w14:paraId="8E000000">
            <w:pPr>
              <w:widowControl w:val="1"/>
              <w:tabs>
                <w:tab w:leader="none" w:pos="1260" w:val="left"/>
              </w:tabs>
              <w:ind/>
              <w:jc w:val="both"/>
              <w:rPr>
                <w:color w:val="000000"/>
                <w:sz w:val="24"/>
              </w:rPr>
            </w:pPr>
            <w:r>
              <w:rPr>
                <w:color w:val="000000"/>
                <w:sz w:val="24"/>
              </w:rPr>
              <w:t>ОГРН 1149102013928</w:t>
            </w:r>
          </w:p>
          <w:p w14:paraId="8F000000">
            <w:pPr>
              <w:widowControl w:val="1"/>
              <w:tabs>
                <w:tab w:leader="none" w:pos="1260" w:val="left"/>
              </w:tabs>
              <w:ind/>
              <w:jc w:val="both"/>
              <w:rPr>
                <w:color w:val="000000"/>
                <w:sz w:val="24"/>
              </w:rPr>
            </w:pPr>
            <w:r>
              <w:rPr>
                <w:color w:val="000000"/>
                <w:sz w:val="24"/>
              </w:rPr>
              <w:t>ИНН 9102009908</w:t>
            </w:r>
          </w:p>
          <w:p w14:paraId="90000000">
            <w:pPr>
              <w:widowControl w:val="1"/>
              <w:tabs>
                <w:tab w:leader="none" w:pos="1260" w:val="left"/>
              </w:tabs>
              <w:ind/>
              <w:jc w:val="both"/>
              <w:rPr>
                <w:color w:val="000000"/>
                <w:sz w:val="24"/>
              </w:rPr>
            </w:pPr>
            <w:r>
              <w:rPr>
                <w:color w:val="000000"/>
                <w:sz w:val="24"/>
              </w:rPr>
              <w:t>КПП 910201001</w:t>
            </w:r>
          </w:p>
          <w:p w14:paraId="91000000">
            <w:pPr>
              <w:widowControl w:val="1"/>
              <w:tabs>
                <w:tab w:leader="none" w:pos="1260" w:val="left"/>
              </w:tabs>
              <w:ind/>
              <w:jc w:val="both"/>
              <w:rPr>
                <w:color w:val="000000"/>
                <w:sz w:val="24"/>
              </w:rPr>
            </w:pPr>
            <w:r>
              <w:rPr>
                <w:color w:val="000000"/>
                <w:sz w:val="24"/>
              </w:rPr>
              <w:t>Банковские реквизиты:</w:t>
            </w:r>
          </w:p>
          <w:p w14:paraId="92000000">
            <w:pPr>
              <w:pStyle w:val="Style_6"/>
              <w:widowControl w:val="0"/>
              <w:spacing w:after="0" w:before="0" w:line="240" w:lineRule="auto"/>
              <w:ind w:firstLine="0"/>
              <w:rPr>
                <w:rFonts w:ascii="Times New Roman" w:hAnsi="Times New Roman"/>
                <w:sz w:val="24"/>
              </w:rPr>
            </w:pPr>
            <w:r>
              <w:rPr>
                <w:rStyle w:val="Style_6_ch"/>
                <w:rFonts w:ascii="Times New Roman" w:hAnsi="Times New Roman"/>
                <w:sz w:val="24"/>
              </w:rPr>
              <w:t>Банк: ОКЦ № 1 ВВГУ Банка России//УФК по Нижегородской области, г. Нижний Новгород.</w:t>
            </w:r>
          </w:p>
          <w:p w14:paraId="93000000">
            <w:pPr>
              <w:pStyle w:val="Style_6"/>
              <w:widowControl w:val="0"/>
              <w:tabs>
                <w:tab w:leader="none" w:pos="708" w:val="clear"/>
                <w:tab w:leader="none" w:pos="1260" w:val="left"/>
              </w:tabs>
              <w:spacing w:after="0" w:before="0" w:line="240" w:lineRule="auto"/>
              <w:ind w:firstLine="0"/>
              <w:jc w:val="both"/>
              <w:rPr>
                <w:rFonts w:ascii="Times New Roman" w:hAnsi="Times New Roman"/>
                <w:sz w:val="24"/>
              </w:rPr>
            </w:pPr>
            <w:r>
              <w:rPr>
                <w:rStyle w:val="Style_6_ch"/>
                <w:rFonts w:ascii="Times New Roman" w:hAnsi="Times New Roman"/>
                <w:sz w:val="24"/>
              </w:rPr>
              <w:t>БИК 012202102</w:t>
            </w:r>
          </w:p>
          <w:p w14:paraId="94000000">
            <w:pPr>
              <w:pStyle w:val="Style_6"/>
              <w:widowControl w:val="0"/>
              <w:tabs>
                <w:tab w:leader="none" w:pos="708" w:val="clear"/>
                <w:tab w:leader="none" w:pos="1260" w:val="left"/>
              </w:tabs>
              <w:spacing w:after="0" w:before="0" w:line="240" w:lineRule="auto"/>
              <w:ind w:firstLine="0"/>
              <w:jc w:val="both"/>
              <w:rPr>
                <w:rFonts w:ascii="Times New Roman" w:hAnsi="Times New Roman"/>
                <w:sz w:val="24"/>
              </w:rPr>
            </w:pPr>
            <w:r>
              <w:rPr>
                <w:rFonts w:ascii="Times New Roman" w:hAnsi="Times New Roman"/>
                <w:sz w:val="24"/>
              </w:rPr>
              <w:t>ЕКС 40102810745370000024</w:t>
            </w:r>
          </w:p>
          <w:p w14:paraId="95000000">
            <w:pPr>
              <w:pStyle w:val="Style_6"/>
              <w:widowControl w:val="0"/>
              <w:tabs>
                <w:tab w:leader="none" w:pos="708" w:val="clear"/>
                <w:tab w:leader="none" w:pos="1260" w:val="left"/>
              </w:tabs>
              <w:spacing w:after="0" w:before="0" w:line="240" w:lineRule="auto"/>
              <w:ind w:firstLine="0"/>
              <w:jc w:val="both"/>
              <w:rPr>
                <w:rFonts w:ascii="Times New Roman" w:hAnsi="Times New Roman"/>
                <w:sz w:val="24"/>
              </w:rPr>
            </w:pPr>
            <w:r>
              <w:rPr>
                <w:rFonts w:ascii="Times New Roman" w:hAnsi="Times New Roman"/>
                <w:sz w:val="24"/>
              </w:rPr>
              <w:t>Казначейский счет 03211643000000013242</w:t>
            </w:r>
          </w:p>
          <w:p w14:paraId="96000000">
            <w:pPr>
              <w:widowControl w:val="1"/>
              <w:tabs>
                <w:tab w:leader="none" w:pos="1260" w:val="left"/>
              </w:tabs>
              <w:ind/>
              <w:jc w:val="both"/>
              <w:rPr>
                <w:color w:val="000000"/>
                <w:sz w:val="24"/>
              </w:rPr>
            </w:pPr>
            <w:r>
              <w:rPr>
                <w:color w:val="000000"/>
                <w:sz w:val="24"/>
              </w:rPr>
              <w:t>Еmail: msek2010@mail.ru</w:t>
            </w:r>
          </w:p>
          <w:p w14:paraId="97000000">
            <w:pPr>
              <w:widowControl w:val="1"/>
              <w:tabs>
                <w:tab w:leader="none" w:pos="1260" w:val="left"/>
              </w:tabs>
              <w:ind/>
              <w:jc w:val="both"/>
              <w:rPr>
                <w:color w:val="000000"/>
                <w:sz w:val="24"/>
              </w:rPr>
            </w:pPr>
            <w:r>
              <w:rPr>
                <w:color w:val="000000"/>
                <w:sz w:val="24"/>
              </w:rPr>
              <w:t xml:space="preserve">тел. </w:t>
            </w:r>
            <w:r>
              <w:rPr>
                <w:sz w:val="24"/>
              </w:rPr>
              <w:t>+7 (978) 1356047</w:t>
            </w:r>
          </w:p>
          <w:p w14:paraId="98000000">
            <w:pPr>
              <w:widowControl w:val="1"/>
              <w:tabs>
                <w:tab w:leader="none" w:pos="1260" w:val="left"/>
              </w:tabs>
              <w:ind/>
              <w:jc w:val="both"/>
              <w:rPr>
                <w:color w:val="000000"/>
                <w:sz w:val="24"/>
              </w:rPr>
            </w:pPr>
          </w:p>
          <w:p w14:paraId="99000000">
            <w:pPr>
              <w:widowControl w:val="1"/>
              <w:spacing w:line="276" w:lineRule="auto"/>
              <w:ind w:left="132"/>
              <w:rPr>
                <w:b w:val="1"/>
                <w:sz w:val="24"/>
              </w:rPr>
            </w:pPr>
            <w:r>
              <w:rPr>
                <w:b w:val="1"/>
                <w:sz w:val="24"/>
              </w:rPr>
              <w:t xml:space="preserve">Заместитель руководителя по общим </w:t>
            </w:r>
          </w:p>
          <w:p w14:paraId="9A000000">
            <w:pPr>
              <w:widowControl w:val="1"/>
              <w:spacing w:line="276" w:lineRule="auto"/>
              <w:ind w:left="132"/>
              <w:rPr>
                <w:b w:val="1"/>
                <w:sz w:val="24"/>
              </w:rPr>
            </w:pPr>
            <w:r>
              <w:rPr>
                <w:b w:val="1"/>
                <w:sz w:val="24"/>
              </w:rPr>
              <w:t>вопросам деятельности учреждения</w:t>
            </w:r>
          </w:p>
          <w:p w14:paraId="9B000000">
            <w:pPr>
              <w:widowControl w:val="1"/>
              <w:tabs>
                <w:tab w:leader="none" w:pos="720" w:val="left"/>
              </w:tabs>
              <w:spacing w:line="276" w:lineRule="auto"/>
              <w:ind w:left="132"/>
              <w:rPr>
                <w:sz w:val="24"/>
              </w:rPr>
            </w:pPr>
            <w:r>
              <w:rPr>
                <w:sz w:val="24"/>
              </w:rPr>
              <w:t xml:space="preserve"> </w:t>
            </w:r>
          </w:p>
          <w:p w14:paraId="9C000000">
            <w:pPr>
              <w:widowControl w:val="1"/>
              <w:spacing w:line="276" w:lineRule="auto"/>
              <w:ind w:left="132"/>
              <w:rPr>
                <w:b w:val="1"/>
                <w:sz w:val="24"/>
              </w:rPr>
            </w:pPr>
            <w:r>
              <w:rPr>
                <w:b w:val="1"/>
                <w:sz w:val="24"/>
              </w:rPr>
              <w:t>__________________  И.П. Посторонко</w:t>
            </w:r>
          </w:p>
          <w:p w14:paraId="9D000000">
            <w:pPr>
              <w:widowControl w:val="1"/>
              <w:ind w:right="57"/>
              <w:contextualSpacing w:val="1"/>
              <w:rPr>
                <w:b w:val="1"/>
                <w:sz w:val="22"/>
              </w:rPr>
            </w:pPr>
            <w:r>
              <w:rPr>
                <w:b w:val="1"/>
                <w:sz w:val="24"/>
              </w:rPr>
              <w:t>М.П.</w:t>
            </w:r>
          </w:p>
        </w:tc>
        <w:tc>
          <w:tcPr>
            <w:tcW w:type="dxa" w:w="5040"/>
            <w:tcBorders>
              <w:top w:color="000000" w:sz="4" w:val="single"/>
              <w:left w:color="000000" w:sz="4" w:val="single"/>
              <w:bottom w:color="000000" w:sz="4" w:val="single"/>
              <w:right w:color="000000" w:sz="4" w:val="single"/>
            </w:tcBorders>
          </w:tcPr>
          <w:p w14:paraId="9E000000">
            <w:pPr>
              <w:widowControl w:val="1"/>
              <w:ind/>
              <w:contextualSpacing w:val="1"/>
              <w:jc w:val="center"/>
              <w:rPr>
                <w:b w:val="1"/>
                <w:sz w:val="22"/>
              </w:rPr>
            </w:pPr>
          </w:p>
          <w:p w14:paraId="9F000000">
            <w:pPr>
              <w:widowControl w:val="1"/>
              <w:ind/>
              <w:contextualSpacing w:val="1"/>
              <w:jc w:val="center"/>
              <w:rPr>
                <w:b w:val="1"/>
                <w:sz w:val="22"/>
              </w:rPr>
            </w:pPr>
            <w:r>
              <w:rPr>
                <w:b w:val="1"/>
                <w:sz w:val="22"/>
              </w:rPr>
              <w:t>ИСПОЛНИТЕЛЬ:</w:t>
            </w:r>
          </w:p>
          <w:p w14:paraId="A0000000">
            <w:pPr>
              <w:widowControl w:val="1"/>
              <w:ind/>
              <w:contextualSpacing w:val="1"/>
              <w:jc w:val="center"/>
              <w:rPr>
                <w:b w:val="1"/>
                <w:sz w:val="22"/>
              </w:rPr>
            </w:pPr>
          </w:p>
          <w:p w14:paraId="A1000000">
            <w:pPr>
              <w:widowControl w:val="1"/>
              <w:ind/>
              <w:contextualSpacing w:val="1"/>
              <w:rPr>
                <w:b w:val="1"/>
                <w:sz w:val="22"/>
              </w:rPr>
            </w:pPr>
          </w:p>
          <w:p w14:paraId="A2000000">
            <w:pPr>
              <w:widowControl w:val="1"/>
              <w:ind/>
              <w:contextualSpacing w:val="1"/>
              <w:rPr>
                <w:b w:val="1"/>
                <w:sz w:val="22"/>
              </w:rPr>
            </w:pPr>
          </w:p>
        </w:tc>
      </w:tr>
    </w:tbl>
    <w:p w14:paraId="A3000000">
      <w:pPr>
        <w:widowControl w:val="1"/>
        <w:tabs>
          <w:tab w:leader="none" w:pos="284" w:val="left"/>
        </w:tabs>
        <w:spacing w:line="331" w:lineRule="exact"/>
        <w:ind/>
        <w:rPr>
          <w:color w:val="000000"/>
          <w:sz w:val="24"/>
        </w:rPr>
      </w:pPr>
    </w:p>
    <w:p w14:paraId="A4000000">
      <w:pPr>
        <w:widowControl w:val="1"/>
        <w:tabs>
          <w:tab w:leader="none" w:pos="284" w:val="left"/>
        </w:tabs>
        <w:spacing w:line="331" w:lineRule="exact"/>
        <w:ind/>
        <w:jc w:val="right"/>
        <w:rPr>
          <w:color w:val="000000"/>
          <w:spacing w:val="-1"/>
          <w:sz w:val="24"/>
          <w:highlight w:val="white"/>
        </w:rPr>
      </w:pPr>
    </w:p>
    <w:p w14:paraId="A5000000">
      <w:pPr>
        <w:widowControl w:val="1"/>
        <w:tabs>
          <w:tab w:leader="none" w:pos="284" w:val="left"/>
        </w:tabs>
        <w:spacing w:line="331" w:lineRule="exact"/>
        <w:ind/>
        <w:jc w:val="right"/>
        <w:rPr>
          <w:color w:val="000000"/>
          <w:spacing w:val="-1"/>
          <w:sz w:val="24"/>
          <w:highlight w:val="white"/>
        </w:rPr>
      </w:pPr>
    </w:p>
    <w:p w14:paraId="A6000000">
      <w:pPr>
        <w:sectPr>
          <w:headerReference r:id="rId3" w:type="default"/>
          <w:headerReference r:id="rId11" w:type="first"/>
          <w:headerReference r:id="rId7" w:type="even"/>
          <w:footerReference r:id="rId4" w:type="default"/>
          <w:footerReference r:id="rId12" w:type="first"/>
          <w:footerReference r:id="rId8" w:type="even"/>
          <w:pgSz w:h="16838" w:orient="portrait" w:w="11906"/>
          <w:pgMar w:bottom="1083" w:footer="1026" w:gutter="0" w:header="720" w:left="1202" w:right="624" w:top="1185"/>
          <w:titlePg/>
        </w:sectPr>
      </w:pPr>
    </w:p>
    <w:p w14:paraId="A7000000">
      <w:pPr>
        <w:widowControl w:val="1"/>
        <w:tabs>
          <w:tab w:leader="none" w:pos="284" w:val="left"/>
        </w:tabs>
        <w:spacing w:line="331" w:lineRule="exact"/>
        <w:ind/>
        <w:jc w:val="right"/>
        <w:rPr>
          <w:sz w:val="24"/>
        </w:rPr>
      </w:pPr>
      <w:r>
        <w:rPr>
          <w:color w:val="000000"/>
          <w:spacing w:val="-1"/>
          <w:sz w:val="24"/>
          <w:highlight w:val="white"/>
        </w:rPr>
        <w:t>Приложение №</w:t>
      </w:r>
      <w:r>
        <w:rPr>
          <w:color w:val="000000"/>
          <w:spacing w:val="-1"/>
          <w:sz w:val="24"/>
          <w:highlight w:val="white"/>
        </w:rPr>
        <w:t xml:space="preserve"> </w:t>
      </w:r>
      <w:r>
        <w:rPr>
          <w:color w:val="000000"/>
          <w:spacing w:val="-1"/>
          <w:sz w:val="24"/>
          <w:highlight w:val="white"/>
        </w:rPr>
        <w:t>1</w:t>
      </w:r>
    </w:p>
    <w:p w14:paraId="A8000000">
      <w:pPr>
        <w:widowControl w:val="1"/>
        <w:tabs>
          <w:tab w:leader="none" w:pos="284" w:val="left"/>
        </w:tabs>
        <w:spacing w:line="331" w:lineRule="exact"/>
        <w:ind/>
        <w:jc w:val="right"/>
        <w:rPr>
          <w:color w:val="000000"/>
          <w:spacing w:val="-1"/>
          <w:sz w:val="24"/>
          <w:highlight w:val="white"/>
        </w:rPr>
      </w:pPr>
      <w:r>
        <w:rPr>
          <w:color w:val="000000"/>
          <w:spacing w:val="-1"/>
          <w:sz w:val="24"/>
          <w:highlight w:val="white"/>
        </w:rPr>
        <w:t xml:space="preserve"> к </w:t>
      </w:r>
      <w:r>
        <w:rPr>
          <w:color w:val="000000"/>
          <w:spacing w:val="-1"/>
          <w:sz w:val="24"/>
          <w:highlight w:val="white"/>
        </w:rPr>
        <w:t>Договор</w:t>
      </w:r>
      <w:r>
        <w:rPr>
          <w:color w:val="000000"/>
          <w:spacing w:val="-1"/>
          <w:sz w:val="24"/>
          <w:highlight w:val="white"/>
        </w:rPr>
        <w:t xml:space="preserve">у № </w:t>
      </w:r>
    </w:p>
    <w:p w14:paraId="A9000000">
      <w:pPr>
        <w:widowControl w:val="1"/>
        <w:tabs>
          <w:tab w:leader="none" w:pos="284" w:val="left"/>
        </w:tabs>
        <w:spacing w:line="331" w:lineRule="exact"/>
        <w:ind/>
        <w:jc w:val="right"/>
        <w:rPr>
          <w:color w:val="000000"/>
          <w:spacing w:val="-1"/>
          <w:sz w:val="24"/>
          <w:highlight w:val="white"/>
        </w:rPr>
      </w:pPr>
      <w:r>
        <w:rPr>
          <w:color w:val="000000"/>
          <w:spacing w:val="-1"/>
          <w:sz w:val="24"/>
          <w:highlight w:val="white"/>
        </w:rPr>
        <w:t xml:space="preserve"> от</w:t>
      </w:r>
      <w:r>
        <w:rPr>
          <w:color w:val="000000"/>
          <w:spacing w:val="-1"/>
          <w:sz w:val="24"/>
          <w:highlight w:val="white"/>
        </w:rPr>
        <w:t xml:space="preserve"> </w:t>
      </w:r>
      <w:r>
        <w:rPr>
          <w:color w:val="000000"/>
          <w:spacing w:val="-1"/>
          <w:sz w:val="24"/>
          <w:highlight w:val="white"/>
        </w:rPr>
        <w:t>______________</w:t>
      </w:r>
    </w:p>
    <w:p w14:paraId="AA000000">
      <w:pPr>
        <w:widowControl w:val="1"/>
        <w:tabs>
          <w:tab w:leader="none" w:pos="284" w:val="left"/>
        </w:tabs>
        <w:spacing w:line="331" w:lineRule="exact"/>
        <w:ind/>
        <w:jc w:val="center"/>
        <w:rPr>
          <w:b w:val="1"/>
          <w:color w:val="000000"/>
          <w:spacing w:val="-1"/>
          <w:sz w:val="24"/>
        </w:rPr>
      </w:pPr>
      <w:r>
        <w:rPr>
          <w:b w:val="1"/>
          <w:color w:val="000000"/>
          <w:spacing w:val="-1"/>
          <w:sz w:val="24"/>
        </w:rPr>
        <w:t>Перечень отходов</w:t>
      </w:r>
    </w:p>
    <w:tbl>
      <w:tblPr>
        <w:tblStyle w:val="Style_5"/>
        <w:tblW w:type="auto" w:w="0"/>
        <w:tblInd w:type="dxa" w:w="113"/>
        <w:tblLayout w:type="fixed"/>
      </w:tblPr>
      <w:tblGrid>
        <w:gridCol w:w="562"/>
        <w:gridCol w:w="2835"/>
        <w:gridCol w:w="1843"/>
        <w:gridCol w:w="2977"/>
        <w:gridCol w:w="1701"/>
      </w:tblGrid>
      <w:tr>
        <w:trPr>
          <w:trHeight w:hRule="atLeast" w:val="1095"/>
        </w:trPr>
        <w:tc>
          <w:tcPr>
            <w:tcW w:type="dxa" w:w="562"/>
            <w:tcBorders>
              <w:top w:color="000000" w:sz="4" w:val="single"/>
              <w:left w:color="000000" w:sz="4" w:val="single"/>
              <w:bottom w:color="000000" w:sz="4" w:val="single"/>
              <w:right w:color="000000" w:sz="4" w:val="single"/>
            </w:tcBorders>
            <w:shd w:fill="auto" w:val="clear"/>
            <w:vAlign w:val="center"/>
          </w:tcPr>
          <w:p w14:paraId="AB000000">
            <w:pPr>
              <w:widowControl w:val="1"/>
              <w:tabs>
                <w:tab w:leader="none" w:pos="284" w:val="left"/>
              </w:tabs>
              <w:spacing w:line="331" w:lineRule="exact"/>
              <w:ind/>
              <w:jc w:val="center"/>
              <w:rPr>
                <w:color w:val="000000"/>
                <w:spacing w:val="-1"/>
                <w:sz w:val="24"/>
              </w:rPr>
            </w:pPr>
            <w:r>
              <w:rPr>
                <w:color w:val="000000"/>
                <w:spacing w:val="-1"/>
                <w:sz w:val="24"/>
              </w:rPr>
              <w:t>№ п/п</w:t>
            </w:r>
          </w:p>
        </w:tc>
        <w:tc>
          <w:tcPr>
            <w:tcW w:type="dxa" w:w="2835"/>
            <w:tcBorders>
              <w:top w:color="000000" w:sz="4" w:val="single"/>
              <w:left w:sz="4" w:val="nil"/>
              <w:bottom w:color="000000" w:sz="4" w:val="single"/>
              <w:right w:color="000000" w:sz="4" w:val="single"/>
            </w:tcBorders>
            <w:shd w:fill="auto" w:val="clear"/>
            <w:vAlign w:val="center"/>
          </w:tcPr>
          <w:p w14:paraId="AC000000">
            <w:pPr>
              <w:widowControl w:val="1"/>
              <w:tabs>
                <w:tab w:leader="none" w:pos="284" w:val="left"/>
              </w:tabs>
              <w:spacing w:line="331" w:lineRule="exact"/>
              <w:ind/>
              <w:jc w:val="center"/>
              <w:rPr>
                <w:color w:val="000000"/>
                <w:spacing w:val="-1"/>
                <w:sz w:val="24"/>
              </w:rPr>
            </w:pPr>
            <w:r>
              <w:rPr>
                <w:color w:val="000000"/>
                <w:spacing w:val="-1"/>
                <w:sz w:val="24"/>
              </w:rPr>
              <w:t>Наименование отходов</w:t>
            </w:r>
          </w:p>
        </w:tc>
        <w:tc>
          <w:tcPr>
            <w:tcW w:type="dxa" w:w="1843"/>
            <w:tcBorders>
              <w:top w:color="000000" w:sz="4" w:val="single"/>
              <w:left w:sz="4" w:val="nil"/>
              <w:bottom w:color="000000" w:sz="4" w:val="single"/>
              <w:right w:color="000000" w:sz="4" w:val="single"/>
            </w:tcBorders>
            <w:shd w:fill="auto" w:val="clear"/>
            <w:vAlign w:val="center"/>
          </w:tcPr>
          <w:p w14:paraId="AD000000">
            <w:pPr>
              <w:widowControl w:val="1"/>
              <w:tabs>
                <w:tab w:leader="none" w:pos="284" w:val="left"/>
              </w:tabs>
              <w:spacing w:line="331" w:lineRule="exact"/>
              <w:ind/>
              <w:jc w:val="center"/>
              <w:rPr>
                <w:color w:val="000000"/>
                <w:spacing w:val="-1"/>
                <w:sz w:val="24"/>
              </w:rPr>
            </w:pPr>
            <w:r>
              <w:rPr>
                <w:color w:val="000000"/>
                <w:spacing w:val="-1"/>
                <w:sz w:val="24"/>
              </w:rPr>
              <w:t>ФККО</w:t>
            </w:r>
          </w:p>
        </w:tc>
        <w:tc>
          <w:tcPr>
            <w:tcW w:type="dxa" w:w="2977"/>
            <w:tcBorders>
              <w:top w:color="000000" w:sz="4" w:val="single"/>
              <w:left w:sz="4" w:val="nil"/>
              <w:bottom w:color="000000" w:sz="4" w:val="single"/>
              <w:right w:color="000000" w:sz="4" w:val="single"/>
            </w:tcBorders>
            <w:shd w:fill="auto" w:val="clear"/>
            <w:vAlign w:val="center"/>
          </w:tcPr>
          <w:p w14:paraId="AE000000">
            <w:pPr>
              <w:widowControl w:val="1"/>
              <w:tabs>
                <w:tab w:leader="none" w:pos="284" w:val="left"/>
              </w:tabs>
              <w:spacing w:line="331" w:lineRule="exact"/>
              <w:ind/>
              <w:jc w:val="center"/>
              <w:rPr>
                <w:color w:val="000000"/>
                <w:spacing w:val="-1"/>
                <w:sz w:val="24"/>
              </w:rPr>
            </w:pPr>
            <w:r>
              <w:rPr>
                <w:color w:val="000000"/>
                <w:spacing w:val="-1"/>
                <w:sz w:val="24"/>
              </w:rPr>
              <w:t>Перечень к утилизации</w:t>
            </w:r>
          </w:p>
        </w:tc>
        <w:tc>
          <w:tcPr>
            <w:tcW w:type="dxa" w:w="1701"/>
            <w:tcBorders>
              <w:top w:color="000000" w:sz="4" w:val="single"/>
              <w:left w:sz="4" w:val="nil"/>
              <w:bottom w:color="000000" w:sz="4" w:val="single"/>
              <w:right w:color="000000" w:sz="4" w:val="single"/>
            </w:tcBorders>
            <w:shd w:fill="auto" w:val="clear"/>
            <w:vAlign w:val="center"/>
          </w:tcPr>
          <w:p w14:paraId="AF000000">
            <w:pPr>
              <w:widowControl w:val="1"/>
              <w:tabs>
                <w:tab w:leader="none" w:pos="284" w:val="left"/>
              </w:tabs>
              <w:spacing w:line="331" w:lineRule="exact"/>
              <w:ind/>
              <w:jc w:val="center"/>
              <w:rPr>
                <w:color w:val="000000"/>
                <w:spacing w:val="-1"/>
                <w:sz w:val="24"/>
              </w:rPr>
            </w:pPr>
            <w:r>
              <w:rPr>
                <w:color w:val="000000"/>
                <w:spacing w:val="-1"/>
                <w:sz w:val="24"/>
              </w:rPr>
              <w:t>Кол-во, шт.</w:t>
            </w:r>
          </w:p>
        </w:tc>
      </w:tr>
      <w:tr>
        <w:trPr>
          <w:trHeight w:hRule="atLeast" w:val="906"/>
        </w:trPr>
        <w:tc>
          <w:tcPr>
            <w:tcW w:type="dxa" w:w="562"/>
            <w:vMerge w:val="restart"/>
            <w:tcBorders>
              <w:top w:sz="4" w:val="nil"/>
              <w:left w:color="000000" w:sz="4" w:val="single"/>
              <w:bottom w:color="000000" w:sz="4" w:val="single"/>
              <w:right w:color="000000" w:sz="4" w:val="single"/>
            </w:tcBorders>
            <w:shd w:fill="auto" w:val="clear"/>
            <w:vAlign w:val="center"/>
          </w:tcPr>
          <w:p w14:paraId="B0000000">
            <w:pPr>
              <w:widowControl w:val="1"/>
              <w:tabs>
                <w:tab w:leader="none" w:pos="284" w:val="left"/>
              </w:tabs>
              <w:spacing w:line="331" w:lineRule="exact"/>
              <w:ind/>
              <w:jc w:val="center"/>
              <w:rPr>
                <w:color w:val="000000"/>
                <w:spacing w:val="-1"/>
                <w:sz w:val="24"/>
              </w:rPr>
            </w:pPr>
            <w:r>
              <w:rPr>
                <w:color w:val="000000"/>
                <w:spacing w:val="-1"/>
                <w:sz w:val="24"/>
              </w:rPr>
              <w:t>1</w:t>
            </w:r>
          </w:p>
        </w:tc>
        <w:tc>
          <w:tcPr>
            <w:tcW w:type="dxa" w:w="2835"/>
            <w:vMerge w:val="restart"/>
            <w:tcBorders>
              <w:top w:sz="4" w:val="nil"/>
              <w:left w:color="000000" w:sz="4" w:val="single"/>
              <w:bottom w:color="000000" w:sz="4" w:val="single"/>
              <w:right w:color="000000" w:sz="4" w:val="single"/>
            </w:tcBorders>
            <w:shd w:fill="auto" w:val="clear"/>
            <w:vAlign w:val="center"/>
          </w:tcPr>
          <w:p w14:paraId="B1000000">
            <w:pPr>
              <w:widowControl w:val="1"/>
              <w:tabs>
                <w:tab w:leader="none" w:pos="284" w:val="left"/>
              </w:tabs>
              <w:spacing w:line="331" w:lineRule="exact"/>
              <w:ind/>
              <w:jc w:val="center"/>
              <w:rPr>
                <w:color w:val="000000"/>
                <w:spacing w:val="-1"/>
                <w:sz w:val="24"/>
              </w:rPr>
            </w:pPr>
            <w:r>
              <w:rPr>
                <w:color w:val="000000"/>
                <w:spacing w:val="-1"/>
                <w:sz w:val="24"/>
              </w:rPr>
              <w:t>Аккумуляторные батареи источников бесперебойного питания, утратившие потребительские свойства</w:t>
            </w:r>
          </w:p>
        </w:tc>
        <w:tc>
          <w:tcPr>
            <w:tcW w:type="dxa" w:w="1843"/>
            <w:vMerge w:val="restart"/>
            <w:tcBorders>
              <w:top w:sz="4" w:val="nil"/>
              <w:left w:color="000000" w:sz="4" w:val="single"/>
              <w:bottom w:color="000000" w:sz="4" w:val="single"/>
              <w:right w:color="000000" w:sz="4" w:val="single"/>
            </w:tcBorders>
            <w:shd w:fill="auto" w:val="clear"/>
            <w:vAlign w:val="center"/>
          </w:tcPr>
          <w:p w14:paraId="B2000000">
            <w:pPr>
              <w:widowControl w:val="1"/>
              <w:tabs>
                <w:tab w:leader="none" w:pos="284" w:val="left"/>
              </w:tabs>
              <w:spacing w:line="331" w:lineRule="exact"/>
              <w:ind/>
              <w:jc w:val="center"/>
              <w:rPr>
                <w:color w:val="000000"/>
                <w:spacing w:val="-1"/>
                <w:sz w:val="24"/>
              </w:rPr>
            </w:pPr>
            <w:r>
              <w:rPr>
                <w:color w:val="000000"/>
                <w:spacing w:val="-1"/>
                <w:sz w:val="24"/>
              </w:rPr>
              <w:t>48221211532</w:t>
            </w:r>
          </w:p>
        </w:tc>
        <w:tc>
          <w:tcPr>
            <w:tcW w:type="dxa" w:w="2977"/>
            <w:vMerge w:val="restart"/>
            <w:tcBorders>
              <w:top w:sz="4" w:val="nil"/>
              <w:left w:sz="4" w:val="nil"/>
              <w:bottom w:color="000000" w:sz="4" w:val="single"/>
              <w:right w:color="000000" w:sz="4" w:val="single"/>
            </w:tcBorders>
            <w:shd w:fill="auto" w:val="clear"/>
            <w:vAlign w:val="center"/>
          </w:tcPr>
          <w:p w14:paraId="B3000000">
            <w:pPr>
              <w:rPr>
                <w:color w:val="000000"/>
                <w:spacing w:val="-1"/>
                <w:sz w:val="24"/>
              </w:rPr>
            </w:pPr>
            <w:r>
              <w:rPr>
                <w:color w:val="000000"/>
                <w:spacing w:val="-1"/>
                <w:sz w:val="24"/>
              </w:rPr>
              <w:t>Аккумуляторная батарея Delta HR 12-9 для ИБП delta rt-1k</w:t>
            </w:r>
          </w:p>
        </w:tc>
        <w:tc>
          <w:tcPr>
            <w:tcW w:type="dxa" w:w="1701"/>
            <w:vMerge w:val="restart"/>
            <w:tcBorders>
              <w:top w:sz="4" w:val="nil"/>
              <w:left w:sz="4" w:val="nil"/>
              <w:bottom w:color="000000" w:sz="4" w:val="single"/>
              <w:right w:color="000000" w:sz="4" w:val="single"/>
            </w:tcBorders>
            <w:shd w:fill="auto" w:val="clear"/>
            <w:vAlign w:val="center"/>
          </w:tcPr>
          <w:p w14:paraId="B4000000">
            <w:pPr>
              <w:widowControl w:val="1"/>
              <w:tabs>
                <w:tab w:leader="none" w:pos="284" w:val="left"/>
              </w:tabs>
              <w:spacing w:line="331" w:lineRule="exact"/>
              <w:ind/>
              <w:jc w:val="center"/>
              <w:rPr>
                <w:color w:val="000000"/>
                <w:spacing w:val="-1"/>
                <w:sz w:val="24"/>
              </w:rPr>
            </w:pPr>
            <w:r>
              <w:rPr>
                <w:color w:val="000000"/>
                <w:spacing w:val="-1"/>
                <w:sz w:val="24"/>
              </w:rPr>
              <w:t>2</w:t>
            </w:r>
          </w:p>
        </w:tc>
      </w:tr>
      <w:tr>
        <w:trPr>
          <w:trHeight w:hRule="atLeast" w:val="539"/>
        </w:trPr>
        <w:tc>
          <w:tcPr>
            <w:tcW w:type="dxa" w:w="562"/>
            <w:gridSpan w:val="1"/>
            <w:vMerge w:val="continue"/>
            <w:tcBorders>
              <w:top w:sz="4" w:val="nil"/>
              <w:left w:color="000000" w:sz="4" w:val="single"/>
              <w:bottom w:color="000000" w:sz="4" w:val="single"/>
              <w:right w:color="000000" w:sz="4" w:val="single"/>
            </w:tcBorders>
            <w:shd w:fill="auto" w:val="clear"/>
            <w:vAlign w:val="center"/>
          </w:tcPr>
          <w:p/>
        </w:tc>
        <w:tc>
          <w:tcPr>
            <w:tcW w:type="dxa" w:w="2835"/>
            <w:gridSpan w:val="1"/>
            <w:vMerge w:val="continue"/>
            <w:tcBorders>
              <w:top w:sz="4" w:val="nil"/>
              <w:left w:color="000000" w:sz="4" w:val="single"/>
              <w:bottom w:color="000000" w:sz="4" w:val="single"/>
              <w:right w:color="000000" w:sz="4" w:val="single"/>
            </w:tcBorders>
            <w:shd w:fill="auto" w:val="clear"/>
            <w:vAlign w:val="center"/>
          </w:tcPr>
          <w:p/>
        </w:tc>
        <w:tc>
          <w:tcPr>
            <w:tcW w:type="dxa" w:w="1843"/>
            <w:gridSpan w:val="1"/>
            <w:vMerge w:val="continue"/>
            <w:tcBorders>
              <w:top w:sz="4" w:val="nil"/>
              <w:left w:color="000000" w:sz="4" w:val="single"/>
              <w:bottom w:color="000000" w:sz="4" w:val="single"/>
              <w:right w:color="000000" w:sz="4" w:val="single"/>
            </w:tcBorders>
            <w:shd w:fill="auto" w:val="clear"/>
            <w:vAlign w:val="center"/>
          </w:tcPr>
          <w:p/>
        </w:tc>
        <w:tc>
          <w:tcPr>
            <w:tcW w:type="dxa" w:w="2977"/>
            <w:gridSpan w:val="1"/>
            <w:vMerge w:val="continue"/>
            <w:tcBorders>
              <w:top w:sz="4" w:val="nil"/>
              <w:left w:sz="4" w:val="nil"/>
              <w:bottom w:color="000000" w:sz="4" w:val="single"/>
              <w:right w:color="000000" w:sz="4" w:val="single"/>
            </w:tcBorders>
            <w:shd w:fill="auto" w:val="clear"/>
            <w:vAlign w:val="center"/>
          </w:tcPr>
          <w:p/>
        </w:tc>
        <w:tc>
          <w:tcPr>
            <w:tcW w:type="dxa" w:w="1701"/>
            <w:gridSpan w:val="1"/>
            <w:vMerge w:val="continue"/>
            <w:tcBorders>
              <w:top w:sz="4" w:val="nil"/>
              <w:left w:sz="4" w:val="nil"/>
              <w:bottom w:color="000000" w:sz="4" w:val="single"/>
              <w:right w:color="000000" w:sz="4" w:val="single"/>
            </w:tcBorders>
            <w:shd w:fill="auto" w:val="clear"/>
            <w:vAlign w:val="center"/>
          </w:tcPr>
          <w:p/>
        </w:tc>
      </w:tr>
    </w:tbl>
    <w:p w14:paraId="B5000000"/>
    <w:tbl>
      <w:tblPr>
        <w:tblStyle w:val="Style_5"/>
        <w:tblpPr w:bottomFromText="0" w:horzAnchor="margin" w:leftFromText="180" w:rightFromText="180" w:tblpX="108" w:tblpY="103" w:topFromText="0" w:vertAnchor="text"/>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40"/>
        <w:gridCol w:w="4705"/>
        <w:gridCol w:w="1499"/>
        <w:gridCol w:w="1134"/>
        <w:gridCol w:w="2045"/>
      </w:tblGrid>
      <w:tr>
        <w:tc>
          <w:tcPr>
            <w:tcW w:type="dxa" w:w="540"/>
            <w:tcBorders>
              <w:top w:color="000000" w:sz="4" w:val="single"/>
              <w:left w:color="000000" w:sz="4" w:val="single"/>
              <w:bottom w:color="000000" w:sz="4" w:val="single"/>
              <w:right w:color="000000" w:sz="4" w:val="single"/>
            </w:tcBorders>
            <w:shd w:fill="auto" w:val="clear"/>
          </w:tcPr>
          <w:p w14:paraId="B6000000">
            <w:pPr>
              <w:widowControl w:val="1"/>
              <w:tabs>
                <w:tab w:leader="none" w:pos="284" w:val="left"/>
              </w:tabs>
              <w:spacing w:line="331" w:lineRule="exact"/>
              <w:ind/>
              <w:jc w:val="center"/>
              <w:rPr>
                <w:color w:val="000000"/>
                <w:spacing w:val="-1"/>
                <w:sz w:val="24"/>
              </w:rPr>
            </w:pPr>
            <w:r>
              <w:rPr>
                <w:color w:val="000000"/>
                <w:spacing w:val="-1"/>
                <w:sz w:val="24"/>
              </w:rPr>
              <w:t>№</w:t>
            </w:r>
          </w:p>
        </w:tc>
        <w:tc>
          <w:tcPr>
            <w:tcW w:type="dxa" w:w="4705"/>
            <w:tcBorders>
              <w:top w:color="000000" w:sz="4" w:val="single"/>
              <w:left w:color="000000" w:sz="4" w:val="single"/>
              <w:bottom w:color="000000" w:sz="4" w:val="single"/>
              <w:right w:color="000000" w:sz="4" w:val="single"/>
            </w:tcBorders>
            <w:shd w:fill="auto" w:val="clear"/>
          </w:tcPr>
          <w:p w14:paraId="B7000000">
            <w:pPr>
              <w:widowControl w:val="1"/>
              <w:tabs>
                <w:tab w:leader="none" w:pos="284" w:val="left"/>
              </w:tabs>
              <w:spacing w:line="331" w:lineRule="exact"/>
              <w:ind/>
              <w:jc w:val="center"/>
              <w:rPr>
                <w:color w:val="000000"/>
                <w:spacing w:val="-1"/>
                <w:sz w:val="24"/>
              </w:rPr>
            </w:pPr>
            <w:r>
              <w:rPr>
                <w:color w:val="000000"/>
                <w:spacing w:val="-1"/>
                <w:sz w:val="24"/>
              </w:rPr>
              <w:t>НАИМЕНОВАНИЕ УСЛУГ</w:t>
            </w:r>
          </w:p>
        </w:tc>
        <w:tc>
          <w:tcPr>
            <w:tcW w:type="dxa" w:w="1499"/>
            <w:tcBorders>
              <w:top w:color="000000" w:sz="4" w:val="single"/>
              <w:left w:color="000000" w:sz="4" w:val="single"/>
              <w:bottom w:color="000000" w:sz="4" w:val="single"/>
              <w:right w:color="000000" w:sz="4" w:val="single"/>
            </w:tcBorders>
            <w:shd w:fill="auto" w:val="clear"/>
          </w:tcPr>
          <w:p w14:paraId="B8000000">
            <w:pPr>
              <w:widowControl w:val="1"/>
              <w:tabs>
                <w:tab w:leader="none" w:pos="284" w:val="left"/>
              </w:tabs>
              <w:spacing w:line="331" w:lineRule="exact"/>
              <w:ind/>
              <w:jc w:val="center"/>
              <w:rPr>
                <w:color w:val="000000"/>
                <w:spacing w:val="-1"/>
                <w:sz w:val="24"/>
              </w:rPr>
            </w:pPr>
            <w:r>
              <w:rPr>
                <w:color w:val="000000"/>
                <w:spacing w:val="-1"/>
                <w:sz w:val="24"/>
              </w:rPr>
              <w:t>Количество</w:t>
            </w:r>
          </w:p>
        </w:tc>
        <w:tc>
          <w:tcPr>
            <w:tcW w:type="dxa" w:w="1134"/>
            <w:tcBorders>
              <w:top w:color="000000" w:sz="4" w:val="single"/>
              <w:left w:color="000000" w:sz="4" w:val="single"/>
              <w:bottom w:color="000000" w:sz="4" w:val="single"/>
              <w:right w:color="000000" w:sz="4" w:val="single"/>
            </w:tcBorders>
            <w:shd w:fill="auto" w:val="clear"/>
          </w:tcPr>
          <w:p w14:paraId="B9000000">
            <w:pPr>
              <w:widowControl w:val="1"/>
              <w:tabs>
                <w:tab w:leader="none" w:pos="284" w:val="left"/>
              </w:tabs>
              <w:spacing w:line="331" w:lineRule="exact"/>
              <w:ind/>
              <w:jc w:val="center"/>
              <w:rPr>
                <w:color w:val="000000"/>
                <w:spacing w:val="-1"/>
                <w:sz w:val="24"/>
              </w:rPr>
            </w:pPr>
            <w:r>
              <w:rPr>
                <w:color w:val="000000"/>
                <w:spacing w:val="-1"/>
                <w:sz w:val="24"/>
              </w:rPr>
              <w:t>Цена (руб.) без НДС</w:t>
            </w:r>
          </w:p>
        </w:tc>
        <w:tc>
          <w:tcPr>
            <w:tcW w:type="dxa" w:w="2045"/>
            <w:tcBorders>
              <w:top w:color="000000" w:sz="4" w:val="single"/>
              <w:left w:color="000000" w:sz="4" w:val="single"/>
              <w:bottom w:color="000000" w:sz="4" w:val="single"/>
              <w:right w:color="000000" w:sz="4" w:val="single"/>
            </w:tcBorders>
            <w:shd w:fill="auto" w:val="clear"/>
          </w:tcPr>
          <w:p w14:paraId="BA000000">
            <w:pPr>
              <w:widowControl w:val="1"/>
              <w:tabs>
                <w:tab w:leader="none" w:pos="284" w:val="left"/>
              </w:tabs>
              <w:spacing w:line="331" w:lineRule="exact"/>
              <w:ind/>
              <w:jc w:val="center"/>
              <w:rPr>
                <w:color w:val="000000"/>
                <w:spacing w:val="-1"/>
                <w:sz w:val="24"/>
              </w:rPr>
            </w:pPr>
            <w:r>
              <w:rPr>
                <w:color w:val="000000"/>
                <w:spacing w:val="-1"/>
                <w:sz w:val="24"/>
              </w:rPr>
              <w:t>Стоимость (руб.) без  НДС</w:t>
            </w:r>
          </w:p>
        </w:tc>
      </w:tr>
      <w:tr>
        <w:tc>
          <w:tcPr>
            <w:tcW w:type="dxa" w:w="540"/>
            <w:tcBorders>
              <w:top w:color="000000" w:sz="4" w:val="single"/>
              <w:left w:color="000000" w:sz="4" w:val="single"/>
              <w:bottom w:color="000000" w:sz="4" w:val="single"/>
              <w:right w:color="000000" w:sz="4" w:val="single"/>
            </w:tcBorders>
            <w:shd w:fill="auto" w:val="clear"/>
          </w:tcPr>
          <w:p w14:paraId="BB000000">
            <w:pPr>
              <w:widowControl w:val="1"/>
              <w:tabs>
                <w:tab w:leader="none" w:pos="284" w:val="left"/>
              </w:tabs>
              <w:spacing w:line="331" w:lineRule="exact"/>
              <w:ind/>
              <w:jc w:val="center"/>
              <w:rPr>
                <w:color w:val="000000"/>
                <w:spacing w:val="-1"/>
                <w:sz w:val="24"/>
              </w:rPr>
            </w:pPr>
            <w:r>
              <w:rPr>
                <w:color w:val="000000"/>
                <w:spacing w:val="-1"/>
                <w:sz w:val="24"/>
              </w:rPr>
              <w:t>1</w:t>
            </w:r>
          </w:p>
        </w:tc>
        <w:tc>
          <w:tcPr>
            <w:tcW w:type="dxa" w:w="4705"/>
            <w:tcBorders>
              <w:top w:color="000000" w:sz="4" w:val="single"/>
              <w:left w:color="000000" w:sz="4" w:val="single"/>
              <w:bottom w:color="000000" w:sz="4" w:val="single"/>
              <w:right w:color="000000" w:sz="4" w:val="single"/>
            </w:tcBorders>
            <w:shd w:fill="auto" w:val="clear"/>
          </w:tcPr>
          <w:p w14:paraId="BC000000">
            <w:pPr>
              <w:widowControl w:val="1"/>
              <w:tabs>
                <w:tab w:leader="none" w:pos="284" w:val="left"/>
              </w:tabs>
              <w:spacing w:line="331" w:lineRule="exact"/>
              <w:ind/>
              <w:jc w:val="center"/>
              <w:rPr>
                <w:color w:val="000000"/>
                <w:spacing w:val="-1"/>
                <w:sz w:val="24"/>
              </w:rPr>
            </w:pPr>
            <w:r>
              <w:rPr>
                <w:color w:val="000000"/>
                <w:spacing w:val="-1"/>
                <w:sz w:val="24"/>
              </w:rPr>
              <w:t>услуг</w:t>
            </w:r>
            <w:r>
              <w:rPr>
                <w:color w:val="000000"/>
                <w:spacing w:val="-1"/>
                <w:sz w:val="24"/>
              </w:rPr>
              <w:t>а</w:t>
            </w:r>
            <w:r>
              <w:rPr>
                <w:color w:val="000000"/>
                <w:spacing w:val="-1"/>
                <w:sz w:val="24"/>
              </w:rPr>
              <w:t xml:space="preserve"> по разработке паспортов отходов 1-4 класса опасности</w:t>
            </w:r>
            <w:r>
              <w:rPr>
                <w:color w:val="000000"/>
                <w:spacing w:val="-1"/>
                <w:sz w:val="24"/>
              </w:rPr>
              <w:t xml:space="preserve"> </w:t>
            </w:r>
          </w:p>
          <w:p w14:paraId="BD000000">
            <w:pPr>
              <w:widowControl w:val="1"/>
              <w:tabs>
                <w:tab w:leader="none" w:pos="284" w:val="left"/>
              </w:tabs>
              <w:spacing w:line="331" w:lineRule="exact"/>
              <w:ind/>
              <w:jc w:val="center"/>
              <w:rPr>
                <w:color w:val="000000"/>
                <w:spacing w:val="-1"/>
                <w:sz w:val="24"/>
              </w:rPr>
            </w:pPr>
            <w:r>
              <w:rPr>
                <w:color w:val="000000"/>
                <w:spacing w:val="-1"/>
                <w:sz w:val="24"/>
              </w:rPr>
              <w:t xml:space="preserve">ФККО </w:t>
            </w:r>
            <w:r>
              <w:rPr>
                <w:color w:val="000000"/>
                <w:spacing w:val="-1"/>
                <w:sz w:val="24"/>
              </w:rPr>
              <w:t>48221211532</w:t>
            </w:r>
          </w:p>
          <w:p w14:paraId="BE000000">
            <w:pPr>
              <w:widowControl w:val="1"/>
              <w:tabs>
                <w:tab w:leader="none" w:pos="284" w:val="left"/>
              </w:tabs>
              <w:spacing w:line="331" w:lineRule="exact"/>
              <w:ind/>
              <w:jc w:val="center"/>
              <w:rPr>
                <w:color w:val="000000"/>
                <w:spacing w:val="-1"/>
                <w:sz w:val="24"/>
              </w:rPr>
            </w:pPr>
          </w:p>
        </w:tc>
        <w:tc>
          <w:tcPr>
            <w:tcW w:type="dxa" w:w="1499"/>
            <w:tcBorders>
              <w:top w:color="000000" w:sz="4" w:val="single"/>
              <w:left w:color="000000" w:sz="4" w:val="single"/>
              <w:bottom w:color="000000" w:sz="4" w:val="single"/>
              <w:right w:color="000000" w:sz="4" w:val="single"/>
            </w:tcBorders>
            <w:shd w:fill="auto" w:val="clear"/>
          </w:tcPr>
          <w:p w14:paraId="BF000000">
            <w:pPr>
              <w:widowControl w:val="1"/>
              <w:tabs>
                <w:tab w:leader="none" w:pos="284" w:val="left"/>
              </w:tabs>
              <w:spacing w:line="331" w:lineRule="exact"/>
              <w:ind/>
              <w:jc w:val="center"/>
              <w:rPr>
                <w:color w:val="000000"/>
                <w:spacing w:val="-1"/>
                <w:sz w:val="24"/>
              </w:rPr>
            </w:pPr>
            <w:r>
              <w:rPr>
                <w:color w:val="000000"/>
                <w:spacing w:val="-1"/>
                <w:sz w:val="24"/>
              </w:rPr>
              <w:t>1</w:t>
            </w:r>
          </w:p>
        </w:tc>
        <w:tc>
          <w:tcPr>
            <w:tcW w:type="dxa" w:w="1134"/>
            <w:tcBorders>
              <w:top w:color="000000" w:sz="4" w:val="single"/>
              <w:left w:color="000000" w:sz="4" w:val="single"/>
              <w:bottom w:color="000000" w:sz="4" w:val="single"/>
              <w:right w:color="000000" w:sz="4" w:val="single"/>
            </w:tcBorders>
            <w:shd w:fill="auto" w:val="clear"/>
          </w:tcPr>
          <w:p w14:paraId="C0000000">
            <w:pPr>
              <w:widowControl w:val="1"/>
              <w:tabs>
                <w:tab w:leader="none" w:pos="284" w:val="left"/>
              </w:tabs>
              <w:spacing w:line="331" w:lineRule="exact"/>
              <w:ind/>
              <w:jc w:val="center"/>
              <w:rPr>
                <w:color w:val="000000"/>
                <w:spacing w:val="-1"/>
                <w:sz w:val="24"/>
              </w:rPr>
            </w:pPr>
          </w:p>
        </w:tc>
        <w:tc>
          <w:tcPr>
            <w:tcW w:type="dxa" w:w="2045"/>
            <w:tcBorders>
              <w:top w:color="000000" w:sz="4" w:val="single"/>
              <w:left w:color="000000" w:sz="4" w:val="single"/>
              <w:bottom w:color="000000" w:sz="4" w:val="single"/>
              <w:right w:color="000000" w:sz="4" w:val="single"/>
            </w:tcBorders>
            <w:shd w:fill="auto" w:val="clear"/>
          </w:tcPr>
          <w:p w14:paraId="C1000000">
            <w:pPr>
              <w:widowControl w:val="1"/>
              <w:tabs>
                <w:tab w:leader="none" w:pos="284" w:val="left"/>
              </w:tabs>
              <w:spacing w:line="331" w:lineRule="exact"/>
              <w:ind/>
              <w:jc w:val="center"/>
              <w:rPr>
                <w:color w:val="000000"/>
                <w:spacing w:val="-1"/>
                <w:sz w:val="24"/>
              </w:rPr>
            </w:pPr>
          </w:p>
        </w:tc>
      </w:tr>
    </w:tbl>
    <w:p w14:paraId="C2000000">
      <w:pPr>
        <w:widowControl w:val="1"/>
        <w:tabs>
          <w:tab w:leader="none" w:pos="284" w:val="left"/>
        </w:tabs>
        <w:spacing w:line="331" w:lineRule="exact"/>
        <w:ind/>
        <w:jc w:val="center"/>
        <w:rPr>
          <w:b w:val="1"/>
          <w:color w:val="000000"/>
          <w:spacing w:val="-1"/>
          <w:sz w:val="24"/>
        </w:rPr>
      </w:pPr>
    </w:p>
    <w:p w14:paraId="C3000000">
      <w:pPr>
        <w:widowControl w:val="1"/>
        <w:tabs>
          <w:tab w:leader="none" w:pos="284" w:val="left"/>
        </w:tabs>
        <w:spacing w:line="331" w:lineRule="exact"/>
        <w:ind/>
        <w:jc w:val="center"/>
        <w:rPr>
          <w:b w:val="1"/>
          <w:color w:val="000000"/>
          <w:spacing w:val="-1"/>
          <w:sz w:val="24"/>
        </w:rPr>
      </w:pPr>
    </w:p>
    <w:p w14:paraId="C4000000">
      <w:pPr>
        <w:widowControl w:val="1"/>
        <w:tabs>
          <w:tab w:leader="none" w:pos="284" w:val="left"/>
        </w:tabs>
        <w:ind/>
        <w:contextualSpacing w:val="1"/>
        <w:rPr>
          <w:color w:val="000000"/>
          <w:spacing w:val="-1"/>
          <w:sz w:val="24"/>
        </w:rPr>
      </w:pPr>
    </w:p>
    <w:tbl>
      <w:tblPr>
        <w:tblStyle w:val="Style_5"/>
        <w:tblW w:type="auto" w:w="0"/>
        <w:tblLayout w:type="fixed"/>
      </w:tblPr>
      <w:tblGrid>
        <w:gridCol w:w="4786"/>
        <w:gridCol w:w="1559"/>
        <w:gridCol w:w="3119"/>
        <w:gridCol w:w="142"/>
      </w:tblGrid>
      <w:tr>
        <w:trPr>
          <w:trHeight w:hRule="atLeast" w:val="948"/>
        </w:trPr>
        <w:tc>
          <w:tcPr>
            <w:tcW w:type="dxa" w:w="4786"/>
            <w:shd w:fill="auto" w:val="clear"/>
          </w:tcPr>
          <w:p w14:paraId="C5000000">
            <w:pPr>
              <w:widowControl w:val="1"/>
              <w:ind/>
              <w:rPr>
                <w:b w:val="1"/>
                <w:sz w:val="24"/>
              </w:rPr>
            </w:pPr>
            <w:r>
              <w:rPr>
                <w:b w:val="1"/>
                <w:sz w:val="24"/>
              </w:rPr>
              <w:t>От Исполнителя</w:t>
            </w:r>
          </w:p>
          <w:p w14:paraId="C6000000">
            <w:pPr>
              <w:widowControl w:val="1"/>
              <w:ind/>
              <w:rPr>
                <w:b w:val="1"/>
                <w:sz w:val="24"/>
              </w:rPr>
            </w:pPr>
          </w:p>
          <w:p w14:paraId="C7000000">
            <w:pPr>
              <w:widowControl w:val="1"/>
              <w:ind/>
              <w:rPr>
                <w:b w:val="1"/>
                <w:sz w:val="24"/>
              </w:rPr>
            </w:pPr>
          </w:p>
          <w:p w14:paraId="C8000000">
            <w:pPr>
              <w:widowControl w:val="1"/>
              <w:ind/>
              <w:rPr>
                <w:b w:val="1"/>
                <w:sz w:val="24"/>
              </w:rPr>
            </w:pPr>
          </w:p>
          <w:p w14:paraId="C9000000">
            <w:pPr>
              <w:widowControl w:val="1"/>
              <w:ind/>
              <w:rPr>
                <w:b w:val="1"/>
                <w:sz w:val="24"/>
              </w:rPr>
            </w:pPr>
          </w:p>
          <w:p w14:paraId="CA000000">
            <w:pPr>
              <w:widowControl w:val="1"/>
              <w:ind/>
              <w:rPr>
                <w:b w:val="1"/>
                <w:sz w:val="24"/>
              </w:rPr>
            </w:pPr>
          </w:p>
          <w:p w14:paraId="CB000000">
            <w:pPr>
              <w:widowControl w:val="1"/>
              <w:ind/>
              <w:rPr>
                <w:b w:val="1"/>
                <w:sz w:val="24"/>
              </w:rPr>
            </w:pPr>
          </w:p>
        </w:tc>
        <w:tc>
          <w:tcPr>
            <w:tcW w:type="dxa" w:w="4820"/>
            <w:gridSpan w:val="3"/>
            <w:shd w:fill="auto" w:val="clear"/>
          </w:tcPr>
          <w:p w14:paraId="CC000000">
            <w:pPr>
              <w:widowControl w:val="1"/>
              <w:ind/>
              <w:contextualSpacing w:val="1"/>
              <w:jc w:val="center"/>
              <w:rPr>
                <w:b w:val="1"/>
                <w:sz w:val="24"/>
              </w:rPr>
            </w:pPr>
            <w:r>
              <w:rPr>
                <w:b w:val="1"/>
                <w:sz w:val="24"/>
              </w:rPr>
              <w:t>От Заказчика</w:t>
            </w:r>
          </w:p>
          <w:p w14:paraId="CD000000">
            <w:pPr>
              <w:widowControl w:val="1"/>
              <w:ind/>
              <w:rPr>
                <w:b w:val="1"/>
                <w:sz w:val="24"/>
              </w:rPr>
            </w:pPr>
            <w:r>
              <w:rPr>
                <w:b w:val="1"/>
                <w:sz w:val="24"/>
              </w:rPr>
              <w:t>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w:t>
            </w:r>
          </w:p>
          <w:p w14:paraId="CE000000">
            <w:pPr>
              <w:widowControl w:val="1"/>
              <w:ind/>
              <w:rPr>
                <w:b w:val="1"/>
                <w:sz w:val="24"/>
              </w:rPr>
            </w:pPr>
          </w:p>
          <w:p w14:paraId="CF000000">
            <w:pPr>
              <w:widowControl w:val="1"/>
              <w:ind/>
              <w:rPr>
                <w:b w:val="1"/>
                <w:sz w:val="24"/>
              </w:rPr>
            </w:pPr>
            <w:r>
              <w:rPr>
                <w:b w:val="1"/>
                <w:sz w:val="24"/>
              </w:rPr>
              <w:t xml:space="preserve">Заместитель руководителя по общим вопросам деятельности учреждения </w:t>
            </w:r>
          </w:p>
          <w:p w14:paraId="D0000000">
            <w:pPr>
              <w:widowControl w:val="1"/>
              <w:ind/>
              <w:jc w:val="center"/>
              <w:rPr>
                <w:b w:val="1"/>
                <w:sz w:val="24"/>
              </w:rPr>
            </w:pPr>
          </w:p>
          <w:p w14:paraId="D1000000">
            <w:pPr>
              <w:widowControl w:val="1"/>
              <w:ind/>
              <w:jc w:val="center"/>
              <w:rPr>
                <w:b w:val="1"/>
                <w:sz w:val="24"/>
              </w:rPr>
            </w:pPr>
          </w:p>
          <w:p w14:paraId="D2000000">
            <w:pPr>
              <w:widowControl w:val="1"/>
              <w:ind/>
              <w:rPr>
                <w:b w:val="1"/>
                <w:sz w:val="24"/>
              </w:rPr>
            </w:pPr>
            <w:r>
              <w:rPr>
                <w:b w:val="1"/>
                <w:sz w:val="24"/>
              </w:rPr>
              <w:t xml:space="preserve">_____________ И.П. Посторонко </w:t>
            </w:r>
          </w:p>
          <w:p w14:paraId="D3000000">
            <w:pPr>
              <w:widowControl w:val="1"/>
              <w:ind/>
              <w:rPr>
                <w:b w:val="1"/>
                <w:sz w:val="24"/>
              </w:rPr>
            </w:pPr>
            <w:r>
              <w:rPr>
                <w:b w:val="1"/>
                <w:sz w:val="24"/>
              </w:rPr>
              <w:t>М.П.</w:t>
            </w:r>
          </w:p>
        </w:tc>
      </w:tr>
      <w:tr>
        <w:trPr>
          <w:trHeight w:hRule="atLeast" w:val="1"/>
        </w:trPr>
        <w:tc>
          <w:tcPr>
            <w:tcW w:type="dxa" w:w="4786"/>
          </w:tcPr>
          <w:p/>
        </w:tc>
        <w:tc>
          <w:tcPr>
            <w:tcW w:type="dxa" w:w="1559"/>
          </w:tcPr>
          <w:p/>
        </w:tc>
        <w:tc>
          <w:tcPr>
            <w:tcW w:type="dxa" w:w="3119"/>
            <w:tcBorders>
              <w:top w:sz="4" w:val="nil"/>
              <w:left w:sz="4" w:val="nil"/>
              <w:bottom w:sz="4" w:val="nil"/>
              <w:right w:sz="4" w:val="nil"/>
            </w:tcBorders>
            <w:shd w:fill="FFFFFF" w:val="clear"/>
          </w:tcPr>
          <w:p w14:paraId="D4000000">
            <w:pPr>
              <w:keepNext w:val="1"/>
              <w:widowControl w:val="1"/>
              <w:tabs>
                <w:tab w:leader="none" w:pos="5529" w:val="left"/>
              </w:tabs>
              <w:ind/>
              <w:rPr>
                <w:rFonts w:ascii="Times New Roman CYR" w:hAnsi="Times New Roman CYR"/>
                <w:b w:val="1"/>
                <w:sz w:val="24"/>
              </w:rPr>
            </w:pPr>
          </w:p>
          <w:p w14:paraId="D5000000">
            <w:pPr>
              <w:keepNext w:val="1"/>
              <w:widowControl w:val="1"/>
              <w:tabs>
                <w:tab w:leader="none" w:pos="5529" w:val="left"/>
              </w:tabs>
              <w:ind/>
              <w:rPr>
                <w:rFonts w:ascii="Times New Roman CYR" w:hAnsi="Times New Roman CYR"/>
                <w:b w:val="1"/>
                <w:sz w:val="24"/>
              </w:rPr>
            </w:pPr>
          </w:p>
        </w:tc>
        <w:tc>
          <w:tcPr>
            <w:tcW w:type="dxa" w:w="142"/>
          </w:tcPr>
          <w:p/>
        </w:tc>
      </w:tr>
    </w:tbl>
    <w:p w14:paraId="D6000000">
      <w:pPr>
        <w:widowControl w:val="1"/>
        <w:spacing w:afterAutospacing="on" w:beforeAutospacing="on"/>
        <w:ind/>
        <w:rPr>
          <w:sz w:val="24"/>
        </w:rPr>
      </w:pPr>
    </w:p>
    <w:sectPr>
      <w:headerReference r:id="rId1" w:type="default"/>
      <w:headerReference r:id="rId9" w:type="first"/>
      <w:headerReference r:id="rId5" w:type="even"/>
      <w:footerReference r:id="rId2" w:type="default"/>
      <w:footerReference r:id="rId10" w:type="first"/>
      <w:footerReference r:id="rId6" w:type="even"/>
      <w:pgSz w:h="16838" w:orient="portrait" w:w="11906"/>
      <w:pgMar w:bottom="1084" w:footer="1028" w:gutter="0" w:header="720" w:left="1200" w:right="626" w:top="1185"/>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2"/>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2"/>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2"/>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right"/>
    </w:pPr>
    <w:r>
      <w:fldChar w:fldCharType="begin"/>
    </w:r>
    <w:r>
      <w:instrText xml:space="preserve">PAGE </w:instrText>
    </w:r>
    <w:r>
      <w:fldChar w:fldCharType="separate"/>
    </w:r>
    <w:r>
      <w:t xml:space="preserve"> </w:t>
    </w:r>
    <w:r>
      <w:fldChar w:fldCharType="end"/>
    </w:r>
  </w:p>
  <w:p w14:paraId="02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right"/>
    </w:pPr>
    <w:r>
      <w:fldChar w:fldCharType="begin"/>
    </w:r>
    <w:r>
      <w:instrText xml:space="preserve">PAGE </w:instrText>
    </w:r>
    <w:r>
      <w:fldChar w:fldCharType="separate"/>
    </w:r>
    <w:r>
      <w:t xml:space="preserve"> </w:t>
    </w:r>
    <w:r>
      <w:fldChar w:fldCharType="end"/>
    </w:r>
  </w:p>
  <w:p w14:paraId="05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1">
    <w:lvl w:ilvl="0">
      <w:start w:val="1"/>
      <w:numFmt w:val="decimal"/>
      <w:suff w:val="nothing"/>
      <w:lvlJc w:val="left"/>
      <w:pPr>
        <w:widowControl w:val="1"/>
        <w:tabs>
          <w:tab w:leader="none" w:pos="0" w:val="left"/>
        </w:tabs>
        <w:ind w:firstLine="0" w:left="0"/>
      </w:pPr>
    </w:lvl>
    <w:lvl w:ilvl="1">
      <w:start w:val="1"/>
      <w:numFmt w:val="decimal"/>
      <w:suff w:val="nothing"/>
      <w:lvlJc w:val="left"/>
      <w:pPr>
        <w:widowControl w:val="1"/>
        <w:tabs>
          <w:tab w:leader="none" w:pos="0" w:val="left"/>
        </w:tabs>
        <w:ind w:firstLine="0" w:left="0"/>
      </w:pPr>
    </w:lvl>
    <w:lvl w:ilvl="2">
      <w:start w:val="1"/>
      <w:numFmt w:val="decimal"/>
      <w:pStyle w:val="Style_28"/>
      <w:suff w:val="nothing"/>
      <w:lvlJc w:val="left"/>
      <w:pPr>
        <w:widowControl w:val="1"/>
        <w:tabs>
          <w:tab w:leader="none" w:pos="0" w:val="left"/>
        </w:tabs>
        <w:ind w:firstLine="0" w:left="0"/>
      </w:pPr>
    </w:lvl>
    <w:lvl w:ilvl="3">
      <w:start w:val="1"/>
      <w:numFmt w:val="decimal"/>
      <w:suff w:val="nothing"/>
      <w:lvlJc w:val="left"/>
      <w:pPr>
        <w:widowControl w:val="1"/>
        <w:tabs>
          <w:tab w:leader="none" w:pos="0" w:val="left"/>
        </w:tabs>
        <w:ind w:firstLine="0" w:left="0"/>
      </w:pPr>
    </w:lvl>
    <w:lvl w:ilvl="4">
      <w:start w:val="1"/>
      <w:numFmt w:val="decimal"/>
      <w:suff w:val="nothing"/>
      <w:lvlJc w:val="left"/>
      <w:pPr>
        <w:widowControl w:val="1"/>
        <w:tabs>
          <w:tab w:leader="none" w:pos="0" w:val="left"/>
        </w:tabs>
        <w:ind w:firstLine="0" w:left="0"/>
      </w:pPr>
    </w:lvl>
    <w:lvl w:ilvl="5">
      <w:start w:val="1"/>
      <w:numFmt w:val="decimal"/>
      <w:suff w:val="nothing"/>
      <w:lvlJc w:val="left"/>
      <w:pPr>
        <w:widowControl w:val="1"/>
        <w:tabs>
          <w:tab w:leader="none" w:pos="0" w:val="left"/>
        </w:tabs>
        <w:ind w:firstLine="0" w:left="0"/>
      </w:pPr>
    </w:lvl>
    <w:lvl w:ilvl="6">
      <w:start w:val="1"/>
      <w:numFmt w:val="decimal"/>
      <w:suff w:val="nothing"/>
      <w:lvlJc w:val="left"/>
      <w:pPr>
        <w:widowControl w:val="1"/>
        <w:tabs>
          <w:tab w:leader="none" w:pos="0" w:val="left"/>
        </w:tabs>
        <w:ind w:firstLine="0" w:left="0"/>
      </w:pPr>
    </w:lvl>
    <w:lvl w:ilvl="7">
      <w:start w:val="1"/>
      <w:numFmt w:val="decimal"/>
      <w:suff w:val="nothing"/>
      <w:lvlJc w:val="left"/>
      <w:pPr>
        <w:widowControl w:val="1"/>
        <w:tabs>
          <w:tab w:leader="none" w:pos="0" w:val="left"/>
        </w:tabs>
        <w:ind w:firstLine="0" w:left="0"/>
      </w:pPr>
    </w:lvl>
    <w:lvl w:ilvl="8">
      <w:start w:val="1"/>
      <w:numFmt w:val="decimal"/>
      <w:suff w:val="nothing"/>
      <w:lvlJc w:val="left"/>
      <w:pPr>
        <w:widowControl w:val="1"/>
        <w:tabs>
          <w:tab w:leader="none" w:pos="0" w:val="left"/>
        </w:tabs>
        <w:ind w:firstLine="0" w:left="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0"/>
      <w:ind/>
    </w:pPr>
  </w:style>
  <w:style w:default="1" w:styleId="Style_6_ch" w:type="character">
    <w:name w:val="Normal"/>
    <w:link w:val="Style_6"/>
  </w:style>
  <w:style w:styleId="Style_7" w:type="paragraph">
    <w:name w:val="WW8NumSt2z0"/>
    <w:link w:val="Style_7_ch"/>
    <w:rPr>
      <w:rFonts w:ascii="Times New Roman" w:hAnsi="Times New Roman"/>
    </w:rPr>
  </w:style>
  <w:style w:styleId="Style_7_ch" w:type="character">
    <w:name w:val="WW8NumSt2z0"/>
    <w:link w:val="Style_7"/>
    <w:rPr>
      <w:rFonts w:ascii="Times New Roman" w:hAnsi="Times New Roman"/>
    </w:rPr>
  </w:style>
  <w:style w:styleId="Style_8" w:type="paragraph">
    <w:name w:val="Название2"/>
    <w:basedOn w:val="Style_6"/>
    <w:link w:val="Style_8_ch"/>
    <w:pPr>
      <w:widowControl w:val="1"/>
      <w:spacing w:after="120" w:before="120"/>
      <w:ind/>
    </w:pPr>
    <w:rPr>
      <w:i w:val="1"/>
      <w:sz w:val="24"/>
    </w:rPr>
  </w:style>
  <w:style w:styleId="Style_8_ch" w:type="character">
    <w:name w:val="Название2"/>
    <w:basedOn w:val="Style_6_ch"/>
    <w:link w:val="Style_8"/>
    <w:rPr>
      <w:i w:val="1"/>
      <w:sz w:val="24"/>
    </w:rPr>
  </w:style>
  <w:style w:styleId="Style_9" w:type="paragraph">
    <w:name w:val="toc 2"/>
    <w:next w:val="Style_6"/>
    <w:link w:val="Style_9_ch"/>
    <w:uiPriority w:val="39"/>
    <w:pPr>
      <w:widowControl w:val="1"/>
      <w:ind w:firstLine="0" w:left="200"/>
      <w:jc w:val="left"/>
    </w:pPr>
    <w:rPr>
      <w:rFonts w:ascii="XO Thames" w:hAnsi="XO Thames"/>
      <w:sz w:val="28"/>
    </w:rPr>
  </w:style>
  <w:style w:styleId="Style_9_ch" w:type="character">
    <w:name w:val="toc 2"/>
    <w:link w:val="Style_9"/>
    <w:rPr>
      <w:rFonts w:ascii="XO Thames" w:hAnsi="XO Thames"/>
      <w:sz w:val="28"/>
    </w:rPr>
  </w:style>
  <w:style w:styleId="Style_10" w:type="paragraph">
    <w:name w:val="Указатель7"/>
    <w:basedOn w:val="Style_6"/>
    <w:link w:val="Style_10_ch"/>
  </w:style>
  <w:style w:styleId="Style_10_ch" w:type="character">
    <w:name w:val="Указатель7"/>
    <w:basedOn w:val="Style_6_ch"/>
    <w:link w:val="Style_10"/>
  </w:style>
  <w:style w:styleId="Style_11" w:type="paragraph">
    <w:name w:val="toc 4"/>
    <w:next w:val="Style_6"/>
    <w:link w:val="Style_11_ch"/>
    <w:uiPriority w:val="39"/>
    <w:pPr>
      <w:widowControl w:val="1"/>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Указатель4"/>
    <w:basedOn w:val="Style_6"/>
    <w:link w:val="Style_12_ch"/>
  </w:style>
  <w:style w:styleId="Style_12_ch" w:type="character">
    <w:name w:val="Указатель4"/>
    <w:basedOn w:val="Style_6_ch"/>
    <w:link w:val="Style_12"/>
  </w:style>
  <w:style w:styleId="Style_13" w:type="paragraph">
    <w:name w:val="WW8Num4z2"/>
    <w:link w:val="Style_13_ch"/>
  </w:style>
  <w:style w:styleId="Style_13_ch" w:type="character">
    <w:name w:val="WW8Num4z2"/>
    <w:link w:val="Style_13"/>
  </w:style>
  <w:style w:styleId="Style_14" w:type="paragraph">
    <w:name w:val="toc 6"/>
    <w:next w:val="Style_6"/>
    <w:link w:val="Style_14_ch"/>
    <w:uiPriority w:val="39"/>
    <w:pPr>
      <w:widowControl w:val="1"/>
      <w:ind w:firstLine="0" w:left="1000"/>
      <w:jc w:val="left"/>
    </w:pPr>
    <w:rPr>
      <w:rFonts w:ascii="XO Thames" w:hAnsi="XO Thames"/>
      <w:sz w:val="28"/>
    </w:rPr>
  </w:style>
  <w:style w:styleId="Style_14_ch" w:type="character">
    <w:name w:val="toc 6"/>
    <w:link w:val="Style_14"/>
    <w:rPr>
      <w:rFonts w:ascii="XO Thames" w:hAnsi="XO Thames"/>
      <w:sz w:val="28"/>
    </w:rPr>
  </w:style>
  <w:style w:styleId="Style_15" w:type="paragraph">
    <w:name w:val="WW8Num1z6"/>
    <w:link w:val="Style_15_ch"/>
  </w:style>
  <w:style w:styleId="Style_15_ch" w:type="character">
    <w:name w:val="WW8Num1z6"/>
    <w:link w:val="Style_15"/>
  </w:style>
  <w:style w:styleId="Style_16" w:type="paragraph">
    <w:name w:val="toc 7"/>
    <w:next w:val="Style_6"/>
    <w:link w:val="Style_16_ch"/>
    <w:uiPriority w:val="39"/>
    <w:pPr>
      <w:widowControl w:val="1"/>
      <w:ind w:firstLine="0" w:left="1200"/>
      <w:jc w:val="left"/>
    </w:pPr>
    <w:rPr>
      <w:rFonts w:ascii="XO Thames" w:hAnsi="XO Thames"/>
      <w:sz w:val="28"/>
    </w:rPr>
  </w:style>
  <w:style w:styleId="Style_16_ch" w:type="character">
    <w:name w:val="toc 7"/>
    <w:link w:val="Style_16"/>
    <w:rPr>
      <w:rFonts w:ascii="XO Thames" w:hAnsi="XO Thames"/>
      <w:sz w:val="28"/>
    </w:rPr>
  </w:style>
  <w:style w:styleId="Style_17" w:type="paragraph">
    <w:name w:val="WW8Num6z0"/>
    <w:link w:val="Style_17_ch"/>
    <w:rPr>
      <w:rFonts w:ascii="Times New Roman" w:hAnsi="Times New Roman"/>
    </w:rPr>
  </w:style>
  <w:style w:styleId="Style_17_ch" w:type="character">
    <w:name w:val="WW8Num6z0"/>
    <w:link w:val="Style_17"/>
    <w:rPr>
      <w:rFonts w:ascii="Times New Roman" w:hAnsi="Times New Roman"/>
    </w:rPr>
  </w:style>
  <w:style w:styleId="Style_18" w:type="paragraph">
    <w:name w:val="Содержимое таблицы"/>
    <w:basedOn w:val="Style_6"/>
    <w:link w:val="Style_18_ch"/>
  </w:style>
  <w:style w:styleId="Style_18_ch" w:type="character">
    <w:name w:val="Содержимое таблицы"/>
    <w:basedOn w:val="Style_6_ch"/>
    <w:link w:val="Style_18"/>
  </w:style>
  <w:style w:styleId="Style_19" w:type="paragraph">
    <w:name w:val="WW8Num4z3"/>
    <w:link w:val="Style_19_ch"/>
  </w:style>
  <w:style w:styleId="Style_19_ch" w:type="character">
    <w:name w:val="WW8Num4z3"/>
    <w:link w:val="Style_19"/>
  </w:style>
  <w:style w:styleId="Style_20" w:type="paragraph">
    <w:name w:val="WW8Num2z4"/>
    <w:link w:val="Style_20_ch"/>
  </w:style>
  <w:style w:styleId="Style_20_ch" w:type="character">
    <w:name w:val="WW8Num2z4"/>
    <w:link w:val="Style_20"/>
  </w:style>
  <w:style w:styleId="Style_21" w:type="paragraph">
    <w:name w:val="Название объекта2"/>
    <w:basedOn w:val="Style_6"/>
    <w:link w:val="Style_21_ch"/>
    <w:pPr>
      <w:widowControl w:val="1"/>
      <w:spacing w:after="120" w:before="120"/>
      <w:ind/>
    </w:pPr>
    <w:rPr>
      <w:i w:val="1"/>
      <w:sz w:val="24"/>
    </w:rPr>
  </w:style>
  <w:style w:styleId="Style_21_ch" w:type="character">
    <w:name w:val="Название объекта2"/>
    <w:basedOn w:val="Style_6_ch"/>
    <w:link w:val="Style_21"/>
    <w:rPr>
      <w:i w:val="1"/>
      <w:sz w:val="24"/>
    </w:rPr>
  </w:style>
  <w:style w:styleId="Style_22" w:type="paragraph">
    <w:name w:val="Название1"/>
    <w:basedOn w:val="Style_6"/>
    <w:link w:val="Style_22_ch"/>
    <w:pPr>
      <w:widowControl w:val="1"/>
      <w:spacing w:after="120" w:before="120"/>
      <w:ind/>
    </w:pPr>
    <w:rPr>
      <w:rFonts w:ascii="Arial" w:hAnsi="Arial"/>
      <w:i w:val="1"/>
      <w:sz w:val="20"/>
    </w:rPr>
  </w:style>
  <w:style w:styleId="Style_22_ch" w:type="character">
    <w:name w:val="Название1"/>
    <w:basedOn w:val="Style_6_ch"/>
    <w:link w:val="Style_22"/>
    <w:rPr>
      <w:rFonts w:ascii="Arial" w:hAnsi="Arial"/>
      <w:i w:val="1"/>
      <w:sz w:val="20"/>
    </w:rPr>
  </w:style>
  <w:style w:styleId="Style_23" w:type="paragraph">
    <w:name w:val="Заголовок1"/>
    <w:basedOn w:val="Style_6"/>
    <w:next w:val="Style_24"/>
    <w:link w:val="Style_23_ch"/>
    <w:pPr>
      <w:keepNext w:val="1"/>
      <w:widowControl w:val="1"/>
      <w:spacing w:after="120" w:before="240"/>
      <w:ind/>
    </w:pPr>
    <w:rPr>
      <w:rFonts w:ascii="Arial" w:hAnsi="Arial"/>
      <w:sz w:val="28"/>
    </w:rPr>
  </w:style>
  <w:style w:styleId="Style_23_ch" w:type="character">
    <w:name w:val="Заголовок1"/>
    <w:basedOn w:val="Style_6_ch"/>
    <w:link w:val="Style_23"/>
    <w:rPr>
      <w:rFonts w:ascii="Arial" w:hAnsi="Arial"/>
      <w:sz w:val="28"/>
    </w:rPr>
  </w:style>
  <w:style w:styleId="Style_25" w:type="paragraph">
    <w:name w:val="Нижний колонтитул Знак"/>
    <w:link w:val="Style_25_ch"/>
  </w:style>
  <w:style w:styleId="Style_25_ch" w:type="character">
    <w:name w:val="Нижний колонтитул Знак"/>
    <w:link w:val="Style_25"/>
  </w:style>
  <w:style w:styleId="Style_24" w:type="paragraph">
    <w:name w:val="Body Text"/>
    <w:basedOn w:val="Style_6"/>
    <w:link w:val="Style_24_ch"/>
    <w:pPr>
      <w:widowControl w:val="1"/>
      <w:spacing w:after="120" w:before="0"/>
      <w:ind/>
    </w:pPr>
  </w:style>
  <w:style w:styleId="Style_24_ch" w:type="character">
    <w:name w:val="Body Text"/>
    <w:basedOn w:val="Style_6_ch"/>
    <w:link w:val="Style_24"/>
  </w:style>
  <w:style w:styleId="Style_26" w:type="paragraph">
    <w:name w:val="WW8Num1z2"/>
    <w:link w:val="Style_26_ch"/>
  </w:style>
  <w:style w:styleId="Style_26_ch" w:type="character">
    <w:name w:val="WW8Num1z2"/>
    <w:link w:val="Style_26"/>
  </w:style>
  <w:style w:styleId="Style_27" w:type="paragraph">
    <w:name w:val="Endnote"/>
    <w:link w:val="Style_27_ch"/>
    <w:pPr>
      <w:widowControl w:val="1"/>
      <w:ind w:firstLine="851" w:left="0"/>
      <w:jc w:val="both"/>
    </w:pPr>
    <w:rPr>
      <w:rFonts w:ascii="XO Thames" w:hAnsi="XO Thames"/>
      <w:sz w:val="22"/>
    </w:rPr>
  </w:style>
  <w:style w:styleId="Style_27_ch" w:type="character">
    <w:name w:val="Endnote"/>
    <w:link w:val="Style_27"/>
    <w:rPr>
      <w:rFonts w:ascii="XO Thames" w:hAnsi="XO Thames"/>
      <w:sz w:val="22"/>
    </w:rPr>
  </w:style>
  <w:style w:styleId="Style_28" w:type="paragraph">
    <w:name w:val="heading 3"/>
    <w:basedOn w:val="Style_6"/>
    <w:next w:val="Style_6"/>
    <w:link w:val="Style_28_ch"/>
    <w:uiPriority w:val="9"/>
    <w:qFormat/>
    <w:pPr>
      <w:keepNext w:val="1"/>
      <w:widowControl w:val="1"/>
      <w:numPr>
        <w:ilvl w:val="2"/>
        <w:numId w:val="2"/>
      </w:numPr>
      <w:ind/>
      <w:jc w:val="both"/>
      <w:outlineLvl w:val="2"/>
    </w:pPr>
    <w:rPr>
      <w:rFonts w:ascii="Book Antiqua" w:hAnsi="Book Antiqua"/>
      <w:sz w:val="28"/>
    </w:rPr>
  </w:style>
  <w:style w:styleId="Style_28_ch" w:type="character">
    <w:name w:val="heading 3"/>
    <w:basedOn w:val="Style_6_ch"/>
    <w:link w:val="Style_28"/>
    <w:rPr>
      <w:rFonts w:ascii="Book Antiqua" w:hAnsi="Book Antiqua"/>
      <w:sz w:val="28"/>
    </w:rPr>
  </w:style>
  <w:style w:styleId="Style_29" w:type="paragraph">
    <w:name w:val="Указатель1"/>
    <w:basedOn w:val="Style_6"/>
    <w:link w:val="Style_29_ch"/>
    <w:rPr>
      <w:rFonts w:ascii="Arial" w:hAnsi="Arial"/>
    </w:rPr>
  </w:style>
  <w:style w:styleId="Style_29_ch" w:type="character">
    <w:name w:val="Указатель1"/>
    <w:basedOn w:val="Style_6_ch"/>
    <w:link w:val="Style_29"/>
    <w:rPr>
      <w:rFonts w:ascii="Arial" w:hAnsi="Arial"/>
    </w:rPr>
  </w:style>
  <w:style w:styleId="Style_30" w:type="paragraph">
    <w:name w:val="WW-Absatz-Standardschriftart"/>
    <w:link w:val="Style_30_ch"/>
  </w:style>
  <w:style w:styleId="Style_30_ch" w:type="character">
    <w:name w:val="WW-Absatz-Standardschriftart"/>
    <w:link w:val="Style_30"/>
  </w:style>
  <w:style w:styleId="Style_31" w:type="paragraph">
    <w:name w:val="WW8Num2z3"/>
    <w:link w:val="Style_31_ch"/>
  </w:style>
  <w:style w:styleId="Style_31_ch" w:type="character">
    <w:name w:val="WW8Num2z3"/>
    <w:link w:val="Style_31"/>
  </w:style>
  <w:style w:styleId="Style_32" w:type="paragraph">
    <w:name w:val="WW8Num2z6"/>
    <w:link w:val="Style_32_ch"/>
  </w:style>
  <w:style w:styleId="Style_32_ch" w:type="character">
    <w:name w:val="WW8Num2z6"/>
    <w:link w:val="Style_32"/>
  </w:style>
  <w:style w:styleId="Style_33" w:type="paragraph">
    <w:name w:val="WW8Num1z0"/>
    <w:link w:val="Style_33_ch"/>
  </w:style>
  <w:style w:styleId="Style_33_ch" w:type="character">
    <w:name w:val="WW8Num1z0"/>
    <w:link w:val="Style_33"/>
  </w:style>
  <w:style w:styleId="Style_34" w:type="paragraph">
    <w:name w:val="WW8Num3z1"/>
    <w:link w:val="Style_34_ch"/>
  </w:style>
  <w:style w:styleId="Style_34_ch" w:type="character">
    <w:name w:val="WW8Num3z1"/>
    <w:link w:val="Style_34"/>
  </w:style>
  <w:style w:styleId="Style_35" w:type="paragraph">
    <w:name w:val="Emphasis"/>
    <w:link w:val="Style_35_ch"/>
    <w:rPr>
      <w:i w:val="1"/>
    </w:rPr>
  </w:style>
  <w:style w:styleId="Style_35_ch" w:type="character">
    <w:name w:val="Emphasis"/>
    <w:link w:val="Style_35"/>
    <w:rPr>
      <w:i w:val="1"/>
    </w:rPr>
  </w:style>
  <w:style w:styleId="Style_36" w:type="paragraph">
    <w:name w:val="Balloon Text"/>
    <w:basedOn w:val="Style_6"/>
    <w:link w:val="Style_36_ch"/>
    <w:rPr>
      <w:rFonts w:ascii="Tahoma" w:hAnsi="Tahoma"/>
      <w:sz w:val="16"/>
    </w:rPr>
  </w:style>
  <w:style w:styleId="Style_36_ch" w:type="character">
    <w:name w:val="Balloon Text"/>
    <w:basedOn w:val="Style_6_ch"/>
    <w:link w:val="Style_36"/>
    <w:rPr>
      <w:rFonts w:ascii="Tahoma" w:hAnsi="Tahoma"/>
      <w:sz w:val="16"/>
    </w:rPr>
  </w:style>
  <w:style w:styleId="Style_37" w:type="paragraph">
    <w:name w:val="Указатель6"/>
    <w:basedOn w:val="Style_6"/>
    <w:link w:val="Style_37_ch"/>
  </w:style>
  <w:style w:styleId="Style_37_ch" w:type="character">
    <w:name w:val="Указатель6"/>
    <w:basedOn w:val="Style_6_ch"/>
    <w:link w:val="Style_37"/>
  </w:style>
  <w:style w:styleId="Style_38" w:type="paragraph">
    <w:name w:val="Текст выноски Знак"/>
    <w:link w:val="Style_38_ch"/>
    <w:rPr>
      <w:rFonts w:ascii="Tahoma" w:hAnsi="Tahoma"/>
      <w:sz w:val="16"/>
    </w:rPr>
  </w:style>
  <w:style w:styleId="Style_38_ch" w:type="character">
    <w:name w:val="Текст выноски Знак"/>
    <w:link w:val="Style_38"/>
    <w:rPr>
      <w:rFonts w:ascii="Tahoma" w:hAnsi="Tahoma"/>
      <w:sz w:val="16"/>
    </w:rPr>
  </w:style>
  <w:style w:styleId="Style_39" w:type="paragraph">
    <w:name w:val="Указатель5"/>
    <w:basedOn w:val="Style_6"/>
    <w:link w:val="Style_39_ch"/>
  </w:style>
  <w:style w:styleId="Style_39_ch" w:type="character">
    <w:name w:val="Указатель5"/>
    <w:basedOn w:val="Style_6_ch"/>
    <w:link w:val="Style_39"/>
  </w:style>
  <w:style w:styleId="Style_40" w:type="paragraph">
    <w:name w:val="ConsNonformat"/>
    <w:link w:val="Style_40_ch"/>
    <w:pPr>
      <w:widowControl w:val="0"/>
      <w:ind w:right="19772"/>
    </w:pPr>
    <w:rPr>
      <w:rFonts w:ascii="Courier New" w:hAnsi="Courier New"/>
      <w:sz w:val="24"/>
    </w:rPr>
  </w:style>
  <w:style w:styleId="Style_40_ch" w:type="character">
    <w:name w:val="ConsNonformat"/>
    <w:link w:val="Style_40"/>
    <w:rPr>
      <w:rFonts w:ascii="Courier New" w:hAnsi="Courier New"/>
      <w:sz w:val="24"/>
    </w:rPr>
  </w:style>
  <w:style w:styleId="Style_41" w:type="paragraph">
    <w:name w:val="WW8Num8z2"/>
    <w:link w:val="Style_41_ch"/>
    <w:rPr>
      <w:rFonts w:ascii="Wingdings" w:hAnsi="Wingdings"/>
    </w:rPr>
  </w:style>
  <w:style w:styleId="Style_41_ch" w:type="character">
    <w:name w:val="WW8Num8z2"/>
    <w:link w:val="Style_41"/>
    <w:rPr>
      <w:rFonts w:ascii="Wingdings" w:hAnsi="Wingdings"/>
    </w:rPr>
  </w:style>
  <w:style w:styleId="Style_42" w:type="paragraph">
    <w:name w:val="WW8Num4z4"/>
    <w:link w:val="Style_42_ch"/>
  </w:style>
  <w:style w:styleId="Style_42_ch" w:type="character">
    <w:name w:val="WW8Num4z4"/>
    <w:link w:val="Style_42"/>
  </w:style>
  <w:style w:styleId="Style_3" w:type="paragraph">
    <w:name w:val="Обычный (веб)"/>
    <w:basedOn w:val="Style_6"/>
    <w:link w:val="Style_3_ch"/>
    <w:pPr>
      <w:widowControl w:val="1"/>
      <w:spacing w:after="100" w:before="100"/>
      <w:ind/>
    </w:pPr>
    <w:rPr>
      <w:sz w:val="24"/>
    </w:rPr>
  </w:style>
  <w:style w:styleId="Style_3_ch" w:type="character">
    <w:name w:val="Обычный (веб)"/>
    <w:basedOn w:val="Style_6_ch"/>
    <w:link w:val="Style_3"/>
    <w:rPr>
      <w:sz w:val="24"/>
    </w:rPr>
  </w:style>
  <w:style w:styleId="Style_43" w:type="paragraph">
    <w:name w:val="Символ нумерации"/>
    <w:link w:val="Style_43_ch"/>
  </w:style>
  <w:style w:styleId="Style_43_ch" w:type="character">
    <w:name w:val="Символ нумерации"/>
    <w:link w:val="Style_43"/>
  </w:style>
  <w:style w:styleId="Style_44" w:type="paragraph">
    <w:name w:val="Указатель2"/>
    <w:basedOn w:val="Style_6"/>
    <w:link w:val="Style_44_ch"/>
  </w:style>
  <w:style w:styleId="Style_44_ch" w:type="character">
    <w:name w:val="Указатель2"/>
    <w:basedOn w:val="Style_6_ch"/>
    <w:link w:val="Style_44"/>
  </w:style>
  <w:style w:styleId="Style_45" w:type="paragraph">
    <w:name w:val="WW8Num3z5"/>
    <w:link w:val="Style_45_ch"/>
  </w:style>
  <w:style w:styleId="Style_45_ch" w:type="character">
    <w:name w:val="WW8Num3z5"/>
    <w:link w:val="Style_45"/>
  </w:style>
  <w:style w:styleId="Style_46" w:type="paragraph">
    <w:name w:val="WW8Num1z1"/>
    <w:link w:val="Style_46_ch"/>
  </w:style>
  <w:style w:styleId="Style_46_ch" w:type="character">
    <w:name w:val="WW8Num1z1"/>
    <w:link w:val="Style_46"/>
  </w:style>
  <w:style w:styleId="Style_47" w:type="paragraph">
    <w:name w:val="WW8Num8z1"/>
    <w:link w:val="Style_47_ch"/>
    <w:rPr>
      <w:rFonts w:ascii="Courier New" w:hAnsi="Courier New"/>
    </w:rPr>
  </w:style>
  <w:style w:styleId="Style_47_ch" w:type="character">
    <w:name w:val="WW8Num8z1"/>
    <w:link w:val="Style_47"/>
    <w:rPr>
      <w:rFonts w:ascii="Courier New" w:hAnsi="Courier New"/>
    </w:rPr>
  </w:style>
  <w:style w:styleId="Style_48" w:type="paragraph">
    <w:name w:val="WW8Num3z3"/>
    <w:link w:val="Style_48_ch"/>
  </w:style>
  <w:style w:styleId="Style_48_ch" w:type="character">
    <w:name w:val="WW8Num3z3"/>
    <w:link w:val="Style_48"/>
  </w:style>
  <w:style w:styleId="Style_1" w:type="paragraph">
    <w:name w:val="header"/>
    <w:basedOn w:val="Style_6"/>
    <w:link w:val="Style_1_ch"/>
    <w:pPr>
      <w:widowControl w:val="1"/>
      <w:tabs>
        <w:tab w:leader="none" w:pos="4677" w:val="center"/>
        <w:tab w:leader="none" w:pos="9355" w:val="right"/>
      </w:tabs>
      <w:ind/>
    </w:pPr>
  </w:style>
  <w:style w:styleId="Style_1_ch" w:type="character">
    <w:name w:val="header"/>
    <w:basedOn w:val="Style_6_ch"/>
    <w:link w:val="Style_1"/>
  </w:style>
  <w:style w:styleId="Style_49" w:type="paragraph">
    <w:name w:val="Standard"/>
    <w:link w:val="Style_49_ch"/>
    <w:pPr>
      <w:widowControl w:val="0"/>
      <w:ind/>
    </w:pPr>
    <w:rPr>
      <w:sz w:val="24"/>
    </w:rPr>
  </w:style>
  <w:style w:styleId="Style_49_ch" w:type="character">
    <w:name w:val="Standard"/>
    <w:link w:val="Style_49"/>
    <w:rPr>
      <w:sz w:val="24"/>
    </w:rPr>
  </w:style>
  <w:style w:styleId="Style_50" w:type="paragraph">
    <w:name w:val="WW8Num4z1"/>
    <w:link w:val="Style_50_ch"/>
  </w:style>
  <w:style w:styleId="Style_50_ch" w:type="character">
    <w:name w:val="WW8Num4z1"/>
    <w:link w:val="Style_50"/>
  </w:style>
  <w:style w:styleId="Style_51" w:type="paragraph">
    <w:name w:val="WW8Num3z2"/>
    <w:link w:val="Style_51_ch"/>
  </w:style>
  <w:style w:styleId="Style_51_ch" w:type="character">
    <w:name w:val="WW8Num3z2"/>
    <w:link w:val="Style_51"/>
  </w:style>
  <w:style w:styleId="Style_52" w:type="paragraph">
    <w:name w:val="No Spacing"/>
    <w:link w:val="Style_52_ch"/>
    <w:pPr>
      <w:widowControl w:val="1"/>
      <w:spacing w:line="100" w:lineRule="atLeast"/>
      <w:ind/>
    </w:pPr>
    <w:rPr>
      <w:rFonts w:ascii="Calibri" w:hAnsi="Calibri"/>
      <w:color w:val="00000A"/>
    </w:rPr>
  </w:style>
  <w:style w:styleId="Style_52_ch" w:type="character">
    <w:name w:val="No Spacing"/>
    <w:link w:val="Style_52"/>
    <w:rPr>
      <w:rFonts w:ascii="Calibri" w:hAnsi="Calibri"/>
      <w:color w:val="00000A"/>
    </w:rPr>
  </w:style>
  <w:style w:styleId="Style_53" w:type="paragraph">
    <w:name w:val="WW8NumSt1z0"/>
    <w:link w:val="Style_53_ch"/>
    <w:rPr>
      <w:rFonts w:ascii="Arial" w:hAnsi="Arial"/>
    </w:rPr>
  </w:style>
  <w:style w:styleId="Style_53_ch" w:type="character">
    <w:name w:val="WW8NumSt1z0"/>
    <w:link w:val="Style_53"/>
    <w:rPr>
      <w:rFonts w:ascii="Arial" w:hAnsi="Arial"/>
    </w:rPr>
  </w:style>
  <w:style w:styleId="Style_2" w:type="paragraph">
    <w:name w:val="footer"/>
    <w:basedOn w:val="Style_6"/>
    <w:link w:val="Style_2_ch"/>
    <w:pPr>
      <w:widowControl w:val="1"/>
      <w:tabs>
        <w:tab w:leader="none" w:pos="4677" w:val="center"/>
        <w:tab w:leader="none" w:pos="9355" w:val="right"/>
      </w:tabs>
      <w:ind/>
    </w:pPr>
  </w:style>
  <w:style w:styleId="Style_2_ch" w:type="character">
    <w:name w:val="footer"/>
    <w:basedOn w:val="Style_6_ch"/>
    <w:link w:val="Style_2"/>
  </w:style>
  <w:style w:styleId="Style_54" w:type="paragraph">
    <w:name w:val="Основной шрифт абзаца6"/>
    <w:link w:val="Style_54_ch"/>
  </w:style>
  <w:style w:styleId="Style_54_ch" w:type="character">
    <w:name w:val="Основной шрифт абзаца6"/>
    <w:link w:val="Style_54"/>
  </w:style>
  <w:style w:styleId="Style_55" w:type="paragraph">
    <w:name w:val="List Paragraph"/>
    <w:basedOn w:val="Style_6"/>
    <w:link w:val="Style_55_ch"/>
    <w:pPr>
      <w:widowControl w:val="1"/>
      <w:spacing w:afterAutospacing="on" w:beforeAutospacing="on"/>
      <w:ind/>
    </w:pPr>
    <w:rPr>
      <w:sz w:val="24"/>
    </w:rPr>
  </w:style>
  <w:style w:styleId="Style_55_ch" w:type="character">
    <w:name w:val="List Paragraph"/>
    <w:basedOn w:val="Style_6_ch"/>
    <w:link w:val="Style_55"/>
    <w:rPr>
      <w:sz w:val="24"/>
    </w:rPr>
  </w:style>
  <w:style w:styleId="Style_56" w:type="paragraph">
    <w:name w:val="WW-Absatz-Standardschriftart1"/>
    <w:link w:val="Style_56_ch"/>
  </w:style>
  <w:style w:styleId="Style_56_ch" w:type="character">
    <w:name w:val="WW-Absatz-Standardschriftart1"/>
    <w:link w:val="Style_56"/>
  </w:style>
  <w:style w:styleId="Style_57" w:type="paragraph">
    <w:name w:val="WW8Num2z8"/>
    <w:link w:val="Style_57_ch"/>
  </w:style>
  <w:style w:styleId="Style_57_ch" w:type="character">
    <w:name w:val="WW8Num2z8"/>
    <w:link w:val="Style_57"/>
  </w:style>
  <w:style w:styleId="Style_58" w:type="paragraph">
    <w:name w:val="toc 3"/>
    <w:next w:val="Style_6"/>
    <w:link w:val="Style_58_ch"/>
    <w:uiPriority w:val="39"/>
    <w:pPr>
      <w:widowControl w:val="1"/>
      <w:ind w:firstLine="0" w:left="400"/>
      <w:jc w:val="left"/>
    </w:pPr>
    <w:rPr>
      <w:rFonts w:ascii="XO Thames" w:hAnsi="XO Thames"/>
      <w:sz w:val="28"/>
    </w:rPr>
  </w:style>
  <w:style w:styleId="Style_58_ch" w:type="character">
    <w:name w:val="toc 3"/>
    <w:link w:val="Style_58"/>
    <w:rPr>
      <w:rFonts w:ascii="XO Thames" w:hAnsi="XO Thames"/>
      <w:sz w:val="28"/>
    </w:rPr>
  </w:style>
  <w:style w:styleId="Style_59" w:type="paragraph">
    <w:name w:val="Основной шрифт абзаца1"/>
    <w:link w:val="Style_59_ch"/>
  </w:style>
  <w:style w:styleId="Style_59_ch" w:type="character">
    <w:name w:val="Основной шрифт абзаца1"/>
    <w:link w:val="Style_59"/>
  </w:style>
  <w:style w:styleId="Style_60" w:type="paragraph">
    <w:name w:val="WW8Num4z0"/>
    <w:link w:val="Style_60_ch"/>
  </w:style>
  <w:style w:styleId="Style_60_ch" w:type="character">
    <w:name w:val="WW8Num4z0"/>
    <w:link w:val="Style_60"/>
  </w:style>
  <w:style w:styleId="Style_61" w:type="paragraph">
    <w:name w:val="WW8Num4z5"/>
    <w:link w:val="Style_61_ch"/>
  </w:style>
  <w:style w:styleId="Style_61_ch" w:type="character">
    <w:name w:val="WW8Num4z5"/>
    <w:link w:val="Style_61"/>
  </w:style>
  <w:style w:styleId="Style_62" w:type="paragraph">
    <w:name w:val="Table Contents"/>
    <w:basedOn w:val="Style_6"/>
    <w:link w:val="Style_62_ch"/>
    <w:rPr>
      <w:sz w:val="24"/>
    </w:rPr>
  </w:style>
  <w:style w:styleId="Style_62_ch" w:type="character">
    <w:name w:val="Table Contents"/>
    <w:basedOn w:val="Style_6_ch"/>
    <w:link w:val="Style_62"/>
    <w:rPr>
      <w:sz w:val="24"/>
    </w:rPr>
  </w:style>
  <w:style w:styleId="Style_63" w:type="paragraph">
    <w:name w:val="Указатель8"/>
    <w:basedOn w:val="Style_6"/>
    <w:link w:val="Style_63_ch"/>
  </w:style>
  <w:style w:styleId="Style_63_ch" w:type="character">
    <w:name w:val="Указатель8"/>
    <w:basedOn w:val="Style_6_ch"/>
    <w:link w:val="Style_63"/>
  </w:style>
  <w:style w:styleId="Style_64" w:type="paragraph">
    <w:name w:val="WW8Num8z0"/>
    <w:link w:val="Style_64_ch"/>
    <w:rPr>
      <w:rFonts w:ascii="Symbol" w:hAnsi="Symbol"/>
    </w:rPr>
  </w:style>
  <w:style w:styleId="Style_64_ch" w:type="character">
    <w:name w:val="WW8Num8z0"/>
    <w:link w:val="Style_64"/>
    <w:rPr>
      <w:rFonts w:ascii="Symbol" w:hAnsi="Symbol"/>
    </w:rPr>
  </w:style>
  <w:style w:styleId="Style_65" w:type="paragraph">
    <w:name w:val="WW8Num4z6"/>
    <w:link w:val="Style_65_ch"/>
  </w:style>
  <w:style w:styleId="Style_65_ch" w:type="character">
    <w:name w:val="WW8Num4z6"/>
    <w:link w:val="Style_65"/>
  </w:style>
  <w:style w:styleId="Style_66" w:type="paragraph">
    <w:name w:val="WW8Num3z7"/>
    <w:link w:val="Style_66_ch"/>
  </w:style>
  <w:style w:styleId="Style_66_ch" w:type="character">
    <w:name w:val="WW8Num3z7"/>
    <w:link w:val="Style_66"/>
  </w:style>
  <w:style w:styleId="Style_67" w:type="paragraph">
    <w:name w:val="heading 5"/>
    <w:next w:val="Style_6"/>
    <w:link w:val="Style_67_ch"/>
    <w:uiPriority w:val="9"/>
    <w:qFormat/>
    <w:pPr>
      <w:widowControl w:val="1"/>
      <w:spacing w:after="120" w:before="120"/>
      <w:ind/>
      <w:jc w:val="both"/>
      <w:outlineLvl w:val="4"/>
    </w:pPr>
    <w:rPr>
      <w:rFonts w:ascii="XO Thames" w:hAnsi="XO Thames"/>
      <w:b w:val="1"/>
      <w:sz w:val="22"/>
    </w:rPr>
  </w:style>
  <w:style w:styleId="Style_67_ch" w:type="character">
    <w:name w:val="heading 5"/>
    <w:link w:val="Style_67"/>
    <w:rPr>
      <w:rFonts w:ascii="XO Thames" w:hAnsi="XO Thames"/>
      <w:b w:val="1"/>
      <w:sz w:val="22"/>
    </w:rPr>
  </w:style>
  <w:style w:styleId="Style_68" w:type="paragraph">
    <w:name w:val="WW8Num1z7"/>
    <w:link w:val="Style_68_ch"/>
  </w:style>
  <w:style w:styleId="Style_68_ch" w:type="character">
    <w:name w:val="WW8Num1z7"/>
    <w:link w:val="Style_68"/>
  </w:style>
  <w:style w:styleId="Style_69" w:type="paragraph">
    <w:name w:val="heading 1"/>
    <w:next w:val="Style_6"/>
    <w:link w:val="Style_69_ch"/>
    <w:uiPriority w:val="9"/>
    <w:qFormat/>
    <w:pPr>
      <w:widowControl w:val="1"/>
      <w:spacing w:after="120" w:before="120"/>
      <w:ind/>
      <w:jc w:val="both"/>
      <w:outlineLvl w:val="0"/>
    </w:pPr>
    <w:rPr>
      <w:rFonts w:ascii="XO Thames" w:hAnsi="XO Thames"/>
      <w:b w:val="1"/>
      <w:sz w:val="32"/>
    </w:rPr>
  </w:style>
  <w:style w:styleId="Style_69_ch" w:type="character">
    <w:name w:val="heading 1"/>
    <w:link w:val="Style_69"/>
    <w:rPr>
      <w:rFonts w:ascii="XO Thames" w:hAnsi="XO Thames"/>
      <w:b w:val="1"/>
      <w:sz w:val="32"/>
    </w:rPr>
  </w:style>
  <w:style w:styleId="Style_70" w:type="paragraph">
    <w:name w:val="Default"/>
    <w:link w:val="Style_70_ch"/>
    <w:rPr>
      <w:color w:val="000000"/>
      <w:sz w:val="24"/>
    </w:rPr>
  </w:style>
  <w:style w:styleId="Style_70_ch" w:type="character">
    <w:name w:val="Default"/>
    <w:link w:val="Style_70"/>
    <w:rPr>
      <w:color w:val="000000"/>
      <w:sz w:val="24"/>
    </w:rPr>
  </w:style>
  <w:style w:styleId="Style_71" w:type="paragraph">
    <w:name w:val="Название объекта3"/>
    <w:basedOn w:val="Style_6"/>
    <w:link w:val="Style_71_ch"/>
    <w:pPr>
      <w:widowControl w:val="1"/>
      <w:spacing w:after="120" w:before="120"/>
      <w:ind/>
    </w:pPr>
    <w:rPr>
      <w:i w:val="1"/>
      <w:sz w:val="24"/>
    </w:rPr>
  </w:style>
  <w:style w:styleId="Style_71_ch" w:type="character">
    <w:name w:val="Название объекта3"/>
    <w:basedOn w:val="Style_6_ch"/>
    <w:link w:val="Style_71"/>
    <w:rPr>
      <w:i w:val="1"/>
      <w:sz w:val="24"/>
    </w:rPr>
  </w:style>
  <w:style w:styleId="Style_72" w:type="paragraph">
    <w:name w:val="WW8Num1z4"/>
    <w:link w:val="Style_72_ch"/>
  </w:style>
  <w:style w:styleId="Style_72_ch" w:type="character">
    <w:name w:val="WW8Num1z4"/>
    <w:link w:val="Style_72"/>
  </w:style>
  <w:style w:styleId="Style_73" w:type="paragraph">
    <w:name w:val="List"/>
    <w:basedOn w:val="Style_24"/>
    <w:link w:val="Style_73_ch"/>
    <w:rPr>
      <w:rFonts w:ascii="Arial" w:hAnsi="Arial"/>
    </w:rPr>
  </w:style>
  <w:style w:styleId="Style_73_ch" w:type="character">
    <w:name w:val="List"/>
    <w:basedOn w:val="Style_24_ch"/>
    <w:link w:val="Style_73"/>
    <w:rPr>
      <w:rFonts w:ascii="Arial" w:hAnsi="Arial"/>
    </w:rPr>
  </w:style>
  <w:style w:styleId="Style_74" w:type="paragraph">
    <w:name w:val="WW8Num2z0"/>
    <w:link w:val="Style_74_ch"/>
  </w:style>
  <w:style w:styleId="Style_74_ch" w:type="character">
    <w:name w:val="WW8Num2z0"/>
    <w:link w:val="Style_74"/>
  </w:style>
  <w:style w:styleId="Style_75" w:type="paragraph">
    <w:name w:val="Hyperlink"/>
    <w:link w:val="Style_75_ch"/>
    <w:rPr>
      <w:color w:val="000080"/>
      <w:u w:val="single"/>
    </w:rPr>
  </w:style>
  <w:style w:styleId="Style_75_ch" w:type="character">
    <w:name w:val="Hyperlink"/>
    <w:link w:val="Style_75"/>
    <w:rPr>
      <w:color w:val="000080"/>
      <w:u w:val="single"/>
    </w:rPr>
  </w:style>
  <w:style w:styleId="Style_76" w:type="paragraph">
    <w:name w:val="Footnote"/>
    <w:link w:val="Style_76_ch"/>
    <w:pPr>
      <w:widowControl w:val="1"/>
      <w:ind w:firstLine="851" w:left="0"/>
      <w:jc w:val="both"/>
    </w:pPr>
    <w:rPr>
      <w:rFonts w:ascii="XO Thames" w:hAnsi="XO Thames"/>
      <w:sz w:val="22"/>
    </w:rPr>
  </w:style>
  <w:style w:styleId="Style_76_ch" w:type="character">
    <w:name w:val="Footnote"/>
    <w:link w:val="Style_76"/>
    <w:rPr>
      <w:rFonts w:ascii="XO Thames" w:hAnsi="XO Thames"/>
      <w:sz w:val="22"/>
    </w:rPr>
  </w:style>
  <w:style w:styleId="Style_77" w:type="paragraph">
    <w:name w:val="Default Paragraph Font"/>
    <w:link w:val="Style_77_ch"/>
  </w:style>
  <w:style w:styleId="Style_77_ch" w:type="character">
    <w:name w:val="Default Paragraph Font"/>
    <w:link w:val="Style_77"/>
  </w:style>
  <w:style w:styleId="Style_78" w:type="paragraph">
    <w:name w:val="Указатель3"/>
    <w:basedOn w:val="Style_6"/>
    <w:link w:val="Style_78_ch"/>
  </w:style>
  <w:style w:styleId="Style_78_ch" w:type="character">
    <w:name w:val="Указатель3"/>
    <w:basedOn w:val="Style_6_ch"/>
    <w:link w:val="Style_78"/>
  </w:style>
  <w:style w:styleId="Style_79" w:type="paragraph">
    <w:name w:val="Название объекта5"/>
    <w:basedOn w:val="Style_6"/>
    <w:link w:val="Style_79_ch"/>
    <w:pPr>
      <w:widowControl w:val="1"/>
      <w:spacing w:after="120" w:before="120"/>
      <w:ind/>
    </w:pPr>
    <w:rPr>
      <w:i w:val="1"/>
      <w:sz w:val="24"/>
    </w:rPr>
  </w:style>
  <w:style w:styleId="Style_79_ch" w:type="character">
    <w:name w:val="Название объекта5"/>
    <w:basedOn w:val="Style_6_ch"/>
    <w:link w:val="Style_79"/>
    <w:rPr>
      <w:i w:val="1"/>
      <w:sz w:val="24"/>
    </w:rPr>
  </w:style>
  <w:style w:styleId="Style_80" w:type="paragraph">
    <w:name w:val="toc 1"/>
    <w:next w:val="Style_6"/>
    <w:link w:val="Style_80_ch"/>
    <w:uiPriority w:val="39"/>
    <w:pPr>
      <w:widowControl w:val="1"/>
      <w:ind w:firstLine="0" w:left="0"/>
      <w:jc w:val="left"/>
    </w:pPr>
    <w:rPr>
      <w:rFonts w:ascii="XO Thames" w:hAnsi="XO Thames"/>
      <w:b w:val="1"/>
      <w:sz w:val="28"/>
    </w:rPr>
  </w:style>
  <w:style w:styleId="Style_80_ch" w:type="character">
    <w:name w:val="toc 1"/>
    <w:link w:val="Style_80"/>
    <w:rPr>
      <w:rFonts w:ascii="XO Thames" w:hAnsi="XO Thames"/>
      <w:b w:val="1"/>
      <w:sz w:val="28"/>
    </w:rPr>
  </w:style>
  <w:style w:styleId="Style_81" w:type="paragraph">
    <w:name w:val="WW8Num1z8"/>
    <w:link w:val="Style_81_ch"/>
  </w:style>
  <w:style w:styleId="Style_81_ch" w:type="character">
    <w:name w:val="WW8Num1z8"/>
    <w:link w:val="Style_81"/>
  </w:style>
  <w:style w:styleId="Style_82" w:type="paragraph">
    <w:name w:val="WW8Num1z3"/>
    <w:link w:val="Style_82_ch"/>
  </w:style>
  <w:style w:styleId="Style_82_ch" w:type="character">
    <w:name w:val="WW8Num1z3"/>
    <w:link w:val="Style_82"/>
  </w:style>
  <w:style w:styleId="Style_83" w:type="paragraph">
    <w:name w:val="Header and Footer"/>
    <w:link w:val="Style_83_ch"/>
    <w:pPr>
      <w:widowControl w:val="1"/>
      <w:spacing w:line="240" w:lineRule="auto"/>
      <w:ind/>
      <w:jc w:val="both"/>
    </w:pPr>
    <w:rPr>
      <w:rFonts w:ascii="XO Thames" w:hAnsi="XO Thames"/>
      <w:sz w:val="28"/>
    </w:rPr>
  </w:style>
  <w:style w:styleId="Style_83_ch" w:type="character">
    <w:name w:val="Header and Footer"/>
    <w:link w:val="Style_83"/>
    <w:rPr>
      <w:rFonts w:ascii="XO Thames" w:hAnsi="XO Thames"/>
      <w:sz w:val="28"/>
    </w:rPr>
  </w:style>
  <w:style w:styleId="Style_84" w:type="paragraph">
    <w:name w:val="Заголовок2"/>
    <w:basedOn w:val="Style_6"/>
    <w:next w:val="Style_24"/>
    <w:link w:val="Style_84_ch"/>
    <w:pPr>
      <w:keepNext w:val="1"/>
      <w:widowControl w:val="1"/>
      <w:spacing w:after="120" w:before="240"/>
      <w:ind/>
    </w:pPr>
    <w:rPr>
      <w:rFonts w:ascii="Liberation Sans" w:hAnsi="Liberation Sans"/>
      <w:sz w:val="28"/>
    </w:rPr>
  </w:style>
  <w:style w:styleId="Style_84_ch" w:type="character">
    <w:name w:val="Заголовок2"/>
    <w:basedOn w:val="Style_6_ch"/>
    <w:link w:val="Style_84"/>
    <w:rPr>
      <w:rFonts w:ascii="Liberation Sans" w:hAnsi="Liberation Sans"/>
      <w:sz w:val="28"/>
    </w:rPr>
  </w:style>
  <w:style w:styleId="Style_85" w:type="paragraph">
    <w:name w:val="Основной шрифт абзаца5"/>
    <w:link w:val="Style_85_ch"/>
  </w:style>
  <w:style w:styleId="Style_85_ch" w:type="character">
    <w:name w:val="Основной шрифт абзаца5"/>
    <w:link w:val="Style_85"/>
  </w:style>
  <w:style w:styleId="Style_86" w:type="paragraph">
    <w:name w:val="toc 9"/>
    <w:next w:val="Style_6"/>
    <w:link w:val="Style_86_ch"/>
    <w:uiPriority w:val="39"/>
    <w:pPr>
      <w:widowControl w:val="1"/>
      <w:ind w:firstLine="0" w:left="1600"/>
      <w:jc w:val="left"/>
    </w:pPr>
    <w:rPr>
      <w:rFonts w:ascii="XO Thames" w:hAnsi="XO Thames"/>
      <w:sz w:val="28"/>
    </w:rPr>
  </w:style>
  <w:style w:styleId="Style_86_ch" w:type="character">
    <w:name w:val="toc 9"/>
    <w:link w:val="Style_86"/>
    <w:rPr>
      <w:rFonts w:ascii="XO Thames" w:hAnsi="XO Thames"/>
      <w:sz w:val="28"/>
    </w:rPr>
  </w:style>
  <w:style w:styleId="Style_87" w:type="paragraph">
    <w:name w:val="Основной шрифт абзаца2"/>
    <w:link w:val="Style_87_ch"/>
  </w:style>
  <w:style w:styleId="Style_87_ch" w:type="character">
    <w:name w:val="Основной шрифт абзаца2"/>
    <w:link w:val="Style_87"/>
  </w:style>
  <w:style w:styleId="Style_88" w:type="paragraph">
    <w:name w:val="Название объекта1"/>
    <w:basedOn w:val="Style_6"/>
    <w:link w:val="Style_88_ch"/>
    <w:pPr>
      <w:widowControl w:val="1"/>
      <w:spacing w:after="120" w:before="120"/>
      <w:ind/>
    </w:pPr>
    <w:rPr>
      <w:i w:val="1"/>
      <w:sz w:val="24"/>
    </w:rPr>
  </w:style>
  <w:style w:styleId="Style_88_ch" w:type="character">
    <w:name w:val="Название объекта1"/>
    <w:basedOn w:val="Style_6_ch"/>
    <w:link w:val="Style_88"/>
    <w:rPr>
      <w:i w:val="1"/>
      <w:sz w:val="24"/>
    </w:rPr>
  </w:style>
  <w:style w:styleId="Style_89" w:type="paragraph">
    <w:name w:val="WW8Num3z8"/>
    <w:link w:val="Style_89_ch"/>
  </w:style>
  <w:style w:styleId="Style_89_ch" w:type="character">
    <w:name w:val="WW8Num3z8"/>
    <w:link w:val="Style_89"/>
  </w:style>
  <w:style w:styleId="Style_90" w:type="paragraph">
    <w:name w:val="WW8Num4z7"/>
    <w:link w:val="Style_90_ch"/>
  </w:style>
  <w:style w:styleId="Style_90_ch" w:type="character">
    <w:name w:val="WW8Num4z7"/>
    <w:link w:val="Style_90"/>
  </w:style>
  <w:style w:styleId="Style_91" w:type="paragraph">
    <w:name w:val="Absatz-Standardschriftart"/>
    <w:link w:val="Style_91_ch"/>
  </w:style>
  <w:style w:styleId="Style_91_ch" w:type="character">
    <w:name w:val="Absatz-Standardschriftart"/>
    <w:link w:val="Style_91"/>
  </w:style>
  <w:style w:styleId="Style_92" w:type="paragraph">
    <w:name w:val="WW8Num2z5"/>
    <w:link w:val="Style_92_ch"/>
  </w:style>
  <w:style w:styleId="Style_92_ch" w:type="character">
    <w:name w:val="WW8Num2z5"/>
    <w:link w:val="Style_92"/>
  </w:style>
  <w:style w:styleId="Style_93" w:type="paragraph">
    <w:name w:val="toc 8"/>
    <w:next w:val="Style_6"/>
    <w:link w:val="Style_93_ch"/>
    <w:uiPriority w:val="39"/>
    <w:pPr>
      <w:widowControl w:val="1"/>
      <w:ind w:firstLine="0" w:left="1400"/>
      <w:jc w:val="left"/>
    </w:pPr>
    <w:rPr>
      <w:rFonts w:ascii="XO Thames" w:hAnsi="XO Thames"/>
      <w:sz w:val="28"/>
    </w:rPr>
  </w:style>
  <w:style w:styleId="Style_93_ch" w:type="character">
    <w:name w:val="toc 8"/>
    <w:link w:val="Style_93"/>
    <w:rPr>
      <w:rFonts w:ascii="XO Thames" w:hAnsi="XO Thames"/>
      <w:sz w:val="28"/>
    </w:rPr>
  </w:style>
  <w:style w:styleId="Style_94" w:type="paragraph">
    <w:name w:val="Основной шрифт абзаца4"/>
    <w:link w:val="Style_94_ch"/>
  </w:style>
  <w:style w:styleId="Style_94_ch" w:type="character">
    <w:name w:val="Основной шрифт абзаца4"/>
    <w:link w:val="Style_94"/>
  </w:style>
  <w:style w:styleId="Style_4" w:type="paragraph">
    <w:name w:val="Strong"/>
    <w:link w:val="Style_4_ch"/>
    <w:rPr>
      <w:b w:val="1"/>
    </w:rPr>
  </w:style>
  <w:style w:styleId="Style_4_ch" w:type="character">
    <w:name w:val="Strong"/>
    <w:link w:val="Style_4"/>
    <w:rPr>
      <w:b w:val="1"/>
    </w:rPr>
  </w:style>
  <w:style w:styleId="Style_95" w:type="paragraph">
    <w:name w:val="WW8Num4z8"/>
    <w:link w:val="Style_95_ch"/>
  </w:style>
  <w:style w:styleId="Style_95_ch" w:type="character">
    <w:name w:val="WW8Num4z8"/>
    <w:link w:val="Style_95"/>
  </w:style>
  <w:style w:styleId="Style_96" w:type="paragraph">
    <w:name w:val="WW8Num3z0"/>
    <w:link w:val="Style_96_ch"/>
    <w:rPr>
      <w:b w:val="1"/>
      <w:spacing w:val="-1"/>
      <w:sz w:val="22"/>
      <w:highlight w:val="white"/>
    </w:rPr>
  </w:style>
  <w:style w:styleId="Style_96_ch" w:type="character">
    <w:name w:val="WW8Num3z0"/>
    <w:link w:val="Style_96"/>
    <w:rPr>
      <w:b w:val="1"/>
      <w:spacing w:val="-1"/>
      <w:sz w:val="22"/>
      <w:highlight w:val="white"/>
    </w:rPr>
  </w:style>
  <w:style w:styleId="Style_97" w:type="paragraph">
    <w:name w:val="ListLabel 9"/>
    <w:link w:val="Style_97_ch"/>
    <w:rPr>
      <w:b w:val="0"/>
      <w:spacing w:val="-1"/>
      <w:sz w:val="22"/>
    </w:rPr>
  </w:style>
  <w:style w:styleId="Style_97_ch" w:type="character">
    <w:name w:val="ListLabel 9"/>
    <w:link w:val="Style_97"/>
    <w:rPr>
      <w:b w:val="0"/>
      <w:spacing w:val="-1"/>
      <w:sz w:val="22"/>
    </w:rPr>
  </w:style>
  <w:style w:styleId="Style_98" w:type="paragraph">
    <w:name w:val="WW8Num2z7"/>
    <w:link w:val="Style_98_ch"/>
  </w:style>
  <w:style w:styleId="Style_98_ch" w:type="character">
    <w:name w:val="WW8Num2z7"/>
    <w:link w:val="Style_98"/>
  </w:style>
  <w:style w:styleId="Style_99" w:type="paragraph">
    <w:name w:val="toc 5"/>
    <w:next w:val="Style_6"/>
    <w:link w:val="Style_99_ch"/>
    <w:uiPriority w:val="39"/>
    <w:pPr>
      <w:widowControl w:val="1"/>
      <w:ind w:firstLine="0" w:left="800"/>
      <w:jc w:val="left"/>
    </w:pPr>
    <w:rPr>
      <w:rFonts w:ascii="XO Thames" w:hAnsi="XO Thames"/>
      <w:sz w:val="28"/>
    </w:rPr>
  </w:style>
  <w:style w:styleId="Style_99_ch" w:type="character">
    <w:name w:val="toc 5"/>
    <w:link w:val="Style_99"/>
    <w:rPr>
      <w:rFonts w:ascii="XO Thames" w:hAnsi="XO Thames"/>
      <w:sz w:val="28"/>
    </w:rPr>
  </w:style>
  <w:style w:styleId="Style_100" w:type="paragraph">
    <w:name w:val="caption"/>
    <w:basedOn w:val="Style_6"/>
    <w:link w:val="Style_100_ch"/>
    <w:pPr>
      <w:widowControl w:val="1"/>
      <w:spacing w:after="120" w:before="120"/>
      <w:ind/>
    </w:pPr>
    <w:rPr>
      <w:i w:val="1"/>
      <w:sz w:val="24"/>
    </w:rPr>
  </w:style>
  <w:style w:styleId="Style_100_ch" w:type="character">
    <w:name w:val="caption"/>
    <w:basedOn w:val="Style_6_ch"/>
    <w:link w:val="Style_100"/>
    <w:rPr>
      <w:i w:val="1"/>
      <w:sz w:val="24"/>
    </w:rPr>
  </w:style>
  <w:style w:styleId="Style_101" w:type="paragraph">
    <w:name w:val="Название объекта4"/>
    <w:basedOn w:val="Style_6"/>
    <w:link w:val="Style_101_ch"/>
    <w:pPr>
      <w:widowControl w:val="1"/>
      <w:spacing w:after="120" w:before="120"/>
      <w:ind/>
    </w:pPr>
    <w:rPr>
      <w:i w:val="1"/>
      <w:sz w:val="24"/>
    </w:rPr>
  </w:style>
  <w:style w:styleId="Style_101_ch" w:type="character">
    <w:name w:val="Название объекта4"/>
    <w:basedOn w:val="Style_6_ch"/>
    <w:link w:val="Style_101"/>
    <w:rPr>
      <w:i w:val="1"/>
      <w:sz w:val="24"/>
    </w:rPr>
  </w:style>
  <w:style w:styleId="Style_102" w:type="paragraph">
    <w:name w:val="wmi-callto"/>
    <w:link w:val="Style_102_ch"/>
  </w:style>
  <w:style w:styleId="Style_102_ch" w:type="character">
    <w:name w:val="wmi-callto"/>
    <w:link w:val="Style_102"/>
  </w:style>
  <w:style w:styleId="Style_103" w:type="paragraph">
    <w:name w:val="Основной шрифт абзаца7"/>
    <w:link w:val="Style_103_ch"/>
  </w:style>
  <w:style w:styleId="Style_103_ch" w:type="character">
    <w:name w:val="Основной шрифт абзаца7"/>
    <w:link w:val="Style_103"/>
  </w:style>
  <w:style w:styleId="Style_104" w:type="paragraph">
    <w:name w:val="ListLabel 6"/>
    <w:link w:val="Style_104_ch"/>
    <w:rPr>
      <w:b w:val="0"/>
      <w:spacing w:val="-1"/>
      <w:sz w:val="22"/>
    </w:rPr>
  </w:style>
  <w:style w:styleId="Style_104_ch" w:type="character">
    <w:name w:val="ListLabel 6"/>
    <w:link w:val="Style_104"/>
    <w:rPr>
      <w:b w:val="0"/>
      <w:spacing w:val="-1"/>
      <w:sz w:val="22"/>
    </w:rPr>
  </w:style>
  <w:style w:styleId="Style_105" w:type="paragraph">
    <w:name w:val="WW8Num5z0"/>
    <w:link w:val="Style_105_ch"/>
    <w:rPr>
      <w:rFonts w:ascii="Times New Roman" w:hAnsi="Times New Roman"/>
    </w:rPr>
  </w:style>
  <w:style w:styleId="Style_105_ch" w:type="character">
    <w:name w:val="WW8Num5z0"/>
    <w:link w:val="Style_105"/>
    <w:rPr>
      <w:rFonts w:ascii="Times New Roman" w:hAnsi="Times New Roman"/>
    </w:rPr>
  </w:style>
  <w:style w:styleId="Style_106" w:type="paragraph">
    <w:name w:val="Заголовок таблицы"/>
    <w:basedOn w:val="Style_18"/>
    <w:link w:val="Style_106_ch"/>
    <w:pPr>
      <w:widowControl w:val="1"/>
      <w:ind/>
      <w:jc w:val="center"/>
    </w:pPr>
    <w:rPr>
      <w:b w:val="1"/>
    </w:rPr>
  </w:style>
  <w:style w:styleId="Style_106_ch" w:type="character">
    <w:name w:val="Заголовок таблицы"/>
    <w:basedOn w:val="Style_18_ch"/>
    <w:link w:val="Style_106"/>
    <w:rPr>
      <w:b w:val="1"/>
    </w:rPr>
  </w:style>
  <w:style w:styleId="Style_107" w:type="paragraph">
    <w:name w:val="Основной шрифт абзаца3"/>
    <w:link w:val="Style_107_ch"/>
  </w:style>
  <w:style w:styleId="Style_107_ch" w:type="character">
    <w:name w:val="Основной шрифт абзаца3"/>
    <w:link w:val="Style_107"/>
  </w:style>
  <w:style w:styleId="Style_108" w:type="paragraph">
    <w:name w:val="Интернет-ссылка"/>
    <w:link w:val="Style_108_ch"/>
    <w:rPr>
      <w:color w:val="000080"/>
      <w:u w:val="single"/>
    </w:rPr>
  </w:style>
  <w:style w:styleId="Style_108_ch" w:type="character">
    <w:name w:val="Интернет-ссылка"/>
    <w:link w:val="Style_108"/>
    <w:rPr>
      <w:color w:val="000080"/>
      <w:u w:val="single"/>
    </w:rPr>
  </w:style>
  <w:style w:styleId="Style_109" w:type="paragraph">
    <w:name w:val="Subtitle"/>
    <w:next w:val="Style_6"/>
    <w:link w:val="Style_109_ch"/>
    <w:uiPriority w:val="11"/>
    <w:qFormat/>
    <w:pPr>
      <w:widowControl w:val="1"/>
      <w:ind/>
      <w:jc w:val="both"/>
    </w:pPr>
    <w:rPr>
      <w:rFonts w:ascii="XO Thames" w:hAnsi="XO Thames"/>
      <w:i w:val="1"/>
      <w:sz w:val="24"/>
    </w:rPr>
  </w:style>
  <w:style w:styleId="Style_109_ch" w:type="character">
    <w:name w:val="Subtitle"/>
    <w:link w:val="Style_109"/>
    <w:rPr>
      <w:rFonts w:ascii="XO Thames" w:hAnsi="XO Thames"/>
      <w:i w:val="1"/>
      <w:sz w:val="24"/>
    </w:rPr>
  </w:style>
  <w:style w:styleId="Style_110" w:type="paragraph">
    <w:name w:val="WW8Num3z4"/>
    <w:link w:val="Style_110_ch"/>
  </w:style>
  <w:style w:styleId="Style_110_ch" w:type="character">
    <w:name w:val="WW8Num3z4"/>
    <w:link w:val="Style_110"/>
  </w:style>
  <w:style w:styleId="Style_111" w:type="paragraph">
    <w:name w:val="WW8Num7z0"/>
    <w:link w:val="Style_111_ch"/>
    <w:rPr>
      <w:rFonts w:ascii="Times New Roman" w:hAnsi="Times New Roman"/>
    </w:rPr>
  </w:style>
  <w:style w:styleId="Style_111_ch" w:type="character">
    <w:name w:val="WW8Num7z0"/>
    <w:link w:val="Style_111"/>
    <w:rPr>
      <w:rFonts w:ascii="Times New Roman" w:hAnsi="Times New Roman"/>
    </w:rPr>
  </w:style>
  <w:style w:styleId="Style_112" w:type="paragraph">
    <w:name w:val="WW8Num2z1"/>
    <w:link w:val="Style_112_ch"/>
  </w:style>
  <w:style w:styleId="Style_112_ch" w:type="character">
    <w:name w:val="WW8Num2z1"/>
    <w:link w:val="Style_112"/>
  </w:style>
  <w:style w:styleId="Style_113" w:type="paragraph">
    <w:name w:val="WW8Num1z5"/>
    <w:link w:val="Style_113_ch"/>
  </w:style>
  <w:style w:styleId="Style_113_ch" w:type="character">
    <w:name w:val="WW8Num1z5"/>
    <w:link w:val="Style_113"/>
  </w:style>
  <w:style w:styleId="Style_114" w:type="paragraph">
    <w:name w:val="WW8Num2z2"/>
    <w:link w:val="Style_114_ch"/>
  </w:style>
  <w:style w:styleId="Style_114_ch" w:type="character">
    <w:name w:val="WW8Num2z2"/>
    <w:link w:val="Style_114"/>
  </w:style>
  <w:style w:styleId="Style_115" w:type="paragraph">
    <w:name w:val="Title"/>
    <w:next w:val="Style_6"/>
    <w:link w:val="Style_115_ch"/>
    <w:uiPriority w:val="10"/>
    <w:qFormat/>
    <w:pPr>
      <w:widowControl w:val="1"/>
      <w:spacing w:after="567" w:before="567"/>
      <w:ind/>
      <w:jc w:val="center"/>
    </w:pPr>
    <w:rPr>
      <w:rFonts w:ascii="XO Thames" w:hAnsi="XO Thames"/>
      <w:b w:val="1"/>
      <w:caps w:val="1"/>
      <w:sz w:val="40"/>
    </w:rPr>
  </w:style>
  <w:style w:styleId="Style_115_ch" w:type="character">
    <w:name w:val="Title"/>
    <w:link w:val="Style_115"/>
    <w:rPr>
      <w:rFonts w:ascii="XO Thames" w:hAnsi="XO Thames"/>
      <w:b w:val="1"/>
      <w:caps w:val="1"/>
      <w:sz w:val="40"/>
    </w:rPr>
  </w:style>
  <w:style w:styleId="Style_116" w:type="paragraph">
    <w:name w:val="Верхний колонтитул Знак"/>
    <w:link w:val="Style_116_ch"/>
  </w:style>
  <w:style w:styleId="Style_116_ch" w:type="character">
    <w:name w:val="Верхний колонтитул Знак"/>
    <w:link w:val="Style_116"/>
  </w:style>
  <w:style w:styleId="Style_117" w:type="paragraph">
    <w:name w:val="Основной шрифт абзаца8"/>
    <w:link w:val="Style_117_ch"/>
  </w:style>
  <w:style w:styleId="Style_117_ch" w:type="character">
    <w:name w:val="Основной шрифт абзаца8"/>
    <w:link w:val="Style_117"/>
  </w:style>
  <w:style w:styleId="Style_118" w:type="paragraph">
    <w:name w:val="heading 4"/>
    <w:next w:val="Style_6"/>
    <w:link w:val="Style_118_ch"/>
    <w:uiPriority w:val="9"/>
    <w:qFormat/>
    <w:pPr>
      <w:widowControl w:val="1"/>
      <w:spacing w:after="120" w:before="120"/>
      <w:ind/>
      <w:jc w:val="both"/>
      <w:outlineLvl w:val="3"/>
    </w:pPr>
    <w:rPr>
      <w:rFonts w:ascii="XO Thames" w:hAnsi="XO Thames"/>
      <w:b w:val="1"/>
      <w:sz w:val="24"/>
    </w:rPr>
  </w:style>
  <w:style w:styleId="Style_118_ch" w:type="character">
    <w:name w:val="heading 4"/>
    <w:link w:val="Style_118"/>
    <w:rPr>
      <w:rFonts w:ascii="XO Thames" w:hAnsi="XO Thames"/>
      <w:b w:val="1"/>
      <w:sz w:val="24"/>
    </w:rPr>
  </w:style>
  <w:style w:styleId="Style_119" w:type="paragraph">
    <w:name w:val="WW8Num3z6"/>
    <w:link w:val="Style_119_ch"/>
  </w:style>
  <w:style w:styleId="Style_119_ch" w:type="character">
    <w:name w:val="WW8Num3z6"/>
    <w:link w:val="Style_119"/>
  </w:style>
  <w:style w:styleId="Style_120" w:type="paragraph">
    <w:name w:val="heading 2"/>
    <w:next w:val="Style_6"/>
    <w:link w:val="Style_120_ch"/>
    <w:uiPriority w:val="9"/>
    <w:qFormat/>
    <w:pPr>
      <w:widowControl w:val="1"/>
      <w:spacing w:after="120" w:before="120"/>
      <w:ind/>
      <w:jc w:val="both"/>
      <w:outlineLvl w:val="1"/>
    </w:pPr>
    <w:rPr>
      <w:rFonts w:ascii="XO Thames" w:hAnsi="XO Thames"/>
      <w:b w:val="1"/>
      <w:sz w:val="28"/>
    </w:rPr>
  </w:style>
  <w:style w:styleId="Style_120_ch" w:type="character">
    <w:name w:val="heading 2"/>
    <w:link w:val="Style_120"/>
    <w:rPr>
      <w:rFonts w:ascii="XO Thames" w:hAnsi="XO Thames"/>
      <w:b w:val="1"/>
      <w:sz w:val="28"/>
    </w:rPr>
  </w:style>
  <w:style w:styleId="Style_121" w:type="paragraph">
    <w:name w:val="No Spacing"/>
    <w:link w:val="Style_121_ch"/>
    <w:pPr>
      <w:widowControl w:val="1"/>
      <w:spacing w:line="100" w:lineRule="atLeast"/>
      <w:ind/>
    </w:pPr>
    <w:rPr>
      <w:rFonts w:ascii="Calibri" w:hAnsi="Calibri"/>
      <w:color w:val="00000A"/>
      <w:sz w:val="24"/>
    </w:rPr>
  </w:style>
  <w:style w:styleId="Style_121_ch" w:type="character">
    <w:name w:val="No Spacing"/>
    <w:link w:val="Style_121"/>
    <w:rPr>
      <w:rFonts w:ascii="Calibri" w:hAnsi="Calibri"/>
      <w:color w:val="00000A"/>
      <w:sz w:val="24"/>
    </w:rPr>
  </w:style>
  <w:style w:default="1" w:styleId="Style_5" w:type="table">
    <w:name w:val="Normal Table"/>
    <w:tblPr>
      <w:tblInd w:type="dxa" w:w="0"/>
      <w:tblCellMar>
        <w:top w:type="dxa" w:w="0"/>
        <w:left w:type="dxa" w:w="108"/>
        <w:bottom w:type="dxa" w:w="0"/>
        <w:right w:type="dxa" w:w="108"/>
      </w:tblCellMar>
    </w:tblPr>
  </w:style>
  <w:style w:styleId="Style_122" w:type="table">
    <w:name w:val="Table Grid"/>
    <w:basedOn w:val="Style_5"/>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header3.xml" Type="http://schemas.openxmlformats.org/officeDocument/2006/relationships/header"/>
  <Relationship Id="rId11" Target="header11.xml" Type="http://schemas.openxmlformats.org/officeDocument/2006/relationships/header"/>
  <Relationship Id="rId8" Target="footer8.xml" Type="http://schemas.openxmlformats.org/officeDocument/2006/relationships/footer"/>
  <Relationship Id="rId18" Target="theme/theme1.xml" Type="http://schemas.openxmlformats.org/officeDocument/2006/relationships/theme"/>
  <Relationship Id="rId16" Target="stylesWithEffects.xml" Type="http://schemas.microsoft.com/office/2007/relationships/stylesWithEffects"/>
  <Relationship Id="rId5" Target="header5.xml" Type="http://schemas.openxmlformats.org/officeDocument/2006/relationships/header"/>
  <Relationship Id="rId12" Target="footer12.xml" Type="http://schemas.openxmlformats.org/officeDocument/2006/relationships/footer"/>
  <Relationship Id="rId17" Target="webSettings.xml" Type="http://schemas.openxmlformats.org/officeDocument/2006/relationships/webSettings"/>
  <Relationship Id="rId4" Target="footer4.xml" Type="http://schemas.openxmlformats.org/officeDocument/2006/relationships/footer"/>
  <Relationship Id="rId10" Target="footer10.xml" Type="http://schemas.openxmlformats.org/officeDocument/2006/relationships/footer"/>
  <Relationship Id="rId19" Target="numbering.xml" Type="http://schemas.openxmlformats.org/officeDocument/2006/relationships/numbering"/>
  <Relationship Id="rId6" Target="footer6.xml" Type="http://schemas.openxmlformats.org/officeDocument/2006/relationships/footer"/>
  <Relationship Id="rId2" Target="footer2.xml" Type="http://schemas.openxmlformats.org/officeDocument/2006/relationships/footer"/>
  <Relationship Id="rId1" Target="header1.xml" Type="http://schemas.openxmlformats.org/officeDocument/2006/relationships/header"/>
  <Relationship Id="rId14" Target="settings.xml" Type="http://schemas.openxmlformats.org/officeDocument/2006/relationships/settings"/>
  <Relationship Id="rId15" Target="styles.xml" Type="http://schemas.openxmlformats.org/officeDocument/2006/relationships/styles"/>
  <Relationship Id="rId9" Target="header9.xml" Type="http://schemas.openxmlformats.org/officeDocument/2006/relationships/header"/>
  <Relationship Id="rId7" Target="header7.xml" Type="http://schemas.openxmlformats.org/officeDocument/2006/relationships/header"/>
  <Relationship Id="rId13"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2026-08-19T06:34:12Z</dcterms:created>
  <dcterms:modified xsi:type="dcterms:W3CDTF">2026-08-19T12:55:59Z</dcterms:modified>
</cp:coreProperties>
</file>