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left="0"/>
        <w:contextualSpacing/>
        <w:jc w:val="right"/>
        <w:rPr>
          <w:b w:val="false"/>
          <w:bCs w:val="false"/>
        </w:rPr>
      </w:pPr>
      <w:r>
        <w:rPr>
          <w:rFonts w:ascii="Times New Roman" w:hAnsi="Times New Roman"/>
          <w:b w:val="false"/>
          <w:bCs w:val="false"/>
          <w:sz w:val="24"/>
          <w:szCs w:val="24"/>
        </w:rPr>
        <w:t>Проект</w:t>
      </w:r>
    </w:p>
    <w:p>
      <w:pPr>
        <w:pStyle w:val="Heading1"/>
        <w:spacing w:before="0" w:after="0"/>
        <w:ind w:hanging="0" w:left="0"/>
        <w:contextualSpacing/>
        <w:jc w:val="center"/>
        <w:rPr>
          <w:rFonts w:ascii="Times New Roman" w:hAnsi="Times New Roman"/>
          <w:sz w:val="24"/>
          <w:szCs w:val="24"/>
        </w:rPr>
      </w:pPr>
      <w:r>
        <w:rPr>
          <w:rFonts w:ascii="Times New Roman" w:hAnsi="Times New Roman"/>
          <w:sz w:val="24"/>
          <w:szCs w:val="24"/>
        </w:rPr>
      </w:r>
    </w:p>
    <w:p>
      <w:pPr>
        <w:pStyle w:val="Heading1"/>
        <w:spacing w:lineRule="auto" w:line="240" w:before="0" w:after="0"/>
        <w:ind w:hanging="0" w:left="0"/>
        <w:contextualSpacing/>
        <w:jc w:val="center"/>
        <w:rPr>
          <w:rFonts w:ascii="PT Astra Serif" w:hAnsi="PT Astra Serif"/>
          <w:sz w:val="24"/>
          <w:szCs w:val="24"/>
        </w:rPr>
      </w:pPr>
      <w:r>
        <w:rPr>
          <w:rFonts w:ascii="PT Astra Serif" w:hAnsi="PT Astra Serif"/>
          <w:sz w:val="24"/>
          <w:szCs w:val="24"/>
        </w:rPr>
      </w:r>
    </w:p>
    <w:p>
      <w:pPr>
        <w:pStyle w:val="Heading1"/>
        <w:spacing w:lineRule="auto" w:line="240" w:before="0" w:after="0"/>
        <w:ind w:hanging="0" w:left="0"/>
        <w:contextualSpacing/>
        <w:jc w:val="center"/>
        <w:rPr>
          <w:rFonts w:ascii="PT Astra Serif" w:hAnsi="PT Astra Serif"/>
          <w:sz w:val="24"/>
          <w:szCs w:val="24"/>
        </w:rPr>
      </w:pPr>
      <w:r>
        <w:rPr>
          <w:rFonts w:ascii="PT Astra Serif" w:hAnsi="PT Astra Serif"/>
          <w:sz w:val="24"/>
          <w:szCs w:val="24"/>
        </w:rPr>
        <w:t>Государственный контракт № _______________</w:t>
      </w:r>
    </w:p>
    <w:p>
      <w:pPr>
        <w:pStyle w:val="Heading1"/>
        <w:spacing w:lineRule="auto" w:line="240" w:before="0" w:after="0"/>
        <w:ind w:hanging="0" w:left="0"/>
        <w:contextualSpacing/>
        <w:jc w:val="center"/>
        <w:rPr>
          <w:rFonts w:ascii="PT Astra Serif" w:hAnsi="PT Astra Serif"/>
          <w:sz w:val="24"/>
          <w:szCs w:val="24"/>
        </w:rPr>
      </w:pPr>
      <w:r>
        <w:rPr>
          <w:rFonts w:eastAsia="Times New Roman" w:cs="Times New Roman" w:ascii="PT Astra Serif" w:hAnsi="PT Astra Serif"/>
          <w:b/>
          <w:sz w:val="24"/>
          <w:szCs w:val="24"/>
          <w:lang w:eastAsia="ru-RU"/>
        </w:rPr>
        <w:t>на оказание услуг беспроводной (подвижной) связи</w:t>
      </w:r>
    </w:p>
    <w:p>
      <w:pPr>
        <w:pStyle w:val="Normal"/>
        <w:spacing w:lineRule="auto" w:line="240" w:before="0" w:after="0"/>
        <w:contextualSpacing/>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contextualSpacing/>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jc w:val="center"/>
        <w:rPr>
          <w:rFonts w:ascii="PT Astra Serif" w:hAnsi="PT Astra Serif"/>
          <w:b w:val="false"/>
          <w:bCs w:val="false"/>
          <w:sz w:val="24"/>
          <w:szCs w:val="24"/>
        </w:rPr>
      </w:pPr>
      <w:r>
        <w:rPr>
          <w:rFonts w:ascii="PT Astra Serif" w:hAnsi="PT Astra Serif"/>
          <w:b w:val="false"/>
          <w:bCs w:val="false"/>
          <w:sz w:val="24"/>
          <w:szCs w:val="24"/>
        </w:rPr>
        <w:t xml:space="preserve">Идентификационный код закупки № </w:t>
      </w:r>
      <w:r>
        <w:rPr>
          <w:rFonts w:eastAsia="PT Astra Serif" w:cs="PT Astra Serif" w:ascii="PT Astra Serif" w:hAnsi="PT Astra Serif"/>
          <w:b w:val="false"/>
          <w:bCs w:val="false"/>
          <w:i w:val="false"/>
          <w:caps w:val="false"/>
          <w:smallCaps w:val="false"/>
          <w:color w:val="000000"/>
          <w:spacing w:val="0"/>
          <w:sz w:val="24"/>
          <w:szCs w:val="24"/>
          <w:shd w:fill="FAFAFA" w:val="clear"/>
        </w:rPr>
        <w:t>261410109909641010100100100000000244</w:t>
      </w:r>
    </w:p>
    <w:p>
      <w:pPr>
        <w:pStyle w:val="Normal"/>
        <w:spacing w:lineRule="auto" w:line="240"/>
        <w:jc w:val="center"/>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 xml:space="preserve">г. </w:t>
      </w:r>
      <w:r>
        <w:rPr>
          <w:rFonts w:cs="Times New Roman" w:ascii="PT Astra Serif" w:hAnsi="PT Astra Serif"/>
          <w:sz w:val="24"/>
          <w:szCs w:val="24"/>
        </w:rPr>
        <w:t>Петропавловск-Камчатский</w:t>
      </w:r>
      <w:r>
        <w:rPr>
          <w:rFonts w:eastAsia="Times New Roman" w:cs="Times New Roman" w:ascii="PT Astra Serif" w:hAnsi="PT Astra Serif"/>
          <w:sz w:val="24"/>
          <w:szCs w:val="24"/>
          <w:lang w:eastAsia="ru-RU"/>
        </w:rPr>
        <w:t xml:space="preserve">                                                                     «___» ________ 2026 года</w:t>
      </w:r>
    </w:p>
    <w:p>
      <w:pPr>
        <w:pStyle w:val="Normal"/>
        <w:spacing w:lineRule="auto" w:line="240" w:before="0" w:after="0"/>
        <w:jc w:val="right"/>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hanging="0"/>
        <w:jc w:val="both"/>
        <w:rPr>
          <w:rFonts w:ascii="PT Astra Serif" w:hAnsi="PT Astra Serif"/>
          <w:sz w:val="24"/>
          <w:szCs w:val="24"/>
        </w:rPr>
      </w:pPr>
      <w:r>
        <w:rPr>
          <w:rFonts w:eastAsia="Times New Roman" w:cs="Times New Roman" w:ascii="PT Astra Serif" w:hAnsi="PT Astra Serif"/>
          <w:b/>
          <w:sz w:val="24"/>
          <w:szCs w:val="24"/>
          <w:lang w:eastAsia="ru-RU"/>
        </w:rPr>
        <w:tab/>
        <w:t>Управление Федеральной службы государственной регистрации, кадастра и картографии по Камчатскому краю (далее – Управление),</w:t>
      </w:r>
      <w:r>
        <w:rPr>
          <w:rFonts w:eastAsia="Times New Roman" w:cs="Times New Roman" w:ascii="PT Astra Serif" w:hAnsi="PT Astra Serif"/>
          <w:sz w:val="24"/>
          <w:szCs w:val="24"/>
          <w:lang w:eastAsia="ru-RU"/>
        </w:rPr>
        <w:t xml:space="preserve"> именуемое в дальнейшем «Заказчик», в лице руководителя Управления Маслова Юрия Николаевича, действующего на основании Положения об Управлении, утвержденного Приказом Росреестра от </w:t>
      </w:r>
      <w:r>
        <w:rPr>
          <w:rFonts w:ascii="PT Astra Serif" w:hAnsi="PT Astra Serif"/>
          <w:color w:val="000000"/>
          <w:sz w:val="24"/>
          <w:szCs w:val="24"/>
        </w:rPr>
        <w:t xml:space="preserve">06.04.2023 </w:t>
        <w:br/>
        <w:t>№ П/0117 и Приказа Росреестра от 19.12.2025 № 276-к</w:t>
      </w:r>
      <w:r>
        <w:rPr>
          <w:rFonts w:eastAsia="Times New Roman" w:cs="Times New Roman" w:ascii="PT Astra Serif" w:hAnsi="PT Astra Serif"/>
          <w:sz w:val="24"/>
          <w:szCs w:val="24"/>
          <w:lang w:eastAsia="ru-RU"/>
        </w:rPr>
        <w:t>, с одной стороны, и ____________________________________</w:t>
      </w:r>
      <w:r>
        <w:rPr>
          <w:rFonts w:eastAsia="Times New Roman" w:cs="Times New Roman" w:ascii="PT Astra Serif" w:hAnsi="PT Astra Serif"/>
          <w:b/>
          <w:sz w:val="24"/>
          <w:szCs w:val="24"/>
          <w:lang w:eastAsia="ru-RU"/>
        </w:rPr>
        <w:t>,</w:t>
      </w:r>
      <w:r>
        <w:rPr>
          <w:rFonts w:eastAsia="Times New Roman" w:cs="Times New Roman" w:ascii="PT Astra Serif" w:hAnsi="PT Astra Serif"/>
          <w:sz w:val="24"/>
          <w:szCs w:val="24"/>
          <w:lang w:eastAsia="ru-RU"/>
        </w:rPr>
        <w:t xml:space="preserve"> именуемое в дальнейшем «Исполнитель», </w:t>
      </w:r>
      <w:r>
        <w:rPr>
          <w:rFonts w:eastAsia="Times New Roman" w:cs="Times New Roman" w:ascii="PT Astra Serif" w:hAnsi="PT Astra Serif"/>
          <w:color w:val="auto"/>
          <w:kern w:val="0"/>
          <w:sz w:val="24"/>
          <w:szCs w:val="24"/>
          <w:lang w:val="ru-RU" w:eastAsia="ru-RU" w:bidi="ar-SA"/>
        </w:rPr>
        <w:t>в лице _______________________________________________, действующего на основании ___________________________________, с другой стороны, совместно именуемые «Стороны», руководствуясь Гражданским кодекс</w:t>
      </w:r>
      <w:r>
        <w:rPr>
          <w:rFonts w:eastAsia="Times New Roman" w:cs="Times New Roman" w:ascii="PT Astra Serif" w:hAnsi="PT Astra Serif"/>
          <w:sz w:val="24"/>
          <w:szCs w:val="24"/>
          <w:lang w:eastAsia="ru-RU"/>
        </w:rPr>
        <w:t>ом Российской Федерации, Бюджетным кодексом Российской Федерации, в соответствии с п.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 о нижеследующем:</w:t>
      </w:r>
    </w:p>
    <w:p>
      <w:pPr>
        <w:pStyle w:val="Normal"/>
        <w:spacing w:lineRule="auto" w:line="240" w:before="0" w:after="0"/>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ListParagraph"/>
        <w:numPr>
          <w:ilvl w:val="0"/>
          <w:numId w:val="5"/>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Предмет Контракта</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1.1. Исполнитель обязуется исполнить, а Заказчик обязуется принять и оплатить в соответствии с условиями настоящего Контракта услуги беспроводной (подвижной) связи (далее – Услуги) для Управления в соответствии с Техническим заданием</w:t>
      </w:r>
      <w:r>
        <w:rPr>
          <w:rFonts w:eastAsia="Times New Roman" w:cs="Times New Roman CYR" w:ascii="PT Astra Serif" w:hAnsi="PT Astra Serif"/>
          <w:b/>
          <w:sz w:val="24"/>
          <w:szCs w:val="24"/>
          <w:lang w:eastAsia="ru-RU"/>
        </w:rPr>
        <w:t>.</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bCs/>
          <w:sz w:val="24"/>
          <w:szCs w:val="24"/>
          <w:lang w:eastAsia="ru-RU"/>
        </w:rPr>
        <w:t>1.2. Количество, характеристики, и качество Услуг указываются в Техническом задании, являющейся неотъемлемой частью настоящего Контракта (Приложение № 1).</w:t>
      </w:r>
    </w:p>
    <w:p>
      <w:pPr>
        <w:pStyle w:val="Normal"/>
        <w:spacing w:lineRule="auto" w:line="240" w:before="0" w:after="0"/>
        <w:ind w:firstLine="709"/>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ListParagraph"/>
        <w:numPr>
          <w:ilvl w:val="0"/>
          <w:numId w:val="5"/>
        </w:numPr>
        <w:spacing w:lineRule="auto" w:line="240" w:before="0" w:after="0"/>
        <w:contextualSpacing/>
        <w:jc w:val="center"/>
        <w:rPr>
          <w:rFonts w:ascii="PT Astra Serif" w:hAnsi="PT Astra Serif"/>
          <w:sz w:val="24"/>
          <w:szCs w:val="24"/>
        </w:rPr>
      </w:pPr>
      <w:r>
        <w:rPr>
          <w:rFonts w:eastAsia="Times New Roman" w:ascii="PT Astra Serif" w:hAnsi="PT Astra Serif"/>
          <w:bCs/>
          <w:sz w:val="24"/>
          <w:szCs w:val="24"/>
          <w:lang w:eastAsia="ru-RU"/>
        </w:rPr>
        <w:t>Цена и порядок расчётов</w:t>
      </w:r>
    </w:p>
    <w:p>
      <w:pPr>
        <w:pStyle w:val="Normal"/>
        <w:widowControl w:val="false"/>
        <w:suppressAutoHyphens w:val="true"/>
        <w:spacing w:lineRule="auto" w:line="240" w:before="0" w:after="0"/>
        <w:ind w:firstLine="709"/>
        <w:jc w:val="both"/>
        <w:rPr>
          <w:rFonts w:ascii="PT Astra Serif" w:hAnsi="PT Astra Serif"/>
          <w:sz w:val="24"/>
          <w:szCs w:val="24"/>
        </w:rPr>
      </w:pPr>
      <w:r>
        <w:rPr>
          <w:rFonts w:eastAsia="Times New Roman" w:cs="Times New Roman" w:ascii="PT Astra Serif" w:hAnsi="PT Astra Serif"/>
          <w:bCs/>
          <w:sz w:val="24"/>
          <w:szCs w:val="24"/>
          <w:lang w:eastAsia="ru-RU"/>
        </w:rPr>
        <w:t xml:space="preserve"> </w:t>
      </w:r>
      <w:r>
        <w:rPr>
          <w:rFonts w:eastAsia="Times New Roman" w:cs="Times New Roman" w:ascii="PT Astra Serif" w:hAnsi="PT Astra Serif"/>
          <w:bCs/>
          <w:sz w:val="24"/>
          <w:szCs w:val="24"/>
          <w:lang w:eastAsia="ru-RU"/>
        </w:rPr>
        <w:t xml:space="preserve">2.1. Цена Контракта составляет </w:t>
      </w:r>
      <w:r>
        <w:rPr>
          <w:rFonts w:eastAsia="Times New Roman" w:cs="Times New Roman" w:ascii="PT Astra Serif" w:hAnsi="PT Astra Serif"/>
          <w:b/>
          <w:bCs/>
          <w:sz w:val="24"/>
          <w:szCs w:val="24"/>
          <w:lang w:eastAsia="ru-RU"/>
        </w:rPr>
        <w:t>____________</w:t>
      </w:r>
      <w:r>
        <w:rPr>
          <w:rFonts w:eastAsia="Lucida Sans Unicode" w:cs="Tahoma" w:ascii="PT Astra Serif" w:hAnsi="PT Astra Serif"/>
          <w:b/>
          <w:bCs/>
          <w:color w:val="000000"/>
          <w:sz w:val="24"/>
          <w:szCs w:val="24"/>
          <w:lang w:bidi="en-US"/>
        </w:rPr>
        <w:t xml:space="preserve"> </w:t>
      </w:r>
      <w:r>
        <w:rPr>
          <w:rFonts w:eastAsia="Lucida Sans Unicode" w:cs="Tahoma" w:ascii="PT Astra Serif" w:hAnsi="PT Astra Serif"/>
          <w:b/>
          <w:color w:val="000000"/>
          <w:sz w:val="24"/>
          <w:szCs w:val="24"/>
          <w:lang w:bidi="en-US"/>
        </w:rPr>
        <w:t>(_____________________) рублей ___ копеек</w:t>
      </w:r>
      <w:r>
        <w:rPr>
          <w:rFonts w:eastAsia="Times New Roman" w:cs="Times New Roman" w:ascii="PT Astra Serif" w:hAnsi="PT Astra Serif"/>
          <w:b/>
          <w:bCs/>
          <w:sz w:val="24"/>
          <w:szCs w:val="24"/>
          <w:lang w:eastAsia="ru-RU"/>
        </w:rPr>
        <w:t>, в том числе НДС (__%) – _____________ (________________) рублей ___ копеек.</w:t>
      </w:r>
    </w:p>
    <w:p>
      <w:pPr>
        <w:pStyle w:val="Normal"/>
        <w:widowControl w:val="false"/>
        <w:suppressAutoHyphens w:val="true"/>
        <w:spacing w:lineRule="auto" w:line="240" w:before="0" w:after="0"/>
        <w:ind w:firstLine="709"/>
        <w:jc w:val="both"/>
        <w:rPr/>
      </w:pPr>
      <w:r>
        <w:rPr>
          <w:rFonts w:eastAsia="Times New Roman" w:cs="Times New Roman" w:ascii="PT Astra Serif" w:hAnsi="PT Astra Serif"/>
          <w:bCs/>
          <w:sz w:val="24"/>
          <w:szCs w:val="24"/>
          <w:lang w:eastAsia="ru-RU"/>
        </w:rPr>
        <w:t xml:space="preserve">Цена Контракта является твердой и изменению не подлежит за исключением случаев, </w:t>
      </w:r>
      <w:r>
        <w:rPr>
          <w:rFonts w:eastAsia="Lucida Sans Unicode" w:cs="Tahoma" w:ascii="PT Astra Serif" w:hAnsi="PT Astra Serif"/>
          <w:color w:val="000000"/>
          <w:sz w:val="24"/>
          <w:szCs w:val="24"/>
          <w:lang w:bidi="en-US"/>
        </w:rPr>
        <w:t xml:space="preserve">установленных </w:t>
      </w:r>
      <w:hyperlink r:id="rId2">
        <w:r>
          <w:rPr>
            <w:rStyle w:val="Style"/>
            <w:rFonts w:eastAsia="Lucida Sans Unicode" w:cs="Tahoma" w:ascii="PT Astra Serif" w:hAnsi="PT Astra Serif"/>
            <w:color w:val="000000"/>
            <w:sz w:val="24"/>
            <w:szCs w:val="24"/>
            <w:lang w:bidi="en-US"/>
          </w:rPr>
          <w:t xml:space="preserve">статьей </w:t>
        </w:r>
      </w:hyperlink>
      <w:r>
        <w:rPr>
          <w:rFonts w:eastAsia="Lucida Sans Unicode" w:cs="Tahoma" w:ascii="PT Astra Serif" w:hAnsi="PT Astra Serif"/>
          <w:color w:val="000000"/>
          <w:sz w:val="24"/>
          <w:szCs w:val="24"/>
          <w:lang w:bidi="en-US"/>
        </w:rPr>
        <w:t xml:space="preserve">95 Федерального закона. </w:t>
      </w:r>
      <w:r>
        <w:rPr>
          <w:rFonts w:eastAsia="Times New Roman" w:cs="Times New Roman" w:ascii="PT Astra Serif" w:hAnsi="PT Astra Serif"/>
          <w:bCs/>
          <w:sz w:val="24"/>
          <w:szCs w:val="24"/>
          <w:lang w:eastAsia="ru-RU"/>
        </w:rPr>
        <w:t xml:space="preserve">Цена Контракта </w:t>
      </w:r>
      <w:r>
        <w:rPr>
          <w:rFonts w:eastAsia="Lucida Sans Unicode" w:cs="Tahoma" w:ascii="PT Astra Serif" w:hAnsi="PT Astra Serif"/>
          <w:color w:val="000000"/>
          <w:sz w:val="24"/>
          <w:szCs w:val="24"/>
          <w:lang w:bidi="en-US"/>
        </w:rPr>
        <w:t xml:space="preserve">включает в себя все расходы Исполнителя, связанные с исполнением настоящего Контракта, в том числе расходы на оказание Услуг,  страхование, уплату налогов, сборов и других обязательных платежей, </w:t>
      </w:r>
      <w:r>
        <w:rPr>
          <w:rFonts w:eastAsia="Times New Roman" w:cs="Times New Roman" w:ascii="PT Astra Serif" w:hAnsi="PT Astra Serif"/>
          <w:bCs/>
          <w:sz w:val="24"/>
          <w:szCs w:val="24"/>
          <w:lang w:eastAsia="ru-RU"/>
        </w:rPr>
        <w:t xml:space="preserve">установленных действующим законодательством. </w:t>
      </w:r>
    </w:p>
    <w:p>
      <w:pPr>
        <w:pStyle w:val="Normal"/>
        <w:spacing w:lineRule="auto" w:line="240" w:before="0" w:after="0"/>
        <w:ind w:firstLine="567" w:left="142"/>
        <w:jc w:val="both"/>
        <w:rPr>
          <w:rFonts w:ascii="PT Astra Serif" w:hAnsi="PT Astra Serif"/>
          <w:sz w:val="24"/>
          <w:szCs w:val="24"/>
        </w:rPr>
      </w:pPr>
      <w:r>
        <w:rPr>
          <w:rFonts w:eastAsia="Times New Roman" w:cs="Times New Roman" w:ascii="PT Astra Serif" w:hAnsi="PT Astra Serif"/>
          <w:sz w:val="24"/>
          <w:szCs w:val="24"/>
          <w:lang w:eastAsia="ru-RU"/>
        </w:rPr>
        <w:t>2.2. Оплата за оказанные Услуги осуществляется в безналичной форме путём перечисления денежных средств на расчётный счёт Исполнителя, в течение 7 (семи) рабочих дней со дня подписания (приемки, включая проведение экспертизы) Заказчиком акта сдачи-приемки оказанных услуг на основании предоставленных счета и счета-фактуры.</w:t>
      </w:r>
    </w:p>
    <w:p>
      <w:pPr>
        <w:pStyle w:val="Normal"/>
        <w:spacing w:lineRule="auto" w:line="240" w:before="0" w:after="0"/>
        <w:ind w:firstLine="567" w:left="142"/>
        <w:jc w:val="both"/>
        <w:rPr>
          <w:rFonts w:ascii="PT Astra Serif" w:hAnsi="PT Astra Serif"/>
          <w:sz w:val="24"/>
          <w:szCs w:val="24"/>
        </w:rPr>
      </w:pPr>
      <w:r>
        <w:rPr>
          <w:rFonts w:eastAsia="Times New Roman" w:cs="Times New Roman" w:ascii="PT Astra Serif" w:hAnsi="PT Astra Serif"/>
          <w:sz w:val="24"/>
          <w:szCs w:val="24"/>
          <w:lang w:eastAsia="ru-RU"/>
        </w:rPr>
        <w:t>2.3. Оплата услуг за декабрь осуществляется путем внесения авансового платежа в размере, не превышающем разницу цены контракта и суммы оплаченных услуг в 2026 году, на основании выставленного счета. По окончании оказания услуг за декабрь Исполнитель направляет в адрес Заказчика акт сдачи-приемки оказанных услуг и счет-фактуру.</w:t>
      </w:r>
    </w:p>
    <w:p>
      <w:pPr>
        <w:pStyle w:val="Normal"/>
        <w:spacing w:lineRule="auto" w:line="240" w:before="0" w:after="0"/>
        <w:ind w:firstLine="567" w:left="142"/>
        <w:jc w:val="both"/>
        <w:rPr>
          <w:rFonts w:ascii="PT Astra Serif" w:hAnsi="PT Astra Serif"/>
          <w:sz w:val="24"/>
          <w:szCs w:val="24"/>
        </w:rPr>
      </w:pPr>
      <w:r>
        <w:rPr>
          <w:rFonts w:eastAsia="Times New Roman" w:cs="Times New Roman" w:ascii="PT Astra Serif" w:hAnsi="PT Astra Serif"/>
          <w:sz w:val="24"/>
          <w:szCs w:val="24"/>
          <w:lang w:eastAsia="ru-RU"/>
        </w:rPr>
        <w:t xml:space="preserve">2.4. </w:t>
      </w:r>
      <w:r>
        <w:rPr>
          <w:rFonts w:eastAsia="Times New Roman" w:cs="Times New Roman" w:ascii="PT Astra Serif" w:hAnsi="PT Astra Serif"/>
          <w:b/>
          <w:bCs/>
          <w:sz w:val="24"/>
          <w:szCs w:val="24"/>
          <w:lang w:eastAsia="ru-RU"/>
        </w:rPr>
        <w:t xml:space="preserve">Источник финансирования: </w:t>
      </w:r>
      <w:r>
        <w:rPr>
          <w:rFonts w:eastAsia="PT Astra Serif" w:cs="PT Astra Serif" w:ascii="PT Astra Serif" w:hAnsi="PT Astra Serif"/>
          <w:b/>
          <w:bCs/>
          <w:sz w:val="24"/>
          <w:szCs w:val="24"/>
          <w:lang w:eastAsia="ru-RU"/>
        </w:rPr>
        <w:t>средства федерального бюджета, предусмотренные сметой расходов на 2026 год</w:t>
      </w:r>
      <w:r>
        <w:rPr>
          <w:rFonts w:eastAsia="Times New Roman" w:cs="Times New Roman" w:ascii="PT Astra Serif" w:hAnsi="PT Astra Serif"/>
          <w:b/>
          <w:bCs/>
          <w:sz w:val="24"/>
          <w:szCs w:val="24"/>
          <w:lang w:eastAsia="ru-RU"/>
        </w:rPr>
        <w:t>. КБК 32104125440190020242.</w:t>
      </w:r>
    </w:p>
    <w:p>
      <w:pPr>
        <w:pStyle w:val="Normal"/>
        <w:spacing w:lineRule="auto" w:line="240" w:before="0" w:after="0"/>
        <w:ind w:firstLine="567" w:left="142"/>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ListParagraph"/>
        <w:numPr>
          <w:ilvl w:val="0"/>
          <w:numId w:val="5"/>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Срок и место оказания Услуг</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 xml:space="preserve">3.1. Услуги выполняется силами и средствами Исполнителя </w:t>
      </w:r>
      <w:r>
        <w:rPr>
          <w:rFonts w:eastAsia="Times New Roman" w:cs="Times New Roman" w:ascii="PT Astra Serif" w:hAnsi="PT Astra Serif"/>
          <w:b/>
          <w:bCs/>
          <w:sz w:val="24"/>
          <w:szCs w:val="24"/>
          <w:lang w:eastAsia="ru-RU"/>
        </w:rPr>
        <w:t>с даты заключения контракта по 31.12.2026 года. Период оказания услуг: 01.01.2026 года – 31.12.2026 года.</w:t>
      </w:r>
    </w:p>
    <w:p>
      <w:pPr>
        <w:pStyle w:val="Normal"/>
        <w:spacing w:lineRule="auto" w:line="240" w:before="0" w:after="0"/>
        <w:ind w:firstLine="641"/>
        <w:jc w:val="both"/>
        <w:rPr/>
      </w:pPr>
      <w:r>
        <w:rPr>
          <w:rFonts w:eastAsia="Times New Roman" w:cs="Times New Roman" w:ascii="PT Astra Serif" w:hAnsi="PT Astra Serif"/>
          <w:i/>
          <w:sz w:val="24"/>
          <w:szCs w:val="24"/>
          <w:lang w:eastAsia="ru-RU"/>
        </w:rPr>
        <w:t xml:space="preserve">В случае, если Услуги будут оказываться оператором подвижной связи, в сеть связи которого будут переноситься абонентские номера, уже используемые Заказчиком, срок начала оказания услуг с использованием сохраняемых абонентских номеров определяется в соответствии с соответствии с  </w:t>
      </w:r>
      <w:hyperlink r:id="rId3">
        <w:r>
          <w:rPr>
            <w:rStyle w:val="Style"/>
            <w:rFonts w:eastAsia="Times New Roman" w:cs="Times New Roman" w:ascii="PT Astra Serif" w:hAnsi="PT Astra Serif"/>
            <w:i/>
            <w:sz w:val="24"/>
            <w:szCs w:val="24"/>
            <w:lang w:eastAsia="ru-RU"/>
          </w:rPr>
          <w:t>Правилами</w:t>
        </w:r>
      </w:hyperlink>
      <w:r>
        <w:rPr>
          <w:rFonts w:eastAsia="Times New Roman" w:cs="Times New Roman" w:ascii="PT Astra Serif" w:hAnsi="PT Astra Serif"/>
          <w:i/>
          <w:sz w:val="24"/>
          <w:szCs w:val="24"/>
          <w:lang w:eastAsia="ru-RU"/>
        </w:rPr>
        <w:t xml:space="preserve"> оказания услуг телефонной связи, утвержденными Постановлением Правительства РФ N 1342 от 09.12.2014 г. </w:t>
      </w:r>
    </w:p>
    <w:p>
      <w:pPr>
        <w:pStyle w:val="ListParagraph"/>
        <w:numPr>
          <w:ilvl w:val="1"/>
          <w:numId w:val="5"/>
        </w:numPr>
        <w:spacing w:lineRule="auto" w:line="240" w:before="0" w:after="0"/>
        <w:contextualSpacing/>
        <w:jc w:val="both"/>
        <w:rPr>
          <w:rFonts w:ascii="PT Astra Serif" w:hAnsi="PT Astra Serif"/>
          <w:sz w:val="24"/>
          <w:szCs w:val="24"/>
        </w:rPr>
      </w:pPr>
      <w:r>
        <w:rPr>
          <w:rFonts w:eastAsia="Times New Roman" w:ascii="PT Astra Serif" w:hAnsi="PT Astra Serif"/>
          <w:sz w:val="24"/>
          <w:szCs w:val="24"/>
          <w:lang w:eastAsia="ru-RU"/>
        </w:rPr>
        <w:t xml:space="preserve"> </w:t>
      </w:r>
      <w:r>
        <w:rPr>
          <w:rFonts w:eastAsia="Times New Roman" w:ascii="PT Astra Serif" w:hAnsi="PT Astra Serif"/>
          <w:sz w:val="24"/>
          <w:szCs w:val="24"/>
          <w:lang w:eastAsia="ru-RU"/>
        </w:rPr>
        <w:t>Оказание услуг осуществляется по месту нахождения абонентов Заказчика.</w:t>
      </w:r>
    </w:p>
    <w:p>
      <w:pPr>
        <w:pStyle w:val="Normal"/>
        <w:spacing w:lineRule="auto" w:line="240" w:before="0" w:after="0"/>
        <w:ind w:firstLine="641"/>
        <w:jc w:val="both"/>
        <w:rPr>
          <w:rFonts w:ascii="PT Astra Serif" w:hAnsi="PT Astra Serif" w:eastAsia="Times New Roman" w:cs="Times New Roman"/>
          <w:i/>
          <w:i/>
          <w:sz w:val="24"/>
          <w:szCs w:val="24"/>
          <w:lang w:eastAsia="ru-RU"/>
        </w:rPr>
      </w:pPr>
      <w:r>
        <w:rPr>
          <w:rFonts w:eastAsia="Times New Roman" w:cs="Times New Roman" w:ascii="PT Astra Serif" w:hAnsi="PT Astra Serif"/>
          <w:i/>
          <w:sz w:val="24"/>
          <w:szCs w:val="24"/>
          <w:lang w:eastAsia="ru-RU"/>
        </w:rPr>
      </w:r>
    </w:p>
    <w:p>
      <w:pPr>
        <w:pStyle w:val="ListParagraph"/>
        <w:numPr>
          <w:ilvl w:val="0"/>
          <w:numId w:val="6"/>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Срок действия Контракта</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 xml:space="preserve">4.1. Настоящий Контракт вступает в силу с момента подписания и действует </w:t>
        <w:br/>
        <w:t>до 31.12.2026 года, распространяет свое действие на правоотношения, возникшие с 01.01.2026 года, а в части оплаты – до полного исполнения Сторонами своих обязательств.</w:t>
      </w:r>
    </w:p>
    <w:p>
      <w:pPr>
        <w:pStyle w:val="Normal"/>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641"/>
        <w:jc w:val="center"/>
        <w:rPr>
          <w:rFonts w:ascii="PT Astra Serif" w:hAnsi="PT Astra Serif"/>
          <w:sz w:val="24"/>
          <w:szCs w:val="24"/>
        </w:rPr>
      </w:pPr>
      <w:r>
        <w:rPr>
          <w:rFonts w:eastAsia="Times New Roman" w:cs="Times New Roman" w:ascii="PT Astra Serif" w:hAnsi="PT Astra Serif"/>
          <w:bCs/>
          <w:sz w:val="24"/>
          <w:szCs w:val="24"/>
          <w:lang w:eastAsia="ru-RU"/>
        </w:rPr>
        <w:t>5. Качество</w:t>
      </w:r>
    </w:p>
    <w:p>
      <w:pPr>
        <w:pStyle w:val="Normal"/>
        <w:spacing w:lineRule="auto" w:line="240" w:before="0" w:after="0"/>
        <w:ind w:firstLine="641"/>
        <w:jc w:val="both"/>
        <w:rPr/>
      </w:pPr>
      <w:r>
        <w:rPr>
          <w:rFonts w:eastAsia="Times New Roman" w:cs="Times New Roman" w:ascii="PT Astra Serif" w:hAnsi="PT Astra Serif"/>
          <w:bCs/>
          <w:sz w:val="24"/>
          <w:szCs w:val="24"/>
          <w:lang w:eastAsia="ru-RU"/>
        </w:rPr>
        <w:t xml:space="preserve">5.1. Качество оказываемых Услуг должно соответствовать требованиям, содержащимся  в Техническом задании. Исполнитель оказывает услуги связи в соответствии с </w:t>
      </w:r>
      <w:r>
        <w:rPr>
          <w:rFonts w:eastAsia="Times New Roman" w:cs="Times New Roman" w:ascii="PT Astra Serif" w:hAnsi="PT Astra Serif"/>
          <w:sz w:val="24"/>
          <w:szCs w:val="24"/>
          <w:lang w:eastAsia="ru-RU"/>
        </w:rPr>
        <w:t>Федеральным законом от 07.07.2003 № 126-ФЗ «О связи»,</w:t>
      </w:r>
      <w:r>
        <w:rPr>
          <w:rFonts w:eastAsia="Times New Roman" w:cs="Times New Roman" w:ascii="PT Astra Serif" w:hAnsi="PT Astra Serif"/>
          <w:bCs/>
          <w:sz w:val="24"/>
          <w:szCs w:val="24"/>
          <w:lang w:eastAsia="ru-RU"/>
        </w:rPr>
        <w:t xml:space="preserve"> </w:t>
      </w:r>
      <w:hyperlink r:id="rId4">
        <w:r>
          <w:rPr>
            <w:rStyle w:val="Style"/>
            <w:rFonts w:eastAsia="Times New Roman" w:cs="Times New Roman" w:ascii="PT Astra Serif" w:hAnsi="PT Astra Serif"/>
            <w:bCs/>
            <w:sz w:val="24"/>
            <w:szCs w:val="24"/>
            <w:lang w:eastAsia="ru-RU"/>
          </w:rPr>
          <w:t>Правилами</w:t>
        </w:r>
      </w:hyperlink>
      <w:r>
        <w:rPr>
          <w:rFonts w:eastAsia="Times New Roman" w:cs="Times New Roman" w:ascii="PT Astra Serif" w:hAnsi="PT Astra Serif"/>
          <w:bCs/>
          <w:sz w:val="24"/>
          <w:szCs w:val="24"/>
          <w:lang w:eastAsia="ru-RU"/>
        </w:rPr>
        <w:t xml:space="preserve"> оказания услуг телефонной связи, утвержденными Постановлением Правительства РФ № 1342 от 09.12.2014 года круглосуточно, ежедневно, без перерывов, за исключением проведения необходимых ремонтных и профилактических работ.</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firstLine="641"/>
        <w:jc w:val="center"/>
        <w:rPr>
          <w:rFonts w:ascii="PT Astra Serif" w:hAnsi="PT Astra Serif"/>
          <w:sz w:val="24"/>
          <w:szCs w:val="24"/>
        </w:rPr>
      </w:pPr>
      <w:r>
        <w:rPr>
          <w:rFonts w:eastAsia="Times New Roman" w:cs="Times New Roman" w:ascii="PT Astra Serif" w:hAnsi="PT Astra Serif"/>
          <w:bCs/>
          <w:sz w:val="24"/>
          <w:szCs w:val="24"/>
          <w:lang w:eastAsia="ru-RU"/>
        </w:rPr>
        <w:t>6. Гарантийный срок</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6.1. В случае обнаружения недостатков Услуги представитель Заказчика уведомляет Исполнителя о выявленных недостатках, и вместе с представителем Исполнителя составляет и подписывает Акт с подробным указанием недостатков.</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6.2. Исполнитель гарантирует Заказчику устойчивую качественную (без перебоев) связь на весь срок оказания Услуг.</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left="284"/>
        <w:jc w:val="center"/>
        <w:rPr>
          <w:rFonts w:ascii="PT Astra Serif" w:hAnsi="PT Astra Serif"/>
          <w:sz w:val="24"/>
          <w:szCs w:val="24"/>
        </w:rPr>
      </w:pPr>
      <w:r>
        <w:rPr>
          <w:rFonts w:eastAsia="Times New Roman" w:cs="Times New Roman" w:ascii="PT Astra Serif" w:hAnsi="PT Astra Serif"/>
          <w:bCs/>
          <w:sz w:val="24"/>
          <w:szCs w:val="24"/>
          <w:lang w:eastAsia="ru-RU"/>
        </w:rPr>
        <w:t>7. Права и обязанности сторон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7.1. Исполнитель обязан: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 xml:space="preserve">7.1.1. Исполнить обязательства, предусмотренные настоящим Контрактом  в полном </w:t>
      </w:r>
      <w:r>
        <w:rPr>
          <w:rFonts w:eastAsia="Times New Roman" w:cs="Times New Roman" w:ascii="PT Astra Serif" w:hAnsi="PT Astra Serif"/>
          <w:sz w:val="24"/>
          <w:szCs w:val="24"/>
          <w:lang w:eastAsia="ru-RU"/>
        </w:rPr>
        <w:t xml:space="preserve">объеме и надлежащего качества в соответствии с п. 5.1 Контракта; </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7.1.2. Оказать Услуги, соответствующие требованиям, указанным в Техническом задании.</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7.2. Исполнитель вправе:</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7.2.1. Проводить профилактические, ремонтные работы, мероприятия по модернизации сети Оператора связи с обязательным предварительным уведомлением Заказчика.</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7.3. Заказчик обязан:</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7.3.1. Принять и оплатить Услуги в порядке и на условиях, предусмотренных настоящим Контрактом;</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7.3.2. Предоставлять право пользоваться абонентским номером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-картой) другому лицу только на основании доверенности, оформленной надлежащим образом;</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 xml:space="preserve">7.3.3. Своевременно сообщать Исполнителю об утере, краже, пропаже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 с целью своевременного отключения номера. Заказчик несет все обязательства по оплате Услуг, связанных с использованием абонентского устройства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 вплоть до момента получения Оператором связи от Заказчика заявления о прекращении обслуживания данного абонентского устройства (</w:t>
      </w:r>
      <w:r>
        <w:rPr>
          <w:rFonts w:eastAsia="Times New Roman" w:cs="Times New Roman" w:ascii="PT Astra Serif" w:hAnsi="PT Astra Serif"/>
          <w:sz w:val="24"/>
          <w:szCs w:val="24"/>
          <w:lang w:val="en-US" w:eastAsia="ru-RU"/>
        </w:rPr>
        <w:t>SIM</w:t>
      </w:r>
      <w:r>
        <w:rPr>
          <w:rFonts w:eastAsia="Times New Roman" w:cs="Times New Roman" w:ascii="PT Astra Serif" w:hAnsi="PT Astra Serif"/>
          <w:sz w:val="24"/>
          <w:szCs w:val="24"/>
          <w:lang w:eastAsia="ru-RU"/>
        </w:rPr>
        <w:t>-карты).</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 Заказчик вправе:</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7.4.1. В течение 30 дней с даты оказания Услуг, привлечь независимых экспертов или специализированную организацию для определения качества оказанных Услуг и их соответствие требованиям, установленным в Контракте.</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 xml:space="preserve">7.4.2. Потребовать уплату неустойки в случае просрочки Исполнителем начала оказания Услуги, являющейся предметом настоящего Контракта. </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7.4.3. Требовать от Исполнителя незамедлительного безвозмездного устранения недостатков Услуг.</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7.4.4. При не устранении Исполнителем в согласованные сроки недостатков Услуг потребовать от Исполнителя полного возмещения убытков, связанных с оказанием таких Услуг.</w:t>
      </w:r>
    </w:p>
    <w:p>
      <w:pPr>
        <w:pStyle w:val="Normal"/>
        <w:spacing w:lineRule="auto" w:line="240" w:before="0" w:after="0"/>
        <w:ind w:firstLine="709"/>
        <w:jc w:val="both"/>
        <w:rPr>
          <w:rFonts w:ascii="PT Astra Serif" w:hAnsi="PT Astra Serif"/>
          <w:sz w:val="24"/>
          <w:szCs w:val="24"/>
        </w:rPr>
      </w:pPr>
      <w:r>
        <w:rPr>
          <w:rFonts w:eastAsia="Times New Roman" w:cs="Arial" w:ascii="PT Astra Serif" w:hAnsi="PT Astra Serif"/>
          <w:sz w:val="24"/>
          <w:szCs w:val="24"/>
          <w:lang w:eastAsia="ru-RU"/>
        </w:rPr>
        <w:t>7.4.5. З</w:t>
      </w:r>
      <w:r>
        <w:rPr>
          <w:rFonts w:eastAsia="Times New Roman" w:cs="Arial" w:ascii="PT Astra Serif" w:hAnsi="PT Astra Serif"/>
          <w:bCs/>
          <w:sz w:val="24"/>
          <w:szCs w:val="24"/>
          <w:lang w:eastAsia="ru-RU"/>
        </w:rPr>
        <w:t>аказчик вправе принять решение об одностороннем отказе от исполнения Контракта в соответствии с гл.10 настоящего Контракта.</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bCs/>
          <w:sz w:val="24"/>
          <w:szCs w:val="24"/>
          <w:lang w:eastAsia="ru-RU"/>
        </w:rPr>
        <w:t>7.4.6.</w:t>
      </w:r>
      <w:r>
        <w:rPr>
          <w:rFonts w:eastAsia="Times New Roman" w:cs="Times New Roman" w:ascii="PT Astra Serif" w:hAnsi="PT Astra Serif"/>
          <w:sz w:val="24"/>
          <w:szCs w:val="24"/>
          <w:lang w:eastAsia="ru-RU"/>
        </w:rPr>
        <w:t xml:space="preserve"> Получать необходимую и достоверную информацию об Операторе связи, режиме его работы, оказываемых услугах связи;</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7.4.7. В случаях предоставления некачественной связи подавать в адрес Оператора претензию с указанием времени и места не предоставления или ненадлежащего предоставления услуги;</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7.4.8. Получать по письменному заявлению детализацию счета по всем видам услуг связи с указанием даты и времени всех состоявшихся соединений, их продолжительности и абонентских номеров;</w:t>
      </w:r>
    </w:p>
    <w:p>
      <w:pPr>
        <w:pStyle w:val="Normal"/>
        <w:spacing w:lineRule="auto" w:line="240" w:before="0" w:after="0"/>
        <w:ind w:firstLine="720"/>
        <w:jc w:val="both"/>
        <w:rPr>
          <w:rFonts w:ascii="PT Astra Serif" w:hAnsi="PT Astra Serif"/>
          <w:sz w:val="24"/>
          <w:szCs w:val="24"/>
        </w:rPr>
      </w:pPr>
      <w:r>
        <w:rPr>
          <w:rFonts w:eastAsia="Times New Roman" w:cs="Times New Roman" w:ascii="PT Astra Serif" w:hAnsi="PT Astra Serif"/>
          <w:sz w:val="24"/>
          <w:szCs w:val="24"/>
          <w:lang w:eastAsia="ru-RU"/>
        </w:rPr>
        <w:t>7.4.9. Требовать перерасчета оплаты по настоящему Контракту вплоть до полного возврата сумм, уплаченных за услуги связи, в связи с непредоставлением услуг или предоставлением их ненадлежащего качества, с соблюдением установленного законом претензионного порядка предъявления требований к Оператору связи.</w:t>
      </w:r>
    </w:p>
    <w:p>
      <w:pPr>
        <w:pStyle w:val="Normal"/>
        <w:spacing w:lineRule="auto" w:line="240" w:before="0" w:after="0"/>
        <w:ind w:firstLine="720"/>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left="2552"/>
        <w:rPr>
          <w:rFonts w:ascii="PT Astra Serif" w:hAnsi="PT Astra Serif"/>
          <w:sz w:val="24"/>
          <w:szCs w:val="24"/>
        </w:rPr>
      </w:pPr>
      <w:r>
        <w:rPr>
          <w:rFonts w:eastAsia="Times New Roman" w:cs="Times New Roman" w:ascii="PT Astra Serif" w:hAnsi="PT Astra Serif"/>
          <w:sz w:val="24"/>
          <w:szCs w:val="24"/>
          <w:lang w:eastAsia="ru-RU"/>
        </w:rPr>
        <w:t>8. Ответственность Сторон</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(отдельного этапа исполнения Контракта)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color w:val="000000"/>
          <w:sz w:val="24"/>
          <w:szCs w:val="24"/>
          <w:lang w:eastAsia="ru-RU"/>
        </w:rPr>
        <w:t>8.7. Уплата неустойки (штрафа, пени) не освобождает стороны от исполнения принятых на себя обязательств по Контракту.</w:t>
      </w:r>
    </w:p>
    <w:p>
      <w:pPr>
        <w:pStyle w:val="Normal"/>
        <w:spacing w:lineRule="auto" w:line="240" w:before="0" w:after="0"/>
        <w:ind w:firstLine="709"/>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left="1001"/>
        <w:jc w:val="center"/>
        <w:rPr>
          <w:rFonts w:ascii="PT Astra Serif" w:hAnsi="PT Astra Serif"/>
          <w:sz w:val="24"/>
          <w:szCs w:val="24"/>
        </w:rPr>
      </w:pPr>
      <w:r>
        <w:rPr>
          <w:rFonts w:eastAsia="Times New Roman" w:cs="Times New Roman" w:ascii="PT Astra Serif" w:hAnsi="PT Astra Serif"/>
          <w:sz w:val="24"/>
          <w:szCs w:val="24"/>
          <w:lang w:eastAsia="ru-RU"/>
        </w:rPr>
        <w:t>9. Порядок разрешения споров</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9.1. Споры и разногласия, возникающие в связи с исполнением условий настоящего Контракта, разрешаются Сторонами с использованием досудебного (претензионного) порядка разрешения споров.</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 xml:space="preserve">9.2. Претензия направляется в письменной форме Стороне, нарушившей условия настоящего Контракта, и рассматривается в течение 10 (десяти) дней с момента </w:t>
        <w:br/>
        <w:t>ее получения. До истечения указанного срока Сторона-нарушитель направляет письменный ответ, в котором либо соглашается с претензией, либо отклоняет ее.</w:t>
      </w:r>
    </w:p>
    <w:p>
      <w:pPr>
        <w:pStyle w:val="Normal"/>
        <w:spacing w:lineRule="auto" w:line="240" w:before="0" w:after="0"/>
        <w:ind w:firstLine="708"/>
        <w:jc w:val="both"/>
        <w:rPr>
          <w:rFonts w:ascii="PT Astra Serif" w:hAnsi="PT Astra Serif"/>
          <w:sz w:val="24"/>
          <w:szCs w:val="24"/>
        </w:rPr>
      </w:pPr>
      <w:r>
        <w:rPr>
          <w:rFonts w:eastAsia="Times New Roman" w:cs="Times New Roman" w:ascii="PT Astra Serif" w:hAnsi="PT Astra Serif"/>
          <w:sz w:val="24"/>
          <w:szCs w:val="24"/>
          <w:lang w:eastAsia="ru-RU"/>
        </w:rPr>
        <w:t>9.3. В случае если споры и разногласия не будут урегулированы путем переговоров между Сторонами, они подлежат разрешению в Арбитражном суде Камчатского края.</w:t>
      </w:r>
    </w:p>
    <w:p>
      <w:pPr>
        <w:pStyle w:val="Normal"/>
        <w:spacing w:lineRule="auto" w:line="240" w:before="0" w:after="0"/>
        <w:ind w:firstLine="567"/>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left="1985"/>
        <w:jc w:val="both"/>
        <w:rPr>
          <w:rFonts w:ascii="PT Astra Serif" w:hAnsi="PT Astra Serif"/>
          <w:sz w:val="24"/>
          <w:szCs w:val="24"/>
        </w:rPr>
      </w:pPr>
      <w:r>
        <w:rPr>
          <w:rFonts w:eastAsia="Times New Roman" w:cs="Times New Roman" w:ascii="PT Astra Serif" w:hAnsi="PT Astra Serif"/>
          <w:bCs/>
          <w:sz w:val="24"/>
          <w:szCs w:val="24"/>
          <w:lang w:eastAsia="ru-RU"/>
        </w:rPr>
        <w:t>10. Расторжение Контракта в связи с односторонним отказом</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bCs/>
          <w:sz w:val="24"/>
          <w:szCs w:val="24"/>
          <w:lang w:eastAsia="ru-RU"/>
        </w:rPr>
        <w:t>10.1.</w:t>
      </w:r>
      <w:r>
        <w:rPr>
          <w:rFonts w:eastAsia="Times New Roman" w:cs="Times New Roman" w:ascii="PT Astra Serif" w:hAnsi="PT Astra Serif"/>
          <w:sz w:val="24"/>
          <w:szCs w:val="24"/>
          <w:lang w:eastAsia="ru-RU"/>
        </w:rPr>
        <w:t xml:space="preserve"> Заказчик вправе принять решение об одностороннем отказе от исполнения Контракта в следующих случаях:</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а) в случае нарушения Исполнителем условий, сроков оказания Услуг и/или не предоставления Услуг, установленных настоящим Контрактом;</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б) в случае нарушения Исполнителем качества оказания Услуг, установленных настоящим Контрактом;</w:t>
      </w:r>
    </w:p>
    <w:p>
      <w:pPr>
        <w:pStyle w:val="Normal"/>
        <w:spacing w:lineRule="auto" w:line="240" w:before="0" w:after="0"/>
        <w:jc w:val="both"/>
        <w:rPr>
          <w:rFonts w:ascii="PT Astra Serif" w:hAnsi="PT Astra Serif"/>
          <w:sz w:val="24"/>
          <w:szCs w:val="24"/>
        </w:rPr>
      </w:pPr>
      <w:r>
        <w:rPr>
          <w:rFonts w:eastAsia="Times New Roman" w:cs="Times New Roman" w:ascii="PT Astra Serif" w:hAnsi="PT Astra Serif"/>
          <w:sz w:val="24"/>
          <w:szCs w:val="24"/>
          <w:lang w:eastAsia="ru-RU"/>
        </w:rPr>
        <w:t>в)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10.2. Решение Заказчика об одностороннем отказе от исполнения Контракта оформляется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PT Astra Serif" w:hAnsi="PT Astra Serif"/>
          <w:sz w:val="24"/>
          <w:szCs w:val="24"/>
        </w:rPr>
      </w:pPr>
      <w:r>
        <w:rPr>
          <w:rFonts w:eastAsia="Times New Roman" w:cs="Times New Roman" w:ascii="PT Astra Serif" w:hAnsi="PT Astra Serif"/>
          <w:sz w:val="24"/>
          <w:szCs w:val="24"/>
          <w:lang w:eastAsia="ru-RU"/>
        </w:rPr>
        <w:t>10.3</w:t>
      </w:r>
      <w:r>
        <w:rPr>
          <w:rFonts w:eastAsia="Times New Roman" w:cs="Times New Roman" w:ascii="PT Astra Serif" w:hAnsi="PT Astra Serif"/>
          <w:bCs/>
          <w:sz w:val="24"/>
          <w:szCs w:val="24"/>
          <w:lang w:eastAsia="ru-RU"/>
        </w:rPr>
        <w:t>.</w:t>
      </w:r>
      <w:r>
        <w:rPr>
          <w:rFonts w:eastAsia="Times New Roman" w:cs="Times New Roman" w:ascii="PT Astra Serif" w:hAnsi="PT Astra Serif"/>
          <w:sz w:val="24"/>
          <w:szCs w:val="24"/>
          <w:lang w:eastAsia="ru-RU"/>
        </w:rPr>
        <w:t xml:space="preserve"> Исполнитель вправе принять решение об одностороннем отказе от исполнения Контракта в случае необоснованного уклонения Заказчика от принятия и оплаты оказанных Услуг.</w:t>
      </w:r>
    </w:p>
    <w:p>
      <w:pPr>
        <w:pStyle w:val="Normal"/>
        <w:spacing w:lineRule="auto" w:line="240" w:before="0" w:after="0"/>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ListParagraph"/>
        <w:numPr>
          <w:ilvl w:val="0"/>
          <w:numId w:val="3"/>
        </w:numPr>
        <w:spacing w:lineRule="auto" w:line="240" w:before="0" w:after="0"/>
        <w:contextualSpacing/>
        <w:jc w:val="center"/>
        <w:rPr>
          <w:rFonts w:ascii="PT Astra Serif" w:hAnsi="PT Astra Serif"/>
          <w:sz w:val="24"/>
          <w:szCs w:val="24"/>
        </w:rPr>
      </w:pPr>
      <w:r>
        <w:rPr>
          <w:rFonts w:eastAsia="Times New Roman" w:ascii="PT Astra Serif" w:hAnsi="PT Astra Serif"/>
          <w:sz w:val="24"/>
          <w:szCs w:val="24"/>
          <w:lang w:eastAsia="ru-RU"/>
        </w:rPr>
        <w:t>Форс-мажор</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11.1. Стороны освобождаются от ответственности за неисполнение или ненадлежащее исполнение обязательств по настоящему Контракту, если такое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(пожара, стихийных бедствий, войны, военных операций и т.п.), не позволяющих Сторонам исполнить обязательства по настоящему Контракту, или других непредвиденных обстоятельств, не зависящих от воли Сторон, если эти обстоятельства непосредственно повлияли на исполнение настоящего Контракта.</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11.2. При наступлении условий, указанных в п.11.1 настоящего Контракта, срок выполнения Сторонами обязательств по Контракту отодвигается соразмерно времени, в течение которого действуют такие обстоятельства и их последствия.</w:t>
      </w:r>
    </w:p>
    <w:p>
      <w:pPr>
        <w:pStyle w:val="Normal"/>
        <w:spacing w:lineRule="auto" w:line="240" w:before="0" w:after="0"/>
        <w:ind w:firstLine="641"/>
        <w:jc w:val="both"/>
        <w:rPr>
          <w:rFonts w:ascii="PT Astra Serif" w:hAnsi="PT Astra Serif"/>
          <w:sz w:val="24"/>
          <w:szCs w:val="24"/>
        </w:rPr>
      </w:pPr>
      <w:r>
        <w:rPr>
          <w:rFonts w:eastAsia="Times New Roman" w:cs="Times New Roman" w:ascii="PT Astra Serif" w:hAnsi="PT Astra Serif"/>
          <w:bCs/>
          <w:sz w:val="24"/>
          <w:szCs w:val="24"/>
          <w:lang w:eastAsia="ru-RU"/>
        </w:rPr>
        <w:t>11.3. При наступлении обстоятельств, указанных в п.11.1, Сторона обязана незамедлительно уведомить другую Сторону о начале и прекращении действия указанных обстоятельств.</w:t>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spacing w:lineRule="auto" w:line="240" w:before="0" w:after="0"/>
        <w:ind w:firstLine="641"/>
        <w:jc w:val="both"/>
        <w:rPr>
          <w:rFonts w:ascii="PT Astra Serif" w:hAnsi="PT Astra Serif" w:eastAsia="Times New Roman" w:cs="Times New Roman"/>
          <w:bCs/>
          <w:sz w:val="24"/>
          <w:szCs w:val="24"/>
          <w:lang w:eastAsia="ru-RU"/>
        </w:rPr>
      </w:pPr>
      <w:r>
        <w:rPr>
          <w:rFonts w:eastAsia="Times New Roman" w:cs="Times New Roman" w:ascii="PT Astra Serif" w:hAnsi="PT Astra Serif"/>
          <w:bCs/>
          <w:sz w:val="24"/>
          <w:szCs w:val="24"/>
          <w:lang w:eastAsia="ru-RU"/>
        </w:rPr>
      </w:r>
    </w:p>
    <w:p>
      <w:pPr>
        <w:pStyle w:val="Normal"/>
        <w:numPr>
          <w:ilvl w:val="0"/>
          <w:numId w:val="2"/>
        </w:numPr>
        <w:spacing w:lineRule="auto" w:line="240" w:before="0" w:after="0"/>
        <w:ind w:hanging="357" w:left="1361"/>
        <w:jc w:val="center"/>
        <w:rPr>
          <w:rFonts w:ascii="PT Astra Serif" w:hAnsi="PT Astra Serif"/>
          <w:sz w:val="24"/>
          <w:szCs w:val="24"/>
        </w:rPr>
      </w:pPr>
      <w:r>
        <w:rPr>
          <w:rFonts w:eastAsia="Times New Roman" w:cs="Times New Roman" w:ascii="PT Astra Serif" w:hAnsi="PT Astra Serif"/>
          <w:sz w:val="24"/>
          <w:szCs w:val="24"/>
          <w:lang w:eastAsia="ru-RU"/>
        </w:rPr>
        <w:t>Заключительные положения</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12.1.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(юридическому адресу или адресу местонахождения), которой адресуется данное извещение, уведомление, требование или соглашение.</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12.2. Приложения к настоящему Контракту составляют его неотъемлемую часть.</w:t>
      </w:r>
    </w:p>
    <w:p>
      <w:pPr>
        <w:pStyle w:val="Normal"/>
        <w:tabs>
          <w:tab w:val="clear" w:pos="708"/>
          <w:tab w:val="left" w:pos="1701" w:leader="none"/>
        </w:tabs>
        <w:spacing w:lineRule="auto" w:line="240" w:before="0" w:after="0"/>
        <w:ind w:firstLine="641"/>
        <w:jc w:val="both"/>
        <w:rPr>
          <w:rFonts w:ascii="PT Astra Serif" w:hAnsi="PT Astra Serif"/>
          <w:sz w:val="24"/>
          <w:szCs w:val="24"/>
        </w:rPr>
      </w:pPr>
      <w:r>
        <w:rPr>
          <w:rFonts w:eastAsia="Times New Roman" w:cs="Times New Roman" w:ascii="PT Astra Serif" w:hAnsi="PT Astra Serif"/>
          <w:sz w:val="24"/>
          <w:szCs w:val="24"/>
          <w:lang w:eastAsia="ru-RU"/>
        </w:rPr>
        <w:t>12.3. К настоящему Контракту прилагаются: Приложение  №  1  Техническое задание.</w:t>
      </w:r>
    </w:p>
    <w:p>
      <w:pPr>
        <w:pStyle w:val="Normal"/>
        <w:tabs>
          <w:tab w:val="clear" w:pos="708"/>
          <w:tab w:val="left" w:pos="1701" w:leader="none"/>
        </w:tabs>
        <w:spacing w:lineRule="auto" w:line="240" w:before="0" w:after="0"/>
        <w:ind w:firstLine="641"/>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numPr>
          <w:ilvl w:val="0"/>
          <w:numId w:val="2"/>
        </w:numPr>
        <w:spacing w:lineRule="auto" w:line="240" w:before="0" w:after="0"/>
        <w:jc w:val="center"/>
        <w:rPr>
          <w:rFonts w:ascii="PT Astra Serif" w:hAnsi="PT Astra Serif"/>
          <w:sz w:val="24"/>
          <w:szCs w:val="24"/>
        </w:rPr>
      </w:pPr>
      <w:r>
        <w:rPr>
          <w:rFonts w:eastAsia="Times New Roman" w:cs="Times New Roman" w:ascii="PT Astra Serif" w:hAnsi="PT Astra Serif"/>
          <w:sz w:val="24"/>
          <w:szCs w:val="24"/>
          <w:lang w:eastAsia="ru-RU"/>
        </w:rPr>
        <w:t xml:space="preserve">Адреса и банковские реквизиты Сторон </w:t>
      </w:r>
    </w:p>
    <w:p>
      <w:pPr>
        <w:pStyle w:val="Normal"/>
        <w:numPr>
          <w:ilvl w:val="0"/>
          <w:numId w:val="0"/>
        </w:numPr>
        <w:spacing w:lineRule="auto" w:line="240" w:before="0" w:after="0"/>
        <w:ind w:hanging="0" w:left="1361"/>
        <w:jc w:val="center"/>
        <w:rPr>
          <w:rFonts w:eastAsia="Times New Roman" w:cs="Times New Roman"/>
          <w:lang w:eastAsia="ru-RU"/>
        </w:rPr>
      </w:pPr>
      <w:r>
        <w:rPr>
          <w:rFonts w:eastAsia="Times New Roman" w:cs="Times New Roman"/>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mc:AlternateContent>
          <mc:Choice Requires="wps">
            <w:drawing>
              <wp:anchor behindDoc="0" distT="635" distB="0" distL="0" distR="0" simplePos="0" locked="0" layoutInCell="1" allowOverlap="1" relativeHeight="2">
                <wp:simplePos x="0" y="0"/>
                <wp:positionH relativeFrom="column">
                  <wp:posOffset>150495</wp:posOffset>
                </wp:positionH>
                <wp:positionV relativeFrom="paragraph">
                  <wp:posOffset>28575</wp:posOffset>
                </wp:positionV>
                <wp:extent cx="2992120" cy="6237605"/>
                <wp:effectExtent l="0" t="635" r="0" b="0"/>
                <wp:wrapNone/>
                <wp:docPr id="1" name="Text Box 2"/>
                <a:graphic xmlns:a="http://schemas.openxmlformats.org/drawingml/2006/main">
                  <a:graphicData uri="http://schemas.microsoft.com/office/word/2010/wordprocessingShape">
                    <wps:wsp>
                      <wps:cNvSpPr/>
                      <wps:spPr>
                        <a:xfrm>
                          <a:off x="0" y="0"/>
                          <a:ext cx="2991960" cy="6237720"/>
                        </a:xfrm>
                        <a:prstGeom prst="rect">
                          <a:avLst/>
                        </a:prstGeom>
                        <a:solidFill>
                          <a:srgbClr val="ffffff"/>
                        </a:solidFill>
                        <a:ln w="0">
                          <a:noFill/>
                        </a:ln>
                      </wps:spPr>
                      <wps:style>
                        <a:lnRef idx="0"/>
                        <a:fillRef idx="0"/>
                        <a:effectRef idx="0"/>
                        <a:fontRef idx="minor"/>
                      </wps:style>
                      <wps:txbx>
                        <w:txbxContent>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Заказчик</w:t>
                            </w:r>
                            <w:r>
                              <w:rPr>
                                <w:rFonts w:cs="Times New Roman" w:ascii="PT Astra Serif" w:hAnsi="PT Astra Serif"/>
                                <w:color w:val="000000"/>
                                <w:sz w:val="24"/>
                                <w:szCs w:val="24"/>
                              </w:rPr>
                              <w:t>:</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 xml:space="preserve">Управление </w:t>
                            </w:r>
                            <w:bookmarkStart w:id="0" w:name="_Hlk65700429"/>
                            <w:r>
                              <w:rPr>
                                <w:rFonts w:cs="Times New Roman" w:ascii="PT Astra Serif" w:hAnsi="PT Astra Serif"/>
                                <w:b/>
                                <w:color w:val="000000"/>
                                <w:sz w:val="24"/>
                                <w:szCs w:val="24"/>
                              </w:rPr>
                              <w:t>Федеральной службы государственной регистрации,</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кадастра и картографии</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по Камчатскому краю</w:t>
                            </w:r>
                            <w:bookmarkEnd w:id="0"/>
                          </w:p>
                          <w:p>
                            <w:pPr>
                              <w:pStyle w:val="Normal"/>
                              <w:keepNext w:val="true"/>
                              <w:keepLines/>
                              <w:widowControl/>
                              <w:suppressAutoHyphens w:val="true"/>
                              <w:spacing w:lineRule="auto" w:line="240"/>
                              <w:ind w:hanging="0" w:left="0" w:right="0"/>
                              <w:jc w:val="left"/>
                              <w:rPr>
                                <w:sz w:val="24"/>
                              </w:rPr>
                            </w:pPr>
                            <w:r>
                              <w:rPr>
                                <w:rStyle w:val="Hyperlink"/>
                                <w:rFonts w:eastAsia="PT Astra Serif" w:cs="PT Astra Serif" w:ascii="PT Astra Serif" w:hAnsi="PT Astra Serif"/>
                                <w:color w:val="000000"/>
                                <w:spacing w:val="0"/>
                                <w:kern w:val="0"/>
                                <w:sz w:val="24"/>
                                <w:szCs w:val="24"/>
                                <w:u w:val="none"/>
                                <w:shd w:fill="auto" w:val="clear"/>
                              </w:rPr>
                              <w:t xml:space="preserve">Юридический адрес: 683017, </w:t>
                              <w:br/>
                              <w:t xml:space="preserve">г. Петропавловск-Камчатский, </w:t>
                              <w:br/>
                              <w:t>пер. Ботанический, д. 4</w:t>
                            </w:r>
                          </w:p>
                          <w:p>
                            <w:pPr>
                              <w:pStyle w:val="Normal"/>
                              <w:tabs>
                                <w:tab w:val="clear" w:pos="708"/>
                                <w:tab w:val="left" w:pos="571" w:leader="none"/>
                              </w:tabs>
                              <w:spacing w:lineRule="auto" w:line="240"/>
                              <w:jc w:val="left"/>
                              <w:rPr>
                                <w:sz w:val="24"/>
                              </w:rPr>
                            </w:pPr>
                            <w:r>
                              <w:rPr>
                                <w:rStyle w:val="Hyperlink"/>
                                <w:rFonts w:eastAsia="PT Astra Serif" w:cs="PT Astra Serif" w:ascii="PT Astra Serif" w:hAnsi="PT Astra Serif"/>
                                <w:color w:val="000000"/>
                                <w:sz w:val="24"/>
                                <w:szCs w:val="24"/>
                                <w:u w:val="none"/>
                                <w:shd w:fill="auto" w:val="clear"/>
                              </w:rPr>
                              <w:t>ИНН/КПП 4101099096/410101001</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ОКПО 71816596</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ОГРН 1044100664167</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Платежные реквизиты:</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УФК по Приморскому краю (Управление Федеральной службы государственной регистрации, кадастра и картографии по Камчатскому краю, л/с  03381А39410)</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ИНН 4101099096 КПП 410101001</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Казначейский счет  03211643000000012002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Единый казначейский счет 40102810545370000012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БИК 010507002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Наименование Банка: ОКЦ № 1 ДГУ БАНКА РОССИИ//УФК по Приморскому краю г. Владивосток</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b w:val="false"/>
                                <w:bCs w:val="false"/>
                                <w:color w:val="000000"/>
                                <w:sz w:val="24"/>
                                <w:szCs w:val="24"/>
                                <w:u w:val="none"/>
                                <w:shd w:fill="auto" w:val="clear"/>
                              </w:rPr>
                              <w:t>тел.: 8 (800) 707-1119,</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b w:val="false"/>
                                <w:bCs w:val="false"/>
                                <w:color w:val="000000"/>
                                <w:sz w:val="24"/>
                                <w:szCs w:val="24"/>
                                <w:u w:val="none"/>
                                <w:shd w:fill="auto" w:val="clear"/>
                              </w:rPr>
                              <w:t xml:space="preserve"> </w:t>
                            </w:r>
                            <w:r>
                              <w:rPr>
                                <w:rStyle w:val="Hyperlink"/>
                                <w:rFonts w:eastAsia="PT Astra Serif" w:cs="PT Astra Serif" w:ascii="PT Astra Serif" w:hAnsi="PT Astra Serif"/>
                                <w:b w:val="false"/>
                                <w:bCs w:val="false"/>
                                <w:color w:val="000000"/>
                                <w:sz w:val="24"/>
                                <w:szCs w:val="24"/>
                                <w:u w:val="none"/>
                                <w:shd w:fill="auto" w:val="clear"/>
                              </w:rPr>
                              <w:t>41_upr@rosreеstr.ru</w:t>
                            </w:r>
                          </w:p>
                          <w:p>
                            <w:pPr>
                              <w:pStyle w:val="Style34"/>
                              <w:jc w:val="center"/>
                              <w:rPr>
                                <w:sz w:val="26"/>
                                <w:szCs w:val="26"/>
                              </w:rPr>
                            </w:pPr>
                            <w:r>
                              <w:rPr>
                                <w:color w:val="000000"/>
                                <w:sz w:val="26"/>
                                <w:szCs w:val="26"/>
                              </w:rPr>
                            </w:r>
                          </w:p>
                          <w:p>
                            <w:pPr>
                              <w:pStyle w:val="Style34"/>
                              <w:spacing w:before="0" w:after="200"/>
                              <w:rPr>
                                <w:color w:val="000000"/>
                              </w:rPr>
                            </w:pPr>
                            <w:r>
                              <w:rPr>
                                <w:color w:val="000000"/>
                              </w:rPr>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11.85pt;margin-top:2.25pt;width:235.55pt;height:491.1pt;mso-wrap-style:square;v-text-anchor:top">
                <v:fill o:detectmouseclick="t" type="solid" color2="black"/>
                <v:stroke color="#3465a4" joinstyle="round" endcap="flat"/>
                <v:textbox>
                  <w:txbxContent>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Заказчик</w:t>
                      </w:r>
                      <w:r>
                        <w:rPr>
                          <w:rFonts w:cs="Times New Roman" w:ascii="PT Astra Serif" w:hAnsi="PT Astra Serif"/>
                          <w:color w:val="000000"/>
                          <w:sz w:val="24"/>
                          <w:szCs w:val="24"/>
                        </w:rPr>
                        <w:t>:</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 xml:space="preserve">Управление </w:t>
                      </w:r>
                      <w:bookmarkStart w:id="1" w:name="_Hlk65700429"/>
                      <w:r>
                        <w:rPr>
                          <w:rFonts w:cs="Times New Roman" w:ascii="PT Astra Serif" w:hAnsi="PT Astra Serif"/>
                          <w:b/>
                          <w:color w:val="000000"/>
                          <w:sz w:val="24"/>
                          <w:szCs w:val="24"/>
                        </w:rPr>
                        <w:t>Федеральной службы государственной регистрации,</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кадастра и картографии</w:t>
                      </w:r>
                    </w:p>
                    <w:p>
                      <w:pPr>
                        <w:pStyle w:val="Style34"/>
                        <w:widowControl/>
                        <w:bidi w:val="0"/>
                        <w:spacing w:lineRule="auto" w:line="240" w:before="0" w:after="0"/>
                        <w:ind w:hanging="0" w:left="0" w:right="-57"/>
                        <w:jc w:val="left"/>
                        <w:rPr>
                          <w:sz w:val="24"/>
                          <w:szCs w:val="24"/>
                        </w:rPr>
                      </w:pPr>
                      <w:r>
                        <w:rPr>
                          <w:rFonts w:cs="Times New Roman" w:ascii="PT Astra Serif" w:hAnsi="PT Astra Serif"/>
                          <w:b/>
                          <w:color w:val="000000"/>
                          <w:sz w:val="24"/>
                          <w:szCs w:val="24"/>
                        </w:rPr>
                        <w:t>по Камчатскому краю</w:t>
                      </w:r>
                      <w:bookmarkEnd w:id="1"/>
                    </w:p>
                    <w:p>
                      <w:pPr>
                        <w:pStyle w:val="Normal"/>
                        <w:keepNext w:val="true"/>
                        <w:keepLines/>
                        <w:widowControl/>
                        <w:suppressAutoHyphens w:val="true"/>
                        <w:spacing w:lineRule="auto" w:line="240"/>
                        <w:ind w:hanging="0" w:left="0" w:right="0"/>
                        <w:jc w:val="left"/>
                        <w:rPr>
                          <w:sz w:val="24"/>
                        </w:rPr>
                      </w:pPr>
                      <w:r>
                        <w:rPr>
                          <w:rStyle w:val="Hyperlink"/>
                          <w:rFonts w:eastAsia="PT Astra Serif" w:cs="PT Astra Serif" w:ascii="PT Astra Serif" w:hAnsi="PT Astra Serif"/>
                          <w:color w:val="000000"/>
                          <w:spacing w:val="0"/>
                          <w:kern w:val="0"/>
                          <w:sz w:val="24"/>
                          <w:szCs w:val="24"/>
                          <w:u w:val="none"/>
                          <w:shd w:fill="auto" w:val="clear"/>
                        </w:rPr>
                        <w:t xml:space="preserve">Юридический адрес: 683017, </w:t>
                        <w:br/>
                        <w:t xml:space="preserve">г. Петропавловск-Камчатский, </w:t>
                        <w:br/>
                        <w:t>пер. Ботанический, д. 4</w:t>
                      </w:r>
                    </w:p>
                    <w:p>
                      <w:pPr>
                        <w:pStyle w:val="Normal"/>
                        <w:tabs>
                          <w:tab w:val="clear" w:pos="708"/>
                          <w:tab w:val="left" w:pos="571" w:leader="none"/>
                        </w:tabs>
                        <w:spacing w:lineRule="auto" w:line="240"/>
                        <w:jc w:val="left"/>
                        <w:rPr>
                          <w:sz w:val="24"/>
                        </w:rPr>
                      </w:pPr>
                      <w:r>
                        <w:rPr>
                          <w:rStyle w:val="Hyperlink"/>
                          <w:rFonts w:eastAsia="PT Astra Serif" w:cs="PT Astra Serif" w:ascii="PT Astra Serif" w:hAnsi="PT Astra Serif"/>
                          <w:color w:val="000000"/>
                          <w:sz w:val="24"/>
                          <w:szCs w:val="24"/>
                          <w:u w:val="none"/>
                          <w:shd w:fill="auto" w:val="clear"/>
                        </w:rPr>
                        <w:t>ИНН/КПП 4101099096/410101001</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ОКПО 71816596</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ОГРН 1044100664167</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Платежные реквизиты:</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УФК по Приморскому краю (Управление Федеральной службы государственной регистрации, кадастра и картографии по Камчатскому краю, л/с  03381А39410)</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ИНН 4101099096 КПП 410101001</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Казначейский счет  03211643000000012002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Единый казначейский счет 40102810545370000012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БИК 010507002</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color w:val="000000"/>
                          <w:sz w:val="24"/>
                          <w:szCs w:val="24"/>
                          <w:u w:val="none"/>
                          <w:shd w:fill="auto" w:val="clear"/>
                        </w:rPr>
                        <w:t>Наименование Банка: ОКЦ № 1 ДГУ БАНКА РОССИИ//УФК по Приморскому краю г. Владивосток</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b w:val="false"/>
                          <w:bCs w:val="false"/>
                          <w:color w:val="000000"/>
                          <w:sz w:val="24"/>
                          <w:szCs w:val="24"/>
                          <w:u w:val="none"/>
                          <w:shd w:fill="auto" w:val="clear"/>
                        </w:rPr>
                        <w:t>тел.: 8 (800) 707-1119,</w:t>
                      </w:r>
                    </w:p>
                    <w:p>
                      <w:pPr>
                        <w:pStyle w:val="Normal"/>
                        <w:widowControl/>
                        <w:suppressLineNumbers w:val="0"/>
                        <w:spacing w:lineRule="auto" w:line="240" w:before="0" w:after="0"/>
                        <w:ind w:hanging="0" w:left="57" w:right="113"/>
                        <w:contextualSpacing/>
                        <w:jc w:val="left"/>
                        <w:rPr>
                          <w:sz w:val="24"/>
                        </w:rPr>
                      </w:pPr>
                      <w:r>
                        <w:rPr>
                          <w:rStyle w:val="Hyperlink"/>
                          <w:rFonts w:eastAsia="PT Astra Serif" w:cs="PT Astra Serif" w:ascii="PT Astra Serif" w:hAnsi="PT Astra Serif"/>
                          <w:b w:val="false"/>
                          <w:bCs w:val="false"/>
                          <w:color w:val="000000"/>
                          <w:sz w:val="24"/>
                          <w:szCs w:val="24"/>
                          <w:u w:val="none"/>
                          <w:shd w:fill="auto" w:val="clear"/>
                        </w:rPr>
                        <w:t xml:space="preserve"> </w:t>
                      </w:r>
                      <w:r>
                        <w:rPr>
                          <w:rStyle w:val="Hyperlink"/>
                          <w:rFonts w:eastAsia="PT Astra Serif" w:cs="PT Astra Serif" w:ascii="PT Astra Serif" w:hAnsi="PT Astra Serif"/>
                          <w:b w:val="false"/>
                          <w:bCs w:val="false"/>
                          <w:color w:val="000000"/>
                          <w:sz w:val="24"/>
                          <w:szCs w:val="24"/>
                          <w:u w:val="none"/>
                          <w:shd w:fill="auto" w:val="clear"/>
                        </w:rPr>
                        <w:t>41_upr@rosreеstr.ru</w:t>
                      </w:r>
                    </w:p>
                    <w:p>
                      <w:pPr>
                        <w:pStyle w:val="Style34"/>
                        <w:jc w:val="center"/>
                        <w:rPr>
                          <w:sz w:val="26"/>
                          <w:szCs w:val="26"/>
                        </w:rPr>
                      </w:pPr>
                      <w:r>
                        <w:rPr>
                          <w:color w:val="000000"/>
                          <w:sz w:val="26"/>
                          <w:szCs w:val="26"/>
                        </w:rPr>
                      </w:r>
                    </w:p>
                    <w:p>
                      <w:pPr>
                        <w:pStyle w:val="Style34"/>
                        <w:spacing w:before="0" w:after="200"/>
                        <w:rPr>
                          <w:color w:val="000000"/>
                        </w:rPr>
                      </w:pPr>
                      <w:r>
                        <w:rPr>
                          <w:color w:val="000000"/>
                        </w:rPr>
                      </w:r>
                    </w:p>
                  </w:txbxContent>
                </v:textbox>
                <w10:wrap type="none"/>
              </v:rect>
            </w:pict>
          </mc:Fallback>
        </mc:AlternateContent>
        <mc:AlternateContent>
          <mc:Choice Requires="wps">
            <w:drawing>
              <wp:anchor behindDoc="0" distT="635" distB="0" distL="0" distR="0" simplePos="0" locked="0" layoutInCell="1" allowOverlap="1" relativeHeight="4">
                <wp:simplePos x="0" y="0"/>
                <wp:positionH relativeFrom="column">
                  <wp:posOffset>3608705</wp:posOffset>
                </wp:positionH>
                <wp:positionV relativeFrom="paragraph">
                  <wp:posOffset>86995</wp:posOffset>
                </wp:positionV>
                <wp:extent cx="3224530" cy="3971925"/>
                <wp:effectExtent l="0" t="635" r="0" b="0"/>
                <wp:wrapNone/>
                <wp:docPr id="2" name="Text Box 3"/>
                <a:graphic xmlns:a="http://schemas.openxmlformats.org/drawingml/2006/main">
                  <a:graphicData uri="http://schemas.microsoft.com/office/word/2010/wordprocessingShape">
                    <wps:wsp>
                      <wps:cNvSpPr/>
                      <wps:spPr>
                        <a:xfrm>
                          <a:off x="0" y="0"/>
                          <a:ext cx="3224520" cy="3971880"/>
                        </a:xfrm>
                        <a:prstGeom prst="rect">
                          <a:avLst/>
                        </a:prstGeom>
                        <a:solidFill>
                          <a:srgbClr val="ffffff"/>
                        </a:solidFill>
                        <a:ln w="0">
                          <a:noFill/>
                        </a:ln>
                      </wps:spPr>
                      <wps:style>
                        <a:lnRef idx="0"/>
                        <a:fillRef idx="0"/>
                        <a:effectRef idx="0"/>
                        <a:fontRef idx="minor"/>
                      </wps:style>
                      <wps:txbx>
                        <w:txbxContent>
                          <w:p>
                            <w:pPr>
                              <w:pStyle w:val="Style34"/>
                              <w:spacing w:before="0" w:after="0"/>
                              <w:ind w:firstLine="540" w:left="-540" w:right="-185"/>
                              <w:jc w:val="center"/>
                              <w:rPr>
                                <w:rFonts w:ascii="PT Astra Serif" w:hAnsi="PT Astra Serif"/>
                                <w:sz w:val="24"/>
                                <w:szCs w:val="24"/>
                              </w:rPr>
                            </w:pPr>
                            <w:r>
                              <w:rPr>
                                <w:rFonts w:cs="Times New Roman" w:ascii="PT Astra Serif" w:hAnsi="PT Astra Serif"/>
                                <w:b/>
                                <w:color w:val="000000"/>
                                <w:sz w:val="24"/>
                                <w:szCs w:val="24"/>
                              </w:rPr>
                              <w:t>Исполнитель</w:t>
                            </w:r>
                            <w:r>
                              <w:rPr>
                                <w:rFonts w:cs="Times New Roman" w:ascii="PT Astra Serif" w:hAnsi="PT Astra Serif"/>
                                <w:color w:val="000000"/>
                                <w:sz w:val="24"/>
                                <w:szCs w:val="24"/>
                              </w:rPr>
                              <w:t>:</w:t>
                            </w:r>
                          </w:p>
                          <w:p>
                            <w:pPr>
                              <w:pStyle w:val="BodyTextIndent"/>
                              <w:keepNext w:val="true"/>
                              <w:spacing w:before="0" w:after="0"/>
                              <w:ind w:left="0"/>
                              <w:jc w:val="both"/>
                              <w:rPr>
                                <w:rFonts w:ascii="PT Astra Serif" w:hAnsi="PT Astra Serif"/>
                                <w:b/>
                                <w:sz w:val="24"/>
                                <w:szCs w:val="24"/>
                              </w:rPr>
                            </w:pPr>
                            <w:r>
                              <w:rPr>
                                <w:rFonts w:ascii="PT Astra Serif" w:hAnsi="PT Astra Serif"/>
                                <w:b/>
                                <w:color w:val="000000"/>
                                <w:sz w:val="24"/>
                                <w:szCs w:val="24"/>
                              </w:rPr>
                            </w:r>
                          </w:p>
                          <w:p>
                            <w:pPr>
                              <w:pStyle w:val="Style34"/>
                              <w:spacing w:before="0" w:after="200"/>
                              <w:jc w:val="center"/>
                              <w:rPr>
                                <w:rFonts w:ascii="Times New Roman" w:hAnsi="Times New Roman" w:cs="Times New Roman"/>
                              </w:rPr>
                            </w:pPr>
                            <w:r>
                              <w:rPr>
                                <w:color w:val="000000"/>
                              </w:rPr>
                            </w:r>
                          </w:p>
                        </w:txbxContent>
                      </wps:txbx>
                      <wps:bodyPr anchor="t">
                        <a:noAutofit/>
                      </wps:bodyPr>
                    </wps:wsp>
                  </a:graphicData>
                </a:graphic>
              </wp:anchor>
            </w:drawing>
          </mc:Choice>
          <mc:Fallback>
            <w:pict>
              <v:rect id="shape_0" ID="Text Box 3" path="m0,0l-2147483645,0l-2147483645,-2147483646l0,-2147483646xe" fillcolor="white" stroked="f" o:allowincell="f" style="position:absolute;margin-left:284.15pt;margin-top:6.85pt;width:253.85pt;height:312.7pt;mso-wrap-style:square;v-text-anchor:top">
                <v:fill o:detectmouseclick="t" type="solid" color2="black"/>
                <v:stroke color="#3465a4" joinstyle="round" endcap="flat"/>
                <v:textbox>
                  <w:txbxContent>
                    <w:p>
                      <w:pPr>
                        <w:pStyle w:val="Style34"/>
                        <w:spacing w:before="0" w:after="0"/>
                        <w:ind w:firstLine="540" w:left="-540" w:right="-185"/>
                        <w:jc w:val="center"/>
                        <w:rPr>
                          <w:rFonts w:ascii="PT Astra Serif" w:hAnsi="PT Astra Serif"/>
                          <w:sz w:val="24"/>
                          <w:szCs w:val="24"/>
                        </w:rPr>
                      </w:pPr>
                      <w:r>
                        <w:rPr>
                          <w:rFonts w:cs="Times New Roman" w:ascii="PT Astra Serif" w:hAnsi="PT Astra Serif"/>
                          <w:b/>
                          <w:color w:val="000000"/>
                          <w:sz w:val="24"/>
                          <w:szCs w:val="24"/>
                        </w:rPr>
                        <w:t>Исполнитель</w:t>
                      </w:r>
                      <w:r>
                        <w:rPr>
                          <w:rFonts w:cs="Times New Roman" w:ascii="PT Astra Serif" w:hAnsi="PT Astra Serif"/>
                          <w:color w:val="000000"/>
                          <w:sz w:val="24"/>
                          <w:szCs w:val="24"/>
                        </w:rPr>
                        <w:t>:</w:t>
                      </w:r>
                    </w:p>
                    <w:p>
                      <w:pPr>
                        <w:pStyle w:val="BodyTextIndent"/>
                        <w:keepNext w:val="true"/>
                        <w:spacing w:before="0" w:after="0"/>
                        <w:ind w:left="0"/>
                        <w:jc w:val="both"/>
                        <w:rPr>
                          <w:rFonts w:ascii="PT Astra Serif" w:hAnsi="PT Astra Serif"/>
                          <w:b/>
                          <w:sz w:val="24"/>
                          <w:szCs w:val="24"/>
                        </w:rPr>
                      </w:pPr>
                      <w:r>
                        <w:rPr>
                          <w:rFonts w:ascii="PT Astra Serif" w:hAnsi="PT Astra Serif"/>
                          <w:b/>
                          <w:color w:val="000000"/>
                          <w:sz w:val="24"/>
                          <w:szCs w:val="24"/>
                        </w:rPr>
                      </w:r>
                    </w:p>
                    <w:p>
                      <w:pPr>
                        <w:pStyle w:val="Style34"/>
                        <w:spacing w:before="0" w:after="200"/>
                        <w:jc w:val="center"/>
                        <w:rPr>
                          <w:rFonts w:ascii="Times New Roman" w:hAnsi="Times New Roman" w:cs="Times New Roman"/>
                        </w:rPr>
                      </w:pPr>
                      <w:r>
                        <w:rPr>
                          <w:color w:val="000000"/>
                        </w:rPr>
                      </w:r>
                    </w:p>
                  </w:txbxContent>
                </v:textbox>
                <w10:wrap type="none"/>
              </v:rect>
            </w:pict>
          </mc:Fallback>
        </mc:AlternateContent>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1361"/>
        <w:rPr>
          <w:rFonts w:ascii="PT Astra Serif" w:hAnsi="PT Astra Serif" w:eastAsia="Times New Roman" w:cs="Times New Roman"/>
          <w:b/>
          <w:sz w:val="24"/>
          <w:szCs w:val="24"/>
          <w:lang w:eastAsia="ru-RU"/>
        </w:rPr>
      </w:pPr>
      <w:r>
        <w:rPr>
          <w:rFonts w:eastAsia="Times New Roman" w:cs="Times New Roman" w:ascii="PT Astra Serif" w:hAnsi="PT Astra Serif"/>
          <w:b/>
          <w:sz w:val="24"/>
          <w:szCs w:val="24"/>
          <w:lang w:eastAsia="ru-RU"/>
        </w:rPr>
      </w:r>
    </w:p>
    <w:p>
      <w:pPr>
        <w:pStyle w:val="Normal"/>
        <w:spacing w:lineRule="auto" w:line="240" w:before="0" w:after="0"/>
        <w:ind w:left="360"/>
        <w:jc w:val="right"/>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left="360"/>
        <w:jc w:val="right"/>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r>
        <w:br w:type="page"/>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Приложение 1 </w:t>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к государственному контракту </w:t>
      </w:r>
    </w:p>
    <w:p>
      <w:pPr>
        <w:pStyle w:val="Normal"/>
        <w:spacing w:lineRule="auto" w:line="240" w:before="0" w:after="0"/>
        <w:ind w:left="360"/>
        <w:contextualSpacing/>
        <w:jc w:val="right"/>
        <w:rPr>
          <w:rFonts w:ascii="PT Astra Serif" w:hAnsi="PT Astra Serif"/>
          <w:sz w:val="20"/>
          <w:szCs w:val="20"/>
        </w:rPr>
      </w:pPr>
      <w:r>
        <w:rPr>
          <w:rFonts w:eastAsia="Times New Roman" w:cs="Times New Roman" w:ascii="PT Astra Serif" w:hAnsi="PT Astra Serif"/>
          <w:sz w:val="20"/>
          <w:szCs w:val="20"/>
          <w:lang w:eastAsia="ru-RU"/>
        </w:rPr>
        <w:t xml:space="preserve">№ </w:t>
      </w:r>
      <w:r>
        <w:rPr>
          <w:rFonts w:eastAsia="Times New Roman" w:cs="Times New Roman" w:ascii="PT Astra Serif" w:hAnsi="PT Astra Serif"/>
          <w:sz w:val="20"/>
          <w:szCs w:val="20"/>
          <w:lang w:eastAsia="ru-RU"/>
        </w:rPr>
        <w:t>__________ от ___ ________2026 года</w:t>
      </w:r>
    </w:p>
    <w:p>
      <w:pPr>
        <w:pStyle w:val="Normal"/>
        <w:spacing w:lineRule="auto" w:line="240" w:before="0" w:after="0"/>
        <w:ind w:left="360"/>
        <w:contextualSpacing/>
        <w:jc w:val="right"/>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tabs>
          <w:tab w:val="clear" w:pos="708"/>
          <w:tab w:val="left" w:pos="0" w:leader="none"/>
        </w:tabs>
        <w:spacing w:lineRule="auto" w:line="240" w:before="0" w:after="0"/>
        <w:contextualSpacing/>
        <w:jc w:val="center"/>
        <w:rPr>
          <w:rFonts w:ascii="PT Astra Serif" w:hAnsi="PT Astra Serif"/>
          <w:sz w:val="24"/>
          <w:szCs w:val="24"/>
        </w:rPr>
      </w:pPr>
      <w:r>
        <w:rPr>
          <w:rFonts w:eastAsia="Times New Roman" w:cs="Times New Roman" w:ascii="PT Astra Serif" w:hAnsi="PT Astra Serif"/>
          <w:b/>
          <w:sz w:val="24"/>
          <w:szCs w:val="24"/>
          <w:lang w:eastAsia="ru-RU"/>
        </w:rPr>
        <w:t>ТЕХНИЧЕСКОЕ ЗАДАНИЕ</w:t>
      </w:r>
    </w:p>
    <w:p>
      <w:pPr>
        <w:pStyle w:val="Normal"/>
        <w:spacing w:lineRule="auto" w:line="240" w:before="0" w:after="0"/>
        <w:contextualSpacing/>
        <w:jc w:val="center"/>
        <w:rPr>
          <w:rFonts w:ascii="PT Astra Serif" w:hAnsi="PT Astra Serif"/>
          <w:sz w:val="24"/>
          <w:szCs w:val="24"/>
        </w:rPr>
      </w:pPr>
      <w:r>
        <w:rPr>
          <w:rFonts w:eastAsia="Times New Roman" w:cs="Times New Roman" w:ascii="PT Astra Serif" w:hAnsi="PT Astra Serif"/>
          <w:sz w:val="24"/>
          <w:szCs w:val="24"/>
          <w:lang w:eastAsia="ru-RU"/>
        </w:rPr>
        <w:t>на оказание услуг беспроводной (подвижной) связи</w:t>
      </w:r>
    </w:p>
    <w:p>
      <w:pPr>
        <w:pStyle w:val="Normal"/>
        <w:spacing w:lineRule="auto" w:line="240" w:before="0" w:after="0"/>
        <w:contextualSpacing/>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spacing w:lineRule="auto" w:line="240" w:before="0" w:after="0"/>
        <w:ind w:firstLine="708"/>
        <w:contextualSpacing/>
        <w:jc w:val="both"/>
        <w:rPr>
          <w:rFonts w:ascii="PT Astra Serif" w:hAnsi="PT Astra Serif"/>
          <w:sz w:val="24"/>
          <w:szCs w:val="24"/>
        </w:rPr>
      </w:pPr>
      <w:r>
        <w:rPr>
          <w:rFonts w:eastAsia="Calibri" w:cs="Times New Roman" w:ascii="PT Astra Serif" w:hAnsi="PT Astra Serif"/>
          <w:sz w:val="24"/>
          <w:szCs w:val="24"/>
        </w:rPr>
        <w:t xml:space="preserve">Услуги </w:t>
      </w:r>
      <w:r>
        <w:rPr>
          <w:rFonts w:eastAsia="Times New Roman" w:cs="Times New Roman" w:ascii="PT Astra Serif" w:hAnsi="PT Astra Serif"/>
          <w:sz w:val="24"/>
          <w:szCs w:val="24"/>
          <w:lang w:eastAsia="ru-RU"/>
        </w:rPr>
        <w:t xml:space="preserve">беспроводной (подвижной) </w:t>
      </w:r>
      <w:r>
        <w:rPr>
          <w:rFonts w:eastAsia="Calibri" w:cs="Times New Roman" w:ascii="PT Astra Serif" w:hAnsi="PT Astra Serif"/>
          <w:sz w:val="24"/>
          <w:szCs w:val="24"/>
        </w:rPr>
        <w:t xml:space="preserve">связи в стандарте GSM в диапазоне 900/1800 МГц, </w:t>
      </w:r>
      <w:r>
        <w:rPr>
          <w:rFonts w:eastAsia="Calibri" w:cs="Times New Roman" w:ascii="PT Astra Serif" w:hAnsi="PT Astra Serif"/>
          <w:sz w:val="24"/>
          <w:szCs w:val="24"/>
          <w:lang w:val="en-US"/>
        </w:rPr>
        <w:t>IMT</w:t>
      </w:r>
      <w:r>
        <w:rPr>
          <w:rFonts w:eastAsia="Calibri" w:cs="Times New Roman" w:ascii="PT Astra Serif" w:hAnsi="PT Astra Serif"/>
          <w:sz w:val="24"/>
          <w:szCs w:val="24"/>
        </w:rPr>
        <w:t>-2000/</w:t>
      </w:r>
      <w:r>
        <w:rPr>
          <w:rFonts w:eastAsia="Calibri" w:cs="Times New Roman" w:ascii="PT Astra Serif" w:hAnsi="PT Astra Serif"/>
          <w:sz w:val="24"/>
          <w:szCs w:val="24"/>
          <w:lang w:val="en-US"/>
        </w:rPr>
        <w:t>UMTS</w:t>
      </w:r>
      <w:r>
        <w:rPr>
          <w:rFonts w:eastAsia="Calibri" w:cs="Times New Roman" w:ascii="PT Astra Serif" w:hAnsi="PT Astra Serif"/>
          <w:sz w:val="24"/>
          <w:szCs w:val="24"/>
        </w:rPr>
        <w:t xml:space="preserve">  </w:t>
      </w:r>
      <w:r>
        <w:rPr>
          <w:rFonts w:eastAsia="Calibri" w:cs="Times New Roman" w:ascii="PT Astra Serif" w:hAnsi="PT Astra Serif"/>
          <w:b/>
          <w:bCs/>
          <w:sz w:val="24"/>
          <w:szCs w:val="24"/>
          <w:u w:val="single"/>
        </w:rPr>
        <w:t>на 12 федеральных абонентских номерах с сохранением номеров:</w:t>
      </w:r>
    </w:p>
    <w:tbl>
      <w:tblPr>
        <w:tblW w:w="10200" w:type="dxa"/>
        <w:jc w:val="left"/>
        <w:tblInd w:w="158" w:type="dxa"/>
        <w:tblLayout w:type="fixed"/>
        <w:tblCellMar>
          <w:top w:w="0" w:type="dxa"/>
          <w:left w:w="108" w:type="dxa"/>
          <w:bottom w:w="0" w:type="dxa"/>
          <w:right w:w="108" w:type="dxa"/>
        </w:tblCellMar>
      </w:tblPr>
      <w:tblGrid>
        <w:gridCol w:w="1912"/>
        <w:gridCol w:w="2338"/>
        <w:gridCol w:w="2338"/>
        <w:gridCol w:w="1525"/>
        <w:gridCol w:w="2087"/>
      </w:tblGrid>
      <w:tr>
        <w:trPr>
          <w:trHeight w:val="1281" w:hRule="atLeast"/>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Абонентский номер</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Тарифный план</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Цена оказания Услуг</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за 1 месяц, руб.</w:t>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Кол-во месяцев оказания Услуг</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Стоимость</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оказания</w:t>
            </w:r>
          </w:p>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
                <w:bCs/>
                <w:sz w:val="24"/>
                <w:szCs w:val="24"/>
              </w:rPr>
              <w:t>Услуг, руб.</w:t>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9140241664</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bCs/>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9140241678</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9146280165</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9146296143</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9246851492</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9246895832</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9247919420</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9146286396</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9147829941</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9245866552</w:t>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9245881156</w:t>
            </w:r>
          </w:p>
        </w:tc>
        <w:tc>
          <w:tcPr>
            <w:tcW w:w="2338"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1912"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Microsoft YaHei Light" w:cs="Times New Roman" w:ascii="PT Astra Serif" w:hAnsi="PT Astra Serif"/>
                <w:bCs/>
                <w:sz w:val="24"/>
                <w:szCs w:val="24"/>
              </w:rPr>
              <w:t>9245881152</w:t>
            </w:r>
          </w:p>
        </w:tc>
        <w:tc>
          <w:tcPr>
            <w:tcW w:w="2338"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c>
          <w:tcPr>
            <w:tcW w:w="2338"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sz w:val="24"/>
                <w:szCs w:val="24"/>
              </w:rPr>
            </w:pPr>
            <w:r>
              <w:rPr>
                <w:rFonts w:eastAsia="Calibri" w:cs="Times New Roman" w:ascii="PT Astra Serif" w:hAnsi="PT Astra Serif"/>
                <w:sz w:val="24"/>
                <w:szCs w:val="24"/>
              </w:rPr>
            </w:r>
          </w:p>
        </w:tc>
        <w:tc>
          <w:tcPr>
            <w:tcW w:w="1525"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sz w:val="24"/>
                <w:szCs w:val="24"/>
              </w:rPr>
              <w:t>12</w:t>
            </w:r>
          </w:p>
        </w:tc>
        <w:tc>
          <w:tcPr>
            <w:tcW w:w="2087"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Cs/>
                <w:sz w:val="24"/>
                <w:szCs w:val="24"/>
              </w:rPr>
            </w:pPr>
            <w:r>
              <w:rPr>
                <w:rFonts w:eastAsia="Calibri" w:cs="Times New Roman" w:ascii="PT Astra Serif" w:hAnsi="PT Astra Serif"/>
                <w:bCs/>
                <w:sz w:val="24"/>
                <w:szCs w:val="24"/>
              </w:rPr>
            </w:r>
          </w:p>
        </w:tc>
      </w:tr>
      <w:tr>
        <w:trPr/>
        <w:tc>
          <w:tcPr>
            <w:tcW w:w="8113"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4"/>
                <w:szCs w:val="24"/>
              </w:rPr>
            </w:pPr>
            <w:r>
              <w:rPr>
                <w:rFonts w:eastAsia="Calibri" w:cs="Times New Roman" w:ascii="PT Astra Serif" w:hAnsi="PT Astra Serif"/>
                <w:sz w:val="24"/>
                <w:szCs w:val="24"/>
              </w:rPr>
              <w:t xml:space="preserve">                                                                                                                 </w:t>
            </w:r>
            <w:r>
              <w:rPr>
                <w:rFonts w:eastAsia="Calibri" w:cs="Times New Roman" w:ascii="PT Astra Serif" w:hAnsi="PT Astra Serif"/>
                <w:sz w:val="24"/>
                <w:szCs w:val="24"/>
              </w:rPr>
              <w:t>ИТОГО:</w:t>
            </w:r>
          </w:p>
        </w:tc>
        <w:tc>
          <w:tcPr>
            <w:tcW w:w="20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eastAsia="Calibri" w:cs="Times New Roman"/>
                <w:b/>
                <w:sz w:val="24"/>
                <w:szCs w:val="24"/>
              </w:rPr>
            </w:pPr>
            <w:r>
              <w:rPr>
                <w:rFonts w:eastAsia="Calibri" w:cs="Times New Roman" w:ascii="PT Astra Serif" w:hAnsi="PT Astra Serif"/>
                <w:b/>
                <w:sz w:val="24"/>
                <w:szCs w:val="24"/>
              </w:rPr>
            </w:r>
          </w:p>
        </w:tc>
      </w:tr>
    </w:tbl>
    <w:tbl>
      <w:tblPr>
        <w:tblpPr w:vertAnchor="text" w:horzAnchor="text" w:leftFromText="180" w:rightFromText="180" w:tblpX="275" w:tblpY="50"/>
        <w:tblW w:w="10313" w:type="dxa"/>
        <w:jc w:val="left"/>
        <w:tblInd w:w="108" w:type="dxa"/>
        <w:tblLayout w:type="fixed"/>
        <w:tblCellMar>
          <w:top w:w="0" w:type="dxa"/>
          <w:left w:w="108" w:type="dxa"/>
          <w:bottom w:w="0" w:type="dxa"/>
          <w:right w:w="108" w:type="dxa"/>
        </w:tblCellMar>
      </w:tblPr>
      <w:tblGrid>
        <w:gridCol w:w="2968"/>
        <w:gridCol w:w="1562"/>
        <w:gridCol w:w="1273"/>
        <w:gridCol w:w="1674"/>
        <w:gridCol w:w="2836"/>
      </w:tblGrid>
      <w:tr>
        <w:trPr>
          <w:trHeight w:val="397"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Наименование услуг</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ОКПД2</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Кол-во,</w:t>
            </w:r>
          </w:p>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(месяц)</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Цена за ед. (руб.)</w:t>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lineRule="auto" w:line="240" w:before="0" w:after="0"/>
              <w:ind w:hanging="0" w:left="720"/>
              <w:contextualSpacing/>
              <w:jc w:val="left"/>
              <w:rPr/>
            </w:pPr>
            <w:r>
              <w:rPr>
                <w:rFonts w:cs="Times New Roman" w:ascii="Times New Roman" w:hAnsi="Times New Roman"/>
                <w:b/>
                <w:sz w:val="24"/>
                <w:szCs w:val="24"/>
              </w:rPr>
              <w:t>Общая сумма (руб.)</w:t>
            </w:r>
          </w:p>
        </w:tc>
      </w:tr>
      <w:tr>
        <w:trPr>
          <w:trHeight w:val="859" w:hRule="atLeast"/>
        </w:trPr>
        <w:tc>
          <w:tcPr>
            <w:tcW w:w="29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color w:val="000000"/>
              </w:rPr>
            </w:pPr>
            <w:r>
              <w:rPr>
                <w:rFonts w:cs="Times New Roman" w:ascii="Times New Roman" w:hAnsi="Times New Roman"/>
                <w:color w:val="000000"/>
                <w:sz w:val="24"/>
                <w:szCs w:val="24"/>
              </w:rPr>
              <w:t>Оказание услуг беспроводной (подвижной) связи</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color w:themeColor="dark1" w:val="000000"/>
                <w:sz w:val="24"/>
                <w:szCs w:val="24"/>
              </w:rPr>
              <w:t>61.20.11.000</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t>12</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rFonts w:cs="Times New Roman" w:ascii="Times New Roman" w:hAnsi="Times New Roman"/>
                <w:sz w:val="24"/>
                <w:szCs w:val="24"/>
                <w:shd w:fill="auto" w:val="clear"/>
                <w:lang w:val="en-US"/>
              </w:rPr>
              <w:t>Не более 4800,00</w:t>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rFonts w:cs="Times New Roman" w:ascii="Times New Roman" w:hAnsi="Times New Roman"/>
                <w:sz w:val="24"/>
                <w:szCs w:val="24"/>
                <w:shd w:fill="auto" w:val="clear"/>
              </w:rPr>
              <w:t>Не более 57 168,00</w:t>
            </w:r>
          </w:p>
        </w:tc>
      </w:tr>
      <w:tr>
        <w:trPr>
          <w:trHeight w:val="334" w:hRule="atLeast"/>
        </w:trPr>
        <w:tc>
          <w:tcPr>
            <w:tcW w:w="7477"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right"/>
              <w:rPr>
                <w:rFonts w:ascii="Times New Roman" w:hAnsi="Times New Roman" w:cs="Times New Roman"/>
                <w:b/>
                <w:sz w:val="24"/>
                <w:szCs w:val="24"/>
              </w:rPr>
            </w:pPr>
            <w:r>
              <w:rPr>
                <w:rFonts w:cs="Times New Roman" w:ascii="Times New Roman" w:hAnsi="Times New Roman"/>
                <w:b/>
                <w:sz w:val="24"/>
                <w:szCs w:val="24"/>
              </w:rPr>
              <w:t>ИТОГО</w:t>
            </w:r>
          </w:p>
        </w:tc>
        <w:tc>
          <w:tcPr>
            <w:tcW w:w="28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highlight w:val="none"/>
                <w:shd w:fill="auto" w:val="clear"/>
              </w:rPr>
            </w:pPr>
            <w:r>
              <w:rPr>
                <w:shd w:fill="auto" w:val="clear"/>
              </w:rPr>
            </w:r>
          </w:p>
        </w:tc>
      </w:tr>
    </w:tbl>
    <w:p>
      <w:pPr>
        <w:pStyle w:val="Normal"/>
        <w:spacing w:lineRule="auto" w:line="240" w:before="0" w:after="0"/>
        <w:ind w:right="-185"/>
        <w:jc w:val="both"/>
        <w:rPr>
          <w:rFonts w:ascii="PT Astra Serif" w:hAnsi="PT Astra Serif"/>
          <w:sz w:val="24"/>
          <w:szCs w:val="24"/>
        </w:rPr>
      </w:pPr>
      <w:r>
        <w:rPr>
          <w:rFonts w:ascii="PT Astra Serif" w:hAnsi="PT Astra Serif"/>
          <w:sz w:val="24"/>
          <w:szCs w:val="24"/>
        </w:rPr>
      </w:r>
    </w:p>
    <w:p>
      <w:pPr>
        <w:pStyle w:val="Normal"/>
        <w:spacing w:lineRule="auto" w:line="240" w:before="0" w:after="0"/>
        <w:ind w:right="-185"/>
        <w:jc w:val="both"/>
        <w:rPr>
          <w:rFonts w:ascii="PT Astra Serif" w:hAnsi="PT Astra Serif"/>
          <w:sz w:val="24"/>
          <w:szCs w:val="24"/>
        </w:rPr>
      </w:pPr>
      <w:r>
        <w:rPr>
          <w:rFonts w:eastAsia="Calibri" w:cs="Times New Roman" w:ascii="PT Astra Serif" w:hAnsi="PT Astra Serif"/>
          <w:sz w:val="24"/>
          <w:szCs w:val="24"/>
        </w:rPr>
        <w:tab/>
        <w:t xml:space="preserve">Адрес Заказчика - </w:t>
      </w:r>
      <w:r>
        <w:rPr>
          <w:rFonts w:eastAsia="Times New Roman" w:cs="Times New Roman" w:ascii="PT Astra Serif" w:hAnsi="PT Astra Serif"/>
          <w:sz w:val="24"/>
          <w:szCs w:val="24"/>
          <w:lang w:eastAsia="ru-RU"/>
        </w:rPr>
        <w:t>683017, г. Петропавловск-Камчатский, пер. Ботанический, д. 4.</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Деятельность Исполнителя лицензирована в порядке, установленном пунктом 36 частью 1 статьи 12 Федерального закона от 04.05.2011 № 99-ФЗ «О лицензировании отдельных видов деятельности», частью 1 статьи 29 Федерального закона от 07.07.2003  № 126-ФЗ «О связи». Исполнитель обязуется представить Заказчику копии лицензий на осуществление деятельности в области оказания услуг связи по следующим наименованиям услуг:</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подвижной радиотелефонной связи (сети стандарта GSM900/1800);</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подвижной радиотелефонной связи (сети стандарта IMT-2000/UMTS);</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телематических услуги связи, в том числе и передачу данных по CSD-каналам;</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предоставление Услуг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(работы, предусмотренные пунктами 12, 13, 14, 20, 21, 22, 23, 25, 26, 27, 28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 апреля 2012 г. № 313</w:t>
      </w:r>
    </w:p>
    <w:p>
      <w:pPr>
        <w:pStyle w:val="Normal"/>
        <w:tabs>
          <w:tab w:val="clear" w:pos="708"/>
          <w:tab w:val="left" w:pos="1134" w:leader="none"/>
        </w:tabs>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 оказание услуг связи по передаче данных.</w:t>
      </w:r>
    </w:p>
    <w:p>
      <w:pPr>
        <w:pStyle w:val="Normal"/>
        <w:tabs>
          <w:tab w:val="clear" w:pos="708"/>
          <w:tab w:val="left" w:pos="1134" w:leader="none"/>
        </w:tabs>
        <w:spacing w:lineRule="auto" w:line="240" w:before="0" w:after="0"/>
        <w:ind w:left="709"/>
        <w:jc w:val="both"/>
        <w:rPr>
          <w:rFonts w:ascii="PT Astra Serif" w:hAnsi="PT Astra Serif" w:eastAsia="Calibri" w:cs="Times New Roman"/>
          <w:sz w:val="24"/>
          <w:szCs w:val="24"/>
          <w:shd w:fill="FFFF00" w:val="clear"/>
          <w:lang w:eastAsia="ru-RU"/>
        </w:rPr>
      </w:pPr>
      <w:r>
        <w:rPr>
          <w:rFonts w:eastAsia="Calibri" w:cs="Times New Roman" w:ascii="PT Astra Serif" w:hAnsi="PT Astra Serif"/>
          <w:sz w:val="24"/>
          <w:szCs w:val="24"/>
          <w:shd w:fill="FFFF00" w:val="clear"/>
          <w:lang w:eastAsia="ru-RU"/>
        </w:rPr>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rPr>
        <w:t>Характеристики, количество, объем, требования к указанию Услуг, место оказания Услуг (зона покрытия):</w:t>
      </w:r>
    </w:p>
    <w:p>
      <w:pPr>
        <w:pStyle w:val="Normal"/>
        <w:spacing w:lineRule="auto" w:line="240" w:before="0" w:after="0"/>
        <w:ind w:left="33" w:right="-185"/>
        <w:rPr>
          <w:rFonts w:ascii="PT Astra Serif" w:hAnsi="PT Astra Serif" w:eastAsia="Calibri" w:cs="Times New Roman"/>
          <w:sz w:val="24"/>
          <w:szCs w:val="24"/>
        </w:rPr>
      </w:pPr>
      <w:r>
        <w:rPr>
          <w:rFonts w:eastAsia="Calibri" w:cs="Times New Roman" w:ascii="PT Astra Serif" w:hAnsi="PT Astra Serif"/>
          <w:sz w:val="24"/>
          <w:szCs w:val="24"/>
        </w:rPr>
      </w:r>
    </w:p>
    <w:tbl>
      <w:tblPr>
        <w:tblW w:w="10005" w:type="dxa"/>
        <w:jc w:val="left"/>
        <w:tblInd w:w="319" w:type="dxa"/>
        <w:tblLayout w:type="fixed"/>
        <w:tblCellMar>
          <w:top w:w="0" w:type="dxa"/>
          <w:left w:w="108" w:type="dxa"/>
          <w:bottom w:w="0" w:type="dxa"/>
          <w:right w:w="108" w:type="dxa"/>
        </w:tblCellMar>
      </w:tblPr>
      <w:tblGrid>
        <w:gridCol w:w="4663"/>
        <w:gridCol w:w="2087"/>
        <w:gridCol w:w="3255"/>
      </w:tblGrid>
      <w:tr>
        <w:trPr>
          <w:tblHeader w:val="true"/>
          <w:trHeight w:val="316"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PT Astra Serif" w:hAnsi="PT Astra Serif"/>
                <w:sz w:val="24"/>
                <w:szCs w:val="24"/>
              </w:rPr>
            </w:pPr>
            <w:r>
              <w:rPr>
                <w:rFonts w:eastAsia="Calibri" w:cs="Times New Roman" w:ascii="PT Astra Serif" w:hAnsi="PT Astra Serif"/>
                <w:b/>
                <w:sz w:val="24"/>
                <w:szCs w:val="24"/>
                <w:lang w:eastAsia="ru-RU"/>
              </w:rPr>
              <w:t>Характеристики, количество, объем, требования к указанию услуг связи, место оказания услуг (зона покрытия)</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13" w:right="34"/>
              <w:jc w:val="center"/>
              <w:rPr>
                <w:rFonts w:ascii="PT Astra Serif" w:hAnsi="PT Astra Serif"/>
                <w:sz w:val="24"/>
                <w:szCs w:val="24"/>
              </w:rPr>
            </w:pPr>
            <w:r>
              <w:rPr>
                <w:rFonts w:eastAsia="Calibri" w:cs="Times New Roman" w:ascii="PT Astra Serif" w:hAnsi="PT Astra Serif"/>
                <w:b/>
                <w:bCs/>
                <w:sz w:val="24"/>
                <w:szCs w:val="24"/>
                <w:lang w:eastAsia="ru-RU"/>
              </w:rPr>
              <w:t>Абонентский номер</w:t>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13" w:right="-113"/>
              <w:jc w:val="center"/>
              <w:rPr>
                <w:rFonts w:ascii="PT Astra Serif" w:hAnsi="PT Astra Serif"/>
                <w:sz w:val="24"/>
                <w:szCs w:val="24"/>
              </w:rPr>
            </w:pPr>
            <w:r>
              <w:rPr>
                <w:rFonts w:eastAsia="Calibri" w:cs="Times New Roman" w:ascii="PT Astra Serif" w:hAnsi="PT Astra Serif"/>
                <w:b/>
                <w:bCs/>
                <w:sz w:val="24"/>
                <w:szCs w:val="24"/>
                <w:lang w:eastAsia="ru-RU"/>
              </w:rPr>
              <w:t>Периодичность предоставления Услуг</w:t>
            </w:r>
          </w:p>
        </w:tc>
      </w:tr>
      <w:tr>
        <w:trPr>
          <w:trHeight w:val="576"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Тарифный план с лимитной связью с включённой оплатой за предоставление Услуг ежемесячно:</w:t>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1.</w:t>
              <w:tab/>
              <w:t>Использование федерального номера.</w:t>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2.</w:t>
              <w:tab/>
              <w:t>Входящие вызовы 0,00 руб.</w:t>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3.</w:t>
              <w:tab/>
              <w:t>В тариф включены безлимитные исходящие вызовы на номера абонентов оператора по всей России. Исходящие вызовы внутри корпоративной группы 0,00 руб. Исходящие вызовы на номера того же оператора домашнего региона (Камчатский край) 0,00 руб.</w:t>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4. Тариф включает пакет минут исходящей связи на номера других операторов мобильной связи, на номера местной связи домашнего региона (Камчатский край) и исходящей междугородней связи по всей территории Российской Федерации. Размер пакета для каждого из номеров представлен ниже:</w:t>
            </w:r>
          </w:p>
          <w:p>
            <w:pPr>
              <w:pStyle w:val="Normal"/>
              <w:spacing w:lineRule="auto" w:line="240" w:before="0" w:after="0"/>
              <w:ind w:firstLine="397"/>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tbl>
            <w:tblPr>
              <w:tblW w:w="4425" w:type="dxa"/>
              <w:jc w:val="left"/>
              <w:tblInd w:w="0" w:type="dxa"/>
              <w:tblLayout w:type="fixed"/>
              <w:tblCellMar>
                <w:top w:w="0" w:type="dxa"/>
                <w:left w:w="108" w:type="dxa"/>
                <w:bottom w:w="0" w:type="dxa"/>
                <w:right w:w="108" w:type="dxa"/>
              </w:tblCellMar>
            </w:tblPr>
            <w:tblGrid>
              <w:gridCol w:w="2152"/>
              <w:gridCol w:w="2273"/>
            </w:tblGrid>
            <w:tr>
              <w:trPr/>
              <w:tc>
                <w:tcPr>
                  <w:tcW w:w="21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Пакет минут не менее</w:t>
                  </w:r>
                </w:p>
              </w:tc>
              <w:tc>
                <w:tcPr>
                  <w:tcW w:w="2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4"/>
                      <w:szCs w:val="24"/>
                    </w:rPr>
                  </w:pPr>
                  <w:r>
                    <w:rPr>
                      <w:rFonts w:eastAsia="Calibri" w:cs="Times New Roman" w:ascii="PT Astra Serif" w:hAnsi="PT Astra Serif"/>
                      <w:sz w:val="24"/>
                      <w:szCs w:val="24"/>
                      <w:lang w:eastAsia="ru-RU"/>
                    </w:rPr>
                    <w:t>800</w:t>
                  </w:r>
                </w:p>
              </w:tc>
            </w:tr>
          </w:tbl>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5. Тариф включает не менее 500 SMS на номера оператора по всей России.</w:t>
            </w:r>
          </w:p>
          <w:p>
            <w:pPr>
              <w:pStyle w:val="Normal"/>
              <w:spacing w:lineRule="auto" w:line="240" w:before="0" w:after="0"/>
              <w:ind w:firstLine="397"/>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7.</w:t>
              <w:tab/>
              <w:t>Тариф включает безлимитный мобильный интернет для пользования в домашнем регионе (Камчатском крае) и по всей территории Российской Федерации. Скорость подключения к сети интернет в пределах пакета не ограничена.</w:t>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Доступны для использования в сетях 2G, 3G (UMTS), 4G GPRS-трафик (приём и передача данных).</w:t>
            </w:r>
          </w:p>
          <w:p>
            <w:pPr>
              <w:pStyle w:val="Normal"/>
              <w:spacing w:lineRule="auto" w:line="240" w:before="0" w:after="0"/>
              <w:ind w:firstLine="397"/>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p>
            <w:pPr>
              <w:pStyle w:val="Normal"/>
              <w:spacing w:lineRule="auto" w:line="240" w:before="0" w:after="0"/>
              <w:ind w:firstLine="397"/>
              <w:jc w:val="both"/>
              <w:rPr>
                <w:rFonts w:ascii="PT Astra Serif" w:hAnsi="PT Astra Serif"/>
                <w:sz w:val="24"/>
                <w:szCs w:val="24"/>
              </w:rPr>
            </w:pPr>
            <w:r>
              <w:rPr>
                <w:rFonts w:eastAsia="Calibri" w:cs="Times New Roman" w:ascii="PT Astra Serif" w:hAnsi="PT Astra Serif"/>
                <w:sz w:val="24"/>
                <w:szCs w:val="24"/>
                <w:lang w:eastAsia="ru-RU"/>
              </w:rPr>
              <w:t>8.</w:t>
              <w:tab/>
              <w:t>Предоставление международного роуминга.</w:t>
            </w:r>
          </w:p>
          <w:p>
            <w:pPr>
              <w:pStyle w:val="Normal"/>
              <w:spacing w:lineRule="auto" w:line="240" w:before="0" w:after="0"/>
              <w:ind w:firstLine="397"/>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360"/>
              <w:jc w:val="center"/>
              <w:rPr>
                <w:rFonts w:ascii="PT Astra Serif" w:hAnsi="PT Astra Serif" w:eastAsia="Microsoft YaHei Light" w:cs="Times New Roman"/>
                <w:b/>
                <w:bCs/>
                <w:sz w:val="24"/>
                <w:szCs w:val="24"/>
                <w:lang w:eastAsia="ru-RU"/>
              </w:rPr>
            </w:pPr>
            <w:r>
              <w:rPr>
                <w:rFonts w:eastAsia="Microsoft YaHei Light" w:cs="Times New Roman" w:ascii="PT Astra Serif" w:hAnsi="PT Astra Serif"/>
                <w:b/>
                <w:bCs/>
                <w:sz w:val="24"/>
                <w:szCs w:val="24"/>
                <w:lang w:eastAsia="ru-RU"/>
              </w:rPr>
            </w:r>
          </w:p>
          <w:p>
            <w:pPr>
              <w:pStyle w:val="Normal"/>
              <w:spacing w:lineRule="auto" w:line="240" w:before="0" w:after="0"/>
              <w:ind w:left="360"/>
              <w:jc w:val="center"/>
              <w:rPr>
                <w:rFonts w:ascii="PT Astra Serif" w:hAnsi="PT Astra Serif" w:eastAsia="Microsoft YaHei Light" w:cs="Times New Roman"/>
                <w:b/>
                <w:bCs/>
                <w:sz w:val="24"/>
                <w:szCs w:val="24"/>
                <w:lang w:eastAsia="ru-RU"/>
              </w:rPr>
            </w:pPr>
            <w:r>
              <w:rPr>
                <w:rFonts w:eastAsia="Microsoft YaHei Light" w:cs="Times New Roman" w:ascii="PT Astra Serif" w:hAnsi="PT Astra Serif"/>
                <w:b/>
                <w:bCs/>
                <w:sz w:val="24"/>
                <w:szCs w:val="24"/>
                <w:lang w:eastAsia="ru-RU"/>
              </w:rPr>
            </w:r>
          </w:p>
          <w:p>
            <w:pPr>
              <w:pStyle w:val="Normal"/>
              <w:spacing w:lineRule="auto" w:line="240" w:before="0" w:after="0"/>
              <w:ind w:left="360"/>
              <w:jc w:val="center"/>
              <w:rPr>
                <w:rFonts w:ascii="PT Astra Serif" w:hAnsi="PT Astra Serif" w:eastAsia="Microsoft YaHei Light" w:cs="Times New Roman"/>
                <w:b/>
                <w:bCs/>
                <w:sz w:val="24"/>
                <w:szCs w:val="24"/>
                <w:lang w:eastAsia="ru-RU"/>
              </w:rPr>
            </w:pPr>
            <w:r>
              <w:rPr>
                <w:rFonts w:eastAsia="Microsoft YaHei Light" w:cs="Times New Roman" w:ascii="PT Astra Serif" w:hAnsi="PT Astra Serif"/>
                <w:b/>
                <w:bCs/>
                <w:sz w:val="24"/>
                <w:szCs w:val="24"/>
                <w:lang w:eastAsia="ru-RU"/>
              </w:rPr>
            </w:r>
          </w:p>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3 номера</w:t>
            </w:r>
          </w:p>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9140241664</w:t>
            </w:r>
          </w:p>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9146280165</w:t>
            </w:r>
          </w:p>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9146296143</w:t>
            </w:r>
          </w:p>
          <w:p>
            <w:pPr>
              <w:pStyle w:val="Normal"/>
              <w:spacing w:lineRule="auto" w:line="240" w:before="0" w:after="0"/>
              <w:ind w:left="360"/>
              <w:jc w:val="center"/>
              <w:rPr>
                <w:rFonts w:ascii="PT Astra Serif" w:hAnsi="PT Astra Serif"/>
                <w:sz w:val="24"/>
                <w:szCs w:val="24"/>
              </w:rPr>
            </w:pPr>
            <w:r>
              <w:rPr>
                <w:rFonts w:ascii="PT Astra Serif" w:hAnsi="PT Astra Serif"/>
                <w:sz w:val="24"/>
                <w:szCs w:val="24"/>
              </w:rPr>
            </w:r>
          </w:p>
          <w:p>
            <w:pPr>
              <w:pStyle w:val="Normal"/>
              <w:spacing w:lineRule="auto" w:line="240" w:before="0" w:after="0"/>
              <w:ind w:left="360"/>
              <w:jc w:val="center"/>
              <w:rPr>
                <w:rFonts w:ascii="PT Astra Serif" w:hAnsi="PT Astra Serif" w:eastAsia="Calibri" w:cs="Times New Roman"/>
                <w:b/>
                <w:sz w:val="24"/>
                <w:szCs w:val="24"/>
                <w:lang w:eastAsia="ru-RU"/>
              </w:rPr>
            </w:pPr>
            <w:r>
              <w:rPr>
                <w:rFonts w:eastAsia="Calibri" w:cs="Times New Roman" w:ascii="PT Astra Serif" w:hAnsi="PT Astra Serif"/>
                <w:b/>
                <w:sz w:val="24"/>
                <w:szCs w:val="24"/>
                <w:lang w:eastAsia="ru-RU"/>
              </w:rPr>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PT Astra Serif" w:hAnsi="PT Astra Serif"/>
                <w:sz w:val="24"/>
                <w:szCs w:val="24"/>
              </w:rPr>
            </w:pPr>
            <w:r>
              <w:rPr>
                <w:rFonts w:eastAsia="Calibri" w:cs="Times New Roman" w:ascii="PT Astra Serif" w:hAnsi="PT Astra Serif"/>
                <w:sz w:val="24"/>
                <w:szCs w:val="24"/>
                <w:lang w:eastAsia="ru-RU"/>
              </w:rPr>
              <w:t>Ежедневно, 24 часа в сутки, 7 дней в неделю, на протяжении всего действия Контракта</w:t>
            </w:r>
          </w:p>
        </w:tc>
      </w:tr>
      <w:tr>
        <w:trPr>
          <w:trHeight w:val="871"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jc w:val="both"/>
              <w:rPr>
                <w:rFonts w:ascii="PT Astra Serif" w:hAnsi="PT Astra Serif"/>
                <w:sz w:val="24"/>
                <w:szCs w:val="24"/>
              </w:rPr>
            </w:pPr>
            <w:r>
              <w:rPr>
                <w:rFonts w:eastAsia="Calibri" w:cs="Times New Roman" w:ascii="PT Astra Serif" w:hAnsi="PT Astra Serif"/>
                <w:sz w:val="24"/>
                <w:szCs w:val="24"/>
                <w:lang w:eastAsia="ru-RU"/>
              </w:rPr>
              <w:t xml:space="preserve">Тариф для IoT/M2M устройств. С включенным трафиком не менее 1 </w:t>
            </w:r>
            <w:r>
              <w:rPr>
                <w:rFonts w:eastAsia="Calibri" w:cs="Times New Roman" w:ascii="PT Astra Serif" w:hAnsi="PT Astra Serif"/>
                <w:sz w:val="24"/>
                <w:szCs w:val="24"/>
                <w:lang w:val="en-US" w:eastAsia="ru-RU"/>
              </w:rPr>
              <w:t>Gb</w:t>
            </w:r>
            <w:r>
              <w:rPr>
                <w:rFonts w:eastAsia="Calibri" w:cs="Times New Roman" w:ascii="PT Astra Serif" w:hAnsi="PT Astra Serif"/>
                <w:sz w:val="24"/>
                <w:szCs w:val="24"/>
                <w:lang w:eastAsia="ru-RU"/>
              </w:rPr>
              <w:t xml:space="preserve"> в месяц на каждый номер, пакетом </w:t>
            </w:r>
            <w:r>
              <w:rPr>
                <w:rFonts w:eastAsia="Calibri" w:cs="Times New Roman" w:ascii="PT Astra Serif" w:hAnsi="PT Astra Serif"/>
                <w:sz w:val="24"/>
                <w:szCs w:val="24"/>
                <w:lang w:val="en-US" w:eastAsia="ru-RU"/>
              </w:rPr>
              <w:t>sms</w:t>
            </w:r>
            <w:r>
              <w:rPr>
                <w:rFonts w:eastAsia="Calibri" w:cs="Times New Roman" w:ascii="PT Astra Serif" w:hAnsi="PT Astra Serif"/>
                <w:sz w:val="24"/>
                <w:szCs w:val="24"/>
                <w:lang w:eastAsia="ru-RU"/>
              </w:rPr>
              <w:t xml:space="preserve"> не менее 50 в месяц на каждый номер, пакет </w:t>
            </w:r>
            <w:r>
              <w:rPr>
                <w:rFonts w:eastAsia="Calibri" w:cs="Times New Roman" w:ascii="PT Astra Serif" w:hAnsi="PT Astra Serif"/>
                <w:sz w:val="24"/>
                <w:szCs w:val="24"/>
                <w:lang w:val="en-US" w:eastAsia="ru-RU"/>
              </w:rPr>
              <w:t>CSD</w:t>
            </w:r>
            <w:r>
              <w:rPr>
                <w:rFonts w:eastAsia="Calibri" w:cs="Times New Roman" w:ascii="PT Astra Serif" w:hAnsi="PT Astra Serif"/>
                <w:sz w:val="24"/>
                <w:szCs w:val="24"/>
                <w:lang w:eastAsia="ru-RU"/>
              </w:rPr>
              <w:t xml:space="preserve"> трафика не менее 200 минут в месяц на каждый номер Использование федерального номера.</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360"/>
              <w:jc w:val="center"/>
              <w:rPr>
                <w:highlight w:val="none"/>
                <w:shd w:fill="FFFFFF" w:val="clear"/>
              </w:rPr>
            </w:pPr>
            <w:r>
              <w:rPr>
                <w:rFonts w:eastAsia="Microsoft YaHei Light" w:cs="Times New Roman" w:ascii="PT Astra Serif" w:hAnsi="PT Astra Serif"/>
                <w:b/>
                <w:bCs/>
                <w:sz w:val="24"/>
                <w:szCs w:val="24"/>
                <w:shd w:fill="FFFFFF" w:val="clear"/>
                <w:lang w:eastAsia="ru-RU"/>
              </w:rPr>
              <w:t>8 номеров</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9140241678</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9247919420</w:t>
            </w:r>
          </w:p>
          <w:p>
            <w:pPr>
              <w:pStyle w:val="Normal"/>
              <w:spacing w:lineRule="auto" w:line="240" w:before="0" w:after="0"/>
              <w:contextualSpacing/>
              <w:jc w:val="center"/>
              <w:rPr>
                <w:highlight w:val="none"/>
                <w:shd w:fill="FFFFFF" w:val="clear"/>
              </w:rPr>
            </w:pPr>
            <w:r>
              <w:rPr>
                <w:rFonts w:eastAsia="Microsoft YaHei Light" w:cs="Times New Roman" w:ascii="PT Astra Serif" w:hAnsi="PT Astra Serif"/>
                <w:b/>
                <w:bCs/>
                <w:sz w:val="24"/>
                <w:szCs w:val="24"/>
                <w:shd w:fill="FFFFFF" w:val="clear"/>
                <w:lang w:eastAsia="ru-RU"/>
              </w:rPr>
              <w:t xml:space="preserve">     </w:t>
            </w:r>
            <w:r>
              <w:rPr>
                <w:rFonts w:eastAsia="Microsoft YaHei Light" w:cs="Times New Roman" w:ascii="PT Astra Serif" w:hAnsi="PT Astra Serif"/>
                <w:b/>
                <w:bCs/>
                <w:sz w:val="24"/>
                <w:szCs w:val="24"/>
                <w:shd w:fill="FFFFFF" w:val="clear"/>
                <w:lang w:eastAsia="ru-RU"/>
              </w:rPr>
              <w:t>9147829941</w:t>
            </w:r>
          </w:p>
          <w:p>
            <w:pPr>
              <w:pStyle w:val="Normal"/>
              <w:spacing w:lineRule="auto" w:line="240" w:before="0" w:after="0"/>
              <w:ind w:left="357" w:right="34"/>
              <w:jc w:val="center"/>
              <w:rPr>
                <w:highlight w:val="none"/>
                <w:shd w:fill="FFFFFF" w:val="clear"/>
              </w:rPr>
            </w:pPr>
            <w:r>
              <w:rPr>
                <w:rFonts w:eastAsia="Microsoft YaHei Light" w:cs="Times New Roman" w:ascii="PT Astra Serif" w:hAnsi="PT Astra Serif"/>
                <w:b/>
                <w:bCs/>
                <w:sz w:val="24"/>
                <w:szCs w:val="24"/>
                <w:shd w:fill="FFFFFF" w:val="clear"/>
                <w:lang w:eastAsia="ru-RU"/>
              </w:rPr>
              <w:t>9146286396</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9246851492</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9246895832</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9245881156</w:t>
            </w:r>
          </w:p>
          <w:p>
            <w:pPr>
              <w:pStyle w:val="Normal"/>
              <w:spacing w:lineRule="auto" w:line="240" w:before="0" w:after="0"/>
              <w:ind w:left="357"/>
              <w:jc w:val="center"/>
              <w:rPr>
                <w:highlight w:val="none"/>
                <w:shd w:fill="FFFFFF" w:val="clear"/>
              </w:rPr>
            </w:pPr>
            <w:r>
              <w:rPr>
                <w:rFonts w:eastAsia="Microsoft YaHei Light" w:cs="Times New Roman" w:ascii="PT Astra Serif" w:hAnsi="PT Astra Serif"/>
                <w:b/>
                <w:bCs/>
                <w:sz w:val="24"/>
                <w:szCs w:val="24"/>
                <w:shd w:fill="FFFFFF" w:val="clear"/>
                <w:lang w:eastAsia="ru-RU"/>
              </w:rPr>
              <w:t>9245881152</w:t>
            </w:r>
          </w:p>
          <w:p>
            <w:pPr>
              <w:pStyle w:val="Normal"/>
              <w:spacing w:lineRule="auto" w:line="240" w:before="0" w:after="0"/>
              <w:ind w:left="357" w:right="34"/>
              <w:jc w:val="center"/>
              <w:rPr>
                <w:rFonts w:ascii="PT Astra Serif" w:hAnsi="PT Astra Serif" w:eastAsia="Calibri" w:cs="Times New Roman"/>
                <w:sz w:val="24"/>
                <w:szCs w:val="24"/>
                <w:highlight w:val="none"/>
                <w:shd w:fill="FFFFFF" w:val="clear"/>
                <w:lang w:eastAsia="ru-RU"/>
              </w:rPr>
            </w:pPr>
            <w:r>
              <w:rPr>
                <w:rFonts w:eastAsia="Calibri" w:cs="Times New Roman" w:ascii="PT Astra Serif" w:hAnsi="PT Astra Serif"/>
                <w:sz w:val="24"/>
                <w:szCs w:val="24"/>
                <w:shd w:fill="FFFFFF" w:val="clear"/>
                <w:lang w:eastAsia="ru-RU"/>
              </w:rPr>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highlight w:val="none"/>
                <w:shd w:fill="FFFFFF" w:val="clear"/>
              </w:rPr>
            </w:pPr>
            <w:r>
              <w:rPr>
                <w:rFonts w:eastAsia="Calibri" w:cs="Times New Roman" w:ascii="PT Astra Serif" w:hAnsi="PT Astra Serif"/>
                <w:sz w:val="24"/>
                <w:szCs w:val="24"/>
                <w:shd w:fill="FFFFFF" w:val="clear"/>
                <w:lang w:eastAsia="ru-RU"/>
              </w:rPr>
              <w:t>Ежедневно, 24 часа в сутки, 7 дней в неделю, на протяжении всего действия контракта</w:t>
            </w:r>
          </w:p>
        </w:tc>
      </w:tr>
      <w:tr>
        <w:trPr>
          <w:trHeight w:val="871" w:hRule="atLeast"/>
        </w:trPr>
        <w:tc>
          <w:tcPr>
            <w:tcW w:w="46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jc w:val="both"/>
              <w:rPr>
                <w:rFonts w:ascii="PT Astra Serif" w:hAnsi="PT Astra Serif"/>
                <w:sz w:val="24"/>
                <w:szCs w:val="24"/>
              </w:rPr>
            </w:pPr>
            <w:r>
              <w:rPr>
                <w:rFonts w:eastAsia="Calibri" w:cs="Times New Roman" w:ascii="PT Astra Serif" w:hAnsi="PT Astra Serif"/>
                <w:sz w:val="24"/>
                <w:szCs w:val="24"/>
                <w:lang w:eastAsia="ru-RU"/>
              </w:rPr>
              <w:t xml:space="preserve">Тариф для IoT/M2M устройств. С пакетом исходящих </w:t>
            </w:r>
            <w:r>
              <w:rPr>
                <w:rFonts w:eastAsia="Calibri" w:cs="Times New Roman" w:ascii="PT Astra Serif" w:hAnsi="PT Astra Serif"/>
                <w:sz w:val="24"/>
                <w:szCs w:val="24"/>
                <w:lang w:val="en-US" w:eastAsia="ru-RU"/>
              </w:rPr>
              <w:t>sms</w:t>
            </w:r>
            <w:r>
              <w:rPr>
                <w:rFonts w:eastAsia="Calibri" w:cs="Times New Roman" w:ascii="PT Astra Serif" w:hAnsi="PT Astra Serif"/>
                <w:sz w:val="24"/>
                <w:szCs w:val="24"/>
                <w:lang w:eastAsia="ru-RU"/>
              </w:rPr>
              <w:t xml:space="preserve"> не менее 300 в месяц на каждый номер.</w:t>
            </w:r>
          </w:p>
          <w:p>
            <w:pPr>
              <w:pStyle w:val="Normal"/>
              <w:spacing w:lineRule="auto" w:line="240" w:before="0" w:after="0"/>
              <w:ind w:hanging="0"/>
              <w:jc w:val="both"/>
              <w:rPr>
                <w:rFonts w:ascii="PT Astra Serif" w:hAnsi="PT Astra Serif"/>
                <w:sz w:val="24"/>
                <w:szCs w:val="24"/>
              </w:rPr>
            </w:pPr>
            <w:r>
              <w:rPr>
                <w:rFonts w:eastAsia="Calibri" w:cs="Times New Roman" w:ascii="PT Astra Serif" w:hAnsi="PT Astra Serif"/>
                <w:sz w:val="24"/>
                <w:szCs w:val="24"/>
                <w:lang w:eastAsia="ru-RU"/>
              </w:rPr>
              <w:t>Использование федерального номера.</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1 номер</w:t>
            </w:r>
          </w:p>
          <w:p>
            <w:pPr>
              <w:pStyle w:val="Normal"/>
              <w:spacing w:lineRule="auto" w:line="240" w:before="0" w:after="0"/>
              <w:ind w:left="360"/>
              <w:jc w:val="center"/>
              <w:rPr>
                <w:rFonts w:ascii="PT Astra Serif" w:hAnsi="PT Astra Serif"/>
                <w:sz w:val="24"/>
                <w:szCs w:val="24"/>
              </w:rPr>
            </w:pPr>
            <w:r>
              <w:rPr>
                <w:rFonts w:eastAsia="Microsoft YaHei Light" w:cs="Times New Roman" w:ascii="PT Astra Serif" w:hAnsi="PT Astra Serif"/>
                <w:b/>
                <w:bCs/>
                <w:sz w:val="24"/>
                <w:szCs w:val="24"/>
                <w:lang w:eastAsia="ru-RU"/>
              </w:rPr>
              <w:t>9245866552</w:t>
            </w:r>
          </w:p>
        </w:tc>
        <w:tc>
          <w:tcPr>
            <w:tcW w:w="32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PT Astra Serif" w:hAnsi="PT Astra Serif"/>
                <w:sz w:val="24"/>
                <w:szCs w:val="24"/>
              </w:rPr>
            </w:pPr>
            <w:r>
              <w:rPr>
                <w:rFonts w:eastAsia="Calibri" w:cs="Times New Roman" w:ascii="PT Astra Serif" w:hAnsi="PT Astra Serif"/>
                <w:sz w:val="24"/>
                <w:szCs w:val="24"/>
                <w:lang w:eastAsia="ru-RU"/>
              </w:rPr>
              <w:t>Ежедневно, 24 часа в сутки, 7 дней в неделю, на протяжении всего действия контракта</w:t>
            </w:r>
          </w:p>
        </w:tc>
      </w:tr>
    </w:tbl>
    <w:p>
      <w:pPr>
        <w:pStyle w:val="Normal"/>
        <w:spacing w:lineRule="auto" w:line="240" w:before="0" w:after="0"/>
        <w:ind w:right="-185"/>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p>
      <w:pPr>
        <w:pStyle w:val="Normal"/>
        <w:numPr>
          <w:ilvl w:val="0"/>
          <w:numId w:val="4"/>
        </w:numPr>
        <w:spacing w:lineRule="auto" w:line="240" w:before="0" w:after="0"/>
        <w:ind w:firstLine="709" w:left="0"/>
        <w:jc w:val="center"/>
        <w:rPr>
          <w:rFonts w:ascii="PT Astra Serif" w:hAnsi="PT Astra Serif"/>
          <w:sz w:val="24"/>
          <w:szCs w:val="24"/>
        </w:rPr>
      </w:pPr>
      <w:r>
        <w:rPr>
          <w:rFonts w:eastAsia="Calibri" w:cs="Times New Roman" w:ascii="PT Astra Serif" w:hAnsi="PT Astra Serif"/>
          <w:b/>
          <w:bCs/>
          <w:sz w:val="24"/>
          <w:szCs w:val="24"/>
          <w:lang w:eastAsia="ru-RU"/>
        </w:rPr>
        <w:t>Требования к качеству оказываемых Услуг:</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Исполнитель обязуется предоставлять Услуги </w:t>
      </w:r>
      <w:r>
        <w:rPr>
          <w:rFonts w:eastAsia="Times New Roman" w:cs="Times New Roman" w:ascii="PT Astra Serif" w:hAnsi="PT Astra Serif"/>
          <w:sz w:val="24"/>
          <w:szCs w:val="24"/>
          <w:lang w:eastAsia="ru-RU"/>
        </w:rPr>
        <w:t>беспроводной (подвижной)</w:t>
      </w:r>
      <w:r>
        <w:rPr>
          <w:rFonts w:eastAsia="Calibri" w:cs="Times New Roman" w:ascii="PT Astra Serif" w:hAnsi="PT Astra Serif"/>
          <w:sz w:val="24"/>
          <w:szCs w:val="24"/>
          <w:lang w:eastAsia="ru-RU"/>
        </w:rPr>
        <w:t xml:space="preserve"> связи абонентам Заказчика на базе современных цифровых технологий, высокого качества (в том числе и при самых высоких нагрузках на сеть), защищённые от несанкционированного доступа, иметь надёжное радио покрытие, а также возможность эволюционного наращивания, расширения зоны обслуживания и роуминговых отношений, экономичные тарифы и полный набор современных услуг; </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Исполнитель обязуется предоставлять Услуги в соответствии  с требованиями законодательства Российской Федерации, положениями действующих стандартов, технических норм, утвержденных в отношении данного вида Услуг, и условиям настоящего Технического задания;</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Качество Услуг подтверждается наличием документов, обязательных для данного вида Услуг, оформленными в соответствии с требованиями нормативной документации;</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Услуги связи предоставляются круглосуточно, ежедневно, 24 часа в сутки, без перерывов, за исключением проведения необходимых ремонтных и профилактических работ с соблюдением требований действующего законодательства;</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Оказание Услуг связи ежедневно, круглосуточно, бесперебойно (максимально допустимое время недоступности услуг связи по техническим причинам Исполнителя составляет не более 3 минут в сутки (в суммарном выражении) по всей зоне радио покрытия, включающей в себя территорию Российской Федерации - роуминг; </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Предоставление Услуг по разуплотненным междугородним каналам связи на всей территории покрытия Исполнителя;</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 xml:space="preserve"> </w:t>
      </w:r>
      <w:r>
        <w:rPr>
          <w:rFonts w:eastAsia="Calibri" w:cs="Times New Roman" w:ascii="PT Astra Serif" w:hAnsi="PT Astra Serif"/>
          <w:sz w:val="24"/>
          <w:szCs w:val="24"/>
          <w:lang w:eastAsia="ru-RU"/>
        </w:rPr>
        <w:t>Обеспечение прохождения закрытой информации Заказчика (Абонента)               по каналам передачи данных Исполнителя (Оператора) (сервис BS26, асинхронный, прозрачный, скорость 9,6 кбит/с) в соответствии с протоколами V.110/V.32;</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Гарантированное обеспечение возможности соединения абонентов сети конфиденциальной сотовой связи на всей территории покрытия Исполнителя (Оператора), в т.ч. при осуществлении междугородних вызовов;</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Исполнитель обязан обеспечить соблюдение тайны телефонных переговоров, передаваемых по сетям связи;</w:t>
      </w:r>
    </w:p>
    <w:p>
      <w:pPr>
        <w:pStyle w:val="Normal"/>
        <w:numPr>
          <w:ilvl w:val="1"/>
          <w:numId w:val="4"/>
        </w:numPr>
        <w:tabs>
          <w:tab w:val="clear" w:pos="708"/>
          <w:tab w:val="left" w:pos="993" w:leader="none"/>
        </w:tabs>
        <w:spacing w:lineRule="auto" w:line="240" w:before="0" w:after="0"/>
        <w:ind w:firstLine="709" w:left="0"/>
        <w:jc w:val="both"/>
        <w:rPr>
          <w:rFonts w:ascii="PT Astra Serif" w:hAnsi="PT Astra Serif"/>
          <w:sz w:val="24"/>
          <w:szCs w:val="24"/>
        </w:rPr>
      </w:pPr>
      <w:r>
        <w:rPr>
          <w:rFonts w:eastAsia="Calibri" w:cs="Times New Roman" w:ascii="PT Astra Serif" w:hAnsi="PT Astra Serif"/>
          <w:sz w:val="24"/>
          <w:szCs w:val="24"/>
          <w:lang w:eastAsia="ru-RU"/>
        </w:rPr>
        <w:t>Ограничение права на тайну телефонных переговоров, передаваемых по сетям связи, допускается только в случаях, предусмотренных федеральными законами.</w:t>
      </w:r>
    </w:p>
    <w:p>
      <w:pPr>
        <w:pStyle w:val="Normal"/>
        <w:tabs>
          <w:tab w:val="clear" w:pos="708"/>
          <w:tab w:val="left" w:pos="993" w:leader="none"/>
        </w:tabs>
        <w:spacing w:lineRule="auto" w:line="240" w:before="0" w:after="0"/>
        <w:ind w:left="360"/>
        <w:jc w:val="both"/>
        <w:rPr>
          <w:rFonts w:ascii="PT Astra Serif" w:hAnsi="PT Astra Serif" w:eastAsia="Calibri" w:cs="Times New Roman"/>
          <w:sz w:val="24"/>
          <w:szCs w:val="24"/>
          <w:lang w:eastAsia="ru-RU"/>
        </w:rPr>
      </w:pPr>
      <w:r>
        <w:rPr>
          <w:rFonts w:eastAsia="Calibri" w:cs="Times New Roman" w:ascii="PT Astra Serif" w:hAnsi="PT Astra Serif"/>
          <w:sz w:val="24"/>
          <w:szCs w:val="24"/>
          <w:lang w:eastAsia="ru-RU"/>
        </w:rPr>
      </w:r>
    </w:p>
    <w:p>
      <w:pPr>
        <w:pStyle w:val="Normal"/>
        <w:spacing w:lineRule="auto" w:line="240" w:before="0" w:after="0"/>
        <w:ind w:firstLine="675" w:left="33" w:right="-185"/>
        <w:jc w:val="center"/>
        <w:rPr>
          <w:rFonts w:ascii="PT Astra Serif" w:hAnsi="PT Astra Serif"/>
          <w:sz w:val="24"/>
          <w:szCs w:val="24"/>
        </w:rPr>
      </w:pPr>
      <w:r>
        <w:rPr>
          <w:rFonts w:eastAsia="Calibri" w:cs="Times New Roman" w:ascii="PT Astra Serif" w:hAnsi="PT Astra Serif"/>
          <w:b/>
          <w:bCs/>
          <w:sz w:val="24"/>
          <w:szCs w:val="24"/>
          <w:lang w:eastAsia="ru-RU"/>
        </w:rPr>
        <w:t>2. Обязательными условиями оказания Услуг являются:</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w:t>
        <w:tab/>
        <w:t>Возможность смены Тарифного плана и подключения дополнительных услуг;</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2.2.</w:t>
        <w:tab/>
        <w:t xml:space="preserve">Кредитная форма оплаты абонентских счетов; </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2.3.</w:t>
        <w:tab/>
        <w:t>Возможность предоставления отсрочки платежей без отключения услуги, максимальный кредитный лимит должен составлять не менее 35 000 рублей;</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2.4.</w:t>
        <w:tab/>
        <w:t>Доставка Исполнителем выставляемых счетов, актов, документов отчётности и т.д. по адресу Заказчика один раз в месяц;</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2.5.</w:t>
        <w:tab/>
        <w:t>Защита от несанкционированного подключения;</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2.6.</w:t>
        <w:tab/>
        <w:t>Блокировка (разблокировка) SIM-карты по требованию Заказчика.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2.7.</w:t>
        <w:tab/>
        <w:t xml:space="preserve"> Возможность подключения SIM-карт для передачи данных по CSD-каналам.</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2.8.</w:t>
        <w:tab/>
        <w:t xml:space="preserve"> Возможность Заказчика устанавливать лимит для каждого абонентского номера;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2.9.</w:t>
        <w:tab/>
        <w:t>наличие корпоративного обслуживания, единого корпоративного счета и максимально удобные варианты управления им;</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2.10.</w:t>
        <w:tab/>
        <w:t>бесплатное подключение новых абонентских номеров к корпоративному счету в рамках выбранного Заказчиком Тарифного плана;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2.11.</w:t>
        <w:tab/>
        <w:t>круглосуточное справочно-информационное обслуживание;</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2.12.</w:t>
        <w:tab/>
        <w:t>обслуживание абонентов Заказчика персональным менеджером Исполнителя  в будние дни с 9:00 до 18:00;</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2.13.</w:t>
        <w:tab/>
        <w:t>наличие возможности управления лимитами, услугами, тарифными опциями  и осуществления контроля средств через Интернет;</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2.14.</w:t>
        <w:tab/>
        <w:t>наличие возможности проверки текущих расходов как всей корпоративной группы, так и отдельного номера группы через мобильный телефон, используя сервис USSD;</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2.15.</w:t>
        <w:tab/>
        <w:t>автоматическое бесплатное подключение услуги международный и междугородный выход;</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2.16.</w:t>
        <w:tab/>
        <w:t>бесплатное подключение услуги роуминга;</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2.17.</w:t>
        <w:tab/>
        <w:t>отсутствие минимального срока использования услуг связи;</w:t>
      </w:r>
    </w:p>
    <w:p>
      <w:pPr>
        <w:pStyle w:val="Normal"/>
        <w:spacing w:lineRule="auto" w:line="240" w:before="0" w:after="0"/>
        <w:ind w:firstLine="675" w:left="33" w:right="-185"/>
        <w:rPr>
          <w:rFonts w:ascii="PT Astra Serif" w:hAnsi="PT Astra Serif"/>
          <w:sz w:val="24"/>
          <w:szCs w:val="24"/>
        </w:rPr>
      </w:pPr>
      <w:r>
        <w:rPr>
          <w:rFonts w:eastAsia="Calibri" w:cs="Times New Roman" w:ascii="PT Astra Serif" w:hAnsi="PT Astra Serif"/>
          <w:sz w:val="24"/>
          <w:szCs w:val="24"/>
          <w:lang w:eastAsia="ru-RU"/>
        </w:rPr>
        <w:t>2.18.</w:t>
        <w:tab/>
        <w:t>бесплатный вызов экстренных оперативных служб по телефону 112;</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2.19.</w:t>
        <w:tab/>
        <w:t>с целью бесперебойной работы и сохранения связи со структурными подразделениями Заказчика Исполнитель обязан сохранить действующие абонентские номера, в соответствии с нормами Федерального закона от 07.07.2013 № 126-ФЗ «О связи», постановлением Правительства Российской Федерации от 25.05.2005 № 328 «Об утверждении правил оказания услуг подвижной связи» (с изменениями) и иными нормативными актами, регламентирующими порядок сохранения абонентских номеров. В случае смены  абонентских номеров, используемых Заказчиком, Исполнитель принимает на себя обеспечение переадресации вызова с ранее используемого номера на новый абонентский номер в течение всего периода оказания услуг и действия Контракта (при смене конкретного абонентского номера) и организацию автоматического оповещения (SMS, голосовое сообщение) всех входящих вызовов с информацией о новом номере в течение всего периода оказания Услуг и действия Контракта (при смене конкретного абонентского номера), а также принимает на свой счет все расходы, которые могут возникнуть в ходе оказания данной Услуги, включая поддержание и оплату обслуживания SIM-карт ранее используемых Заказчиком абонентских номеров и оплату Услуг переадресации вызовов с ранее используемых Заказчиком абонентских номеров на вновь предложенные.</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2.20. Сеть Исполнителя имеет равномерное и плотное радиопокрытие в г. Петропавловск-Камчатский, г. Елизово, г. Вилючинск, и населенных пунктах Камчатского края: с. Долиновка, с. Коряки, п. Зеленый, с. Северные Коряки, п. Сокоч, п. Дальний, п. Начики, с. Малка, с. Николаевка, с. Сосновка, п. Новый, п. Нагорный, п. Красный, с. Двуречье, п. Лесной, с. Южные Коряки, с. Паратунка, п. Термальный, п. Пионерский, п. Светлый, п. Крутобереговый, п. Раздольный, п. Кеткино, с. Эссо, с. Мильково, п. Лазо, с. Шаромы, с. Пущино, п. Атласово, с. Соболево, с. Апача, с. Запорожье, п. Озерновский, с. Кавалерское, п. Октябрьский, с. Усть-Большерецк, п. Усть-Камчатск, с. Крутоберегово, п. Ключи, п. Козыревск, с. Ивашка, с. Тымлат, гп. Оссора, с. Тиличики, пгт. Палана, а также максимальную зону покрытия на территории Российской Федерации, национальный роуминг.</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2.21. В целях недопущения перебоев и отсутствия возможности оказания Услуг на объектах с неуверенным (недостаточным) качеством сети (включая объекты на которых наблюдается ухудшение качества Услуг) и/или отсутствия покрытия сети, а также в случае перемещения по населенному пункту или переезда Получателя Услуг из населенных пунктов, указанных в п.3.1, Исполнитель обязан обеспечить резервирование Услуг.</w:t>
      </w:r>
    </w:p>
    <w:p>
      <w:pPr>
        <w:pStyle w:val="Normal"/>
        <w:spacing w:lineRule="auto" w:line="240" w:before="0" w:after="0"/>
        <w:ind w:firstLine="675" w:left="33" w:right="-185"/>
        <w:jc w:val="both"/>
        <w:rPr>
          <w:rFonts w:ascii="PT Astra Serif" w:hAnsi="PT Astra Serif"/>
          <w:sz w:val="24"/>
          <w:szCs w:val="24"/>
        </w:rPr>
      </w:pPr>
      <w:r>
        <w:rPr>
          <w:rFonts w:eastAsia="Calibri" w:cs="Times New Roman" w:ascii="PT Astra Serif" w:hAnsi="PT Astra Serif"/>
          <w:sz w:val="24"/>
          <w:szCs w:val="24"/>
          <w:lang w:eastAsia="ru-RU"/>
        </w:rPr>
        <w:t>Резервирование осуществляется комплектом технических средств Исполнителя, передаваемого в пользование Получателю Услуг в течение 1 (одного) рабочего дня с момента получения соответствующей заявки. Технические средства (один комплект) передаются на срок исполнения Контракта. Установка и подключение технических средств на Объектах Получателя Услуг находятся в зоне ответственности Заказчика.</w:t>
      </w:r>
    </w:p>
    <w:p>
      <w:pPr>
        <w:pStyle w:val="Normal"/>
        <w:spacing w:lineRule="auto" w:line="240" w:before="0" w:after="0"/>
        <w:ind w:firstLine="675" w:left="33" w:right="-185"/>
        <w:contextualSpacing/>
        <w:jc w:val="both"/>
        <w:rPr>
          <w:rFonts w:ascii="PT Astra Serif" w:hAnsi="PT Astra Serif"/>
          <w:sz w:val="24"/>
          <w:szCs w:val="24"/>
        </w:rPr>
      </w:pPr>
      <w:r>
        <w:rPr>
          <w:rFonts w:eastAsia="Calibri" w:cs="Times New Roman" w:ascii="PT Astra Serif" w:hAnsi="PT Astra Serif"/>
          <w:sz w:val="24"/>
          <w:szCs w:val="24"/>
          <w:lang w:eastAsia="ru-RU"/>
        </w:rPr>
        <w:t>Услуги резервируются со следующими требованиями и характеристиками: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обеспечение предоставления Услуг через сотовые 3G/4G сети со скоростью передачи данных до 150 Мбит/с по нисходящему каналу и до 50 Мбит/с по восходящему каналу с резервированием сети 3G и 2G. Переключение между 3G/4G-сетями должно осуществляться автоматически. Должен быть обеспечен автоматический выбор лучшего канала и мониторинг состояния резервного канала для обеспечения наилучшего качества связи;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параметры каналов передачи данных должны постоянно анализироваться и при обнаружении тенденции к ухудшению качества основного канала связи должно происходить переключение (заблаговременное, до момента полной потери связи) на резервный канал и осуществление поиска наилучшего канала связи. Цикл должен повторяться постоянно, алгоритм должен обеспечить возможность переключения канала передачи данных заблаговременно, не дожидаясь обрывов связи, тем самым позволяя минимизировать обрывы связи, обеспечивать максимально возможное качество канала передачи данных даже на подвижных объектах. Алгоритм и логика предоставления Услуги: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осуществляется анализ возможных каналов передачи данных. Подключение осуществляется на первом канале, на котором удалось установить соединение;</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после подключения первого канала, осуществляется анализ оставшиеся трех каналов для определения канала с «наилучшими» параметрами;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переключение между каналами осуществляется автоматически в зависимости от качественных характеристик и параметров этих каналов, одновременно с переключением каналов осуществляется анализ альтернативных каналов связи с наилучшими характеристиками.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Исполнитель обязан обеспечить представление Услуги с выбором следующих параметров:</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наилучшие параметры радиоканала (RSSI/RSRQ, SINR);</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пропускная способность (предельно достижимое количество проходящей информации). Переключение между каналами должно осуществляться исходя из максимально возможной пропускной способности;</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время круговой задержки (минимальное, максимальное, среднее).</w:t>
      </w:r>
    </w:p>
    <w:p>
      <w:pPr>
        <w:pStyle w:val="Normal"/>
        <w:widowControl w:val="false"/>
        <w:tabs>
          <w:tab w:val="clear" w:pos="708"/>
          <w:tab w:val="left" w:pos="591" w:leader="none"/>
        </w:tabs>
        <w:spacing w:lineRule="auto" w:line="240" w:before="0" w:after="0"/>
        <w:ind w:right="156"/>
        <w:contextualSpacing/>
        <w:jc w:val="both"/>
        <w:rPr>
          <w:rFonts w:ascii="PT Astra Serif" w:hAnsi="PT Astra Serif"/>
          <w:sz w:val="24"/>
          <w:szCs w:val="24"/>
        </w:rPr>
      </w:pPr>
      <w:r>
        <w:rPr>
          <w:rFonts w:eastAsia="Calibri" w:cs="Times New Roman" w:ascii="PT Astra Serif" w:hAnsi="PT Astra Serif"/>
          <w:sz w:val="24"/>
          <w:szCs w:val="24"/>
          <w:lang w:eastAsia="ru-RU"/>
        </w:rPr>
        <w:t>-  технические характеристика предоставляемой Услуги:</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w:t>
      </w:r>
    </w:p>
    <w:tbl>
      <w:tblPr>
        <w:tblW w:w="10200" w:type="dxa"/>
        <w:jc w:val="left"/>
        <w:tblInd w:w="-20" w:type="dxa"/>
        <w:tblLayout w:type="fixed"/>
        <w:tblCellMar>
          <w:top w:w="0" w:type="dxa"/>
          <w:left w:w="108" w:type="dxa"/>
          <w:bottom w:w="0" w:type="dxa"/>
          <w:right w:w="108" w:type="dxa"/>
        </w:tblCellMar>
      </w:tblPr>
      <w:tblGrid>
        <w:gridCol w:w="2824"/>
        <w:gridCol w:w="3566"/>
        <w:gridCol w:w="3810"/>
      </w:tblGrid>
      <w:tr>
        <w:trPr/>
        <w:tc>
          <w:tcPr>
            <w:tcW w:w="2824" w:type="dxa"/>
            <w:tcBorders>
              <w:top w:val="single" w:sz="8" w:space="0" w:color="000000"/>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Наименование показателя</w:t>
            </w:r>
          </w:p>
        </w:tc>
        <w:tc>
          <w:tcPr>
            <w:tcW w:w="3566" w:type="dxa"/>
            <w:tcBorders>
              <w:top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Режим 3G</w:t>
            </w:r>
          </w:p>
        </w:tc>
        <w:tc>
          <w:tcPr>
            <w:tcW w:w="3810" w:type="dxa"/>
            <w:tcBorders>
              <w:top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center"/>
              <w:rPr>
                <w:rFonts w:ascii="PT Astra Serif" w:hAnsi="PT Astra Serif"/>
                <w:sz w:val="24"/>
                <w:szCs w:val="24"/>
              </w:rPr>
            </w:pPr>
            <w:r>
              <w:rPr>
                <w:rFonts w:cs="Times New Roman" w:ascii="PT Astra Serif" w:hAnsi="PT Astra Serif"/>
                <w:color w:val="000000"/>
                <w:sz w:val="24"/>
                <w:szCs w:val="24"/>
              </w:rPr>
              <w:t>Режим 4G</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Диапазоны, МГц</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UMTS (WCDMA/FDD): 900/2100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(8, 3,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GSM/GPRS/EDGE: 900/1800</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LTE: 800/900/1800/2100/2600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(20, 8, 3, 7,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UMTS (WCDMA): 900/1800/2100</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FDD-Band (8, 3, 1)</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lang w:val="en-US"/>
              </w:rPr>
              <w:t>GSM/GPRS/EDGE  900/1800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Передача данных</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UMTS (WCDMA), EDGE, GPRS</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LTE, UMTS, EDGE, GPRS</w:t>
            </w:r>
          </w:p>
        </w:tc>
      </w:tr>
      <w:tr>
        <w:trPr>
          <w:trHeight w:val="487" w:hRule="atLeast"/>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Скорость передачи данных: Входящий канал, Мбит/сек</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7</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150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Скорость передачи данных: Исходящий канал, Мбит/сек</w:t>
            </w:r>
          </w:p>
        </w:tc>
        <w:tc>
          <w:tcPr>
            <w:tcW w:w="3566"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5</w:t>
            </w:r>
          </w:p>
        </w:tc>
        <w:tc>
          <w:tcPr>
            <w:tcW w:w="3810" w:type="dxa"/>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до 50</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Ethernet</w:t>
            </w:r>
          </w:p>
        </w:tc>
        <w:tc>
          <w:tcPr>
            <w:tcW w:w="7376" w:type="dxa"/>
            <w:gridSpan w:val="2"/>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RJ-45, 10/100 Мбит/сек, минимум 4 LAN порта;</w:t>
            </w:r>
          </w:p>
          <w:p>
            <w:pPr>
              <w:pStyle w:val="Normal"/>
              <w:widowControl w:val="false"/>
              <w:tabs>
                <w:tab w:val="clear" w:pos="708"/>
                <w:tab w:val="left" w:pos="591" w:leader="none"/>
              </w:tabs>
              <w:spacing w:lineRule="auto" w:line="240" w:before="0" w:after="0"/>
              <w:ind w:left="100" w:right="156"/>
              <w:contextualSpacing/>
              <w:jc w:val="left"/>
              <w:rPr>
                <w:rFonts w:ascii="PT Astra Serif" w:hAnsi="PT Astra Serif"/>
                <w:sz w:val="24"/>
                <w:szCs w:val="24"/>
              </w:rPr>
            </w:pPr>
            <w:r>
              <w:rPr>
                <w:rFonts w:cs="Times New Roman" w:ascii="PT Astra Serif" w:hAnsi="PT Astra Serif"/>
                <w:color w:val="000000"/>
                <w:sz w:val="24"/>
                <w:szCs w:val="24"/>
              </w:rPr>
              <w:t>RJ-45, 10/100/1000 Мбит/сек, минимум 1 LAN порта</w:t>
            </w:r>
          </w:p>
        </w:tc>
      </w:tr>
      <w:tr>
        <w:trPr/>
        <w:tc>
          <w:tcPr>
            <w:tcW w:w="2824" w:type="dxa"/>
            <w:tcBorders>
              <w:left w:val="single" w:sz="8" w:space="0" w:color="000000"/>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Сетевые сервисы</w:t>
            </w:r>
          </w:p>
        </w:tc>
        <w:tc>
          <w:tcPr>
            <w:tcW w:w="7376" w:type="dxa"/>
            <w:gridSpan w:val="2"/>
            <w:tcBorders>
              <w:bottom w:val="single" w:sz="8" w:space="0" w:color="000000"/>
              <w:right w:val="single" w:sz="8" w:space="0" w:color="000000"/>
            </w:tcBorders>
            <w:shd w:fill="FFFFFF" w:val="clear"/>
            <w:vAlign w:val="center"/>
          </w:tcPr>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Протоколы маршрутизации: IPv4: RIP v1/v2, OSPF v2, BGP v4; IPv6; RIP ng, OSPF v3, BGP; VRF, ECMP, policy based routing;</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VPN и методы туннелирования: GRE, L2F, IPSec, OpenVPN, PPTP; PPPoE, L2TP, MLPPP, BCP, SSTP, IPIP, EoIP, Ipv6 over Ipv4;</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Преобразование IP-адресов (NAT);</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Многопротокольная коммутация по меткам (протокол MPLS);</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lang w:val="en-US"/>
              </w:rPr>
              <w:t xml:space="preserve">• </w:t>
            </w:r>
            <w:r>
              <w:rPr>
                <w:rFonts w:cs="Times New Roman" w:ascii="PT Astra Serif" w:hAnsi="PT Astra Serif"/>
                <w:color w:val="000000"/>
                <w:sz w:val="24"/>
                <w:szCs w:val="24"/>
                <w:lang w:val="en-US"/>
              </w:rPr>
              <w:t>DHCP (</w:t>
            </w:r>
            <w:r>
              <w:rPr>
                <w:rFonts w:cs="Times New Roman" w:ascii="PT Astra Serif" w:hAnsi="PT Astra Serif"/>
                <w:color w:val="000000"/>
                <w:sz w:val="24"/>
                <w:szCs w:val="24"/>
              </w:rPr>
              <w:t>сервер</w:t>
            </w:r>
            <w:r>
              <w:rPr>
                <w:rFonts w:cs="Times New Roman" w:ascii="PT Astra Serif" w:hAnsi="PT Astra Serif"/>
                <w:color w:val="000000"/>
                <w:sz w:val="24"/>
                <w:szCs w:val="24"/>
                <w:lang w:val="en-US"/>
              </w:rPr>
              <w:t>/</w:t>
            </w:r>
            <w:r>
              <w:rPr>
                <w:rFonts w:cs="Times New Roman" w:ascii="PT Astra Serif" w:hAnsi="PT Astra Serif"/>
                <w:color w:val="000000"/>
                <w:sz w:val="24"/>
                <w:szCs w:val="24"/>
              </w:rPr>
              <w:t>клиент</w:t>
            </w:r>
            <w:r>
              <w:rPr>
                <w:rFonts w:cs="Times New Roman" w:ascii="PT Astra Serif" w:hAnsi="PT Astra Serif"/>
                <w:color w:val="000000"/>
                <w:sz w:val="24"/>
                <w:szCs w:val="24"/>
                <w:lang w:val="en-US"/>
              </w:rPr>
              <w:t>), RADIUS client, WebProxy, FTP, MESH, HotSpot;</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RouterOS Firewall (c маркированием пакетов и поддержкой Ipv6);</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Фильтрация по MAC-адресу и IP-адресу, диапазону адресов, портам, IP-протоколу;</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lang w:val="en-US"/>
              </w:rPr>
              <w:t>• </w:t>
            </w:r>
            <w:r>
              <w:rPr>
                <w:rFonts w:cs="Times New Roman" w:ascii="PT Astra Serif" w:hAnsi="PT Astra Serif"/>
                <w:color w:val="000000"/>
                <w:sz w:val="24"/>
                <w:szCs w:val="24"/>
              </w:rPr>
              <w:t>Шифрование</w:t>
            </w:r>
            <w:r>
              <w:rPr>
                <w:rFonts w:cs="Times New Roman" w:ascii="PT Astra Serif" w:hAnsi="PT Astra Serif"/>
                <w:color w:val="000000"/>
                <w:sz w:val="24"/>
                <w:szCs w:val="24"/>
                <w:lang w:val="en-US"/>
              </w:rPr>
              <w:t>: DES, 3DES, AES128/192/256, Blowfish, Twofish, Camellia128/192/256;</w:t>
            </w:r>
          </w:p>
          <w:p>
            <w:pPr>
              <w:pStyle w:val="Normal"/>
              <w:widowControl w:val="false"/>
              <w:tabs>
                <w:tab w:val="clear" w:pos="708"/>
                <w:tab w:val="left" w:pos="591" w:leader="none"/>
              </w:tabs>
              <w:spacing w:lineRule="auto" w:line="240" w:before="0" w:after="0"/>
              <w:ind w:left="100" w:right="156"/>
              <w:contextualSpacing/>
              <w:jc w:val="both"/>
              <w:rPr>
                <w:rFonts w:ascii="PT Astra Serif" w:hAnsi="PT Astra Serif"/>
                <w:sz w:val="24"/>
                <w:szCs w:val="24"/>
              </w:rPr>
            </w:pPr>
            <w:r>
              <w:rPr>
                <w:rFonts w:cs="Times New Roman" w:ascii="PT Astra Serif" w:hAnsi="PT Astra Serif"/>
                <w:color w:val="000000"/>
                <w:sz w:val="24"/>
                <w:szCs w:val="24"/>
              </w:rPr>
              <w:t xml:space="preserve">• </w:t>
            </w:r>
            <w:r>
              <w:rPr>
                <w:rFonts w:cs="Times New Roman" w:ascii="PT Astra Serif" w:hAnsi="PT Astra Serif"/>
                <w:color w:val="000000"/>
                <w:sz w:val="24"/>
                <w:szCs w:val="24"/>
              </w:rPr>
              <w:t>Администрирование: локально (по Ethernet), графическое приложение Winbox для ОС Windows, через Web-интерфейс Webfig, удалённое управление через командную строку по протоколам Telnet и SSH, через API интерфейс.</w:t>
            </w:r>
          </w:p>
        </w:tc>
      </w:tr>
    </w:tbl>
    <w:p>
      <w:pPr>
        <w:pStyle w:val="Normal"/>
        <w:spacing w:lineRule="auto" w:line="240" w:before="0" w:after="0"/>
        <w:ind w:right="-185"/>
        <w:contextualSpacing/>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tbl>
      <w:tblPr>
        <w:tblpPr w:vertAnchor="text" w:horzAnchor="text" w:leftFromText="180" w:rightFromText="180" w:tblpX="475" w:tblpY="437"/>
        <w:tblOverlap w:val="never"/>
        <w:tblW w:w="10200" w:type="dxa"/>
        <w:jc w:val="left"/>
        <w:tblInd w:w="108" w:type="dxa"/>
        <w:tblLayout w:type="fixed"/>
        <w:tblCellMar>
          <w:top w:w="0" w:type="dxa"/>
          <w:left w:w="108" w:type="dxa"/>
          <w:bottom w:w="0" w:type="dxa"/>
          <w:right w:w="108" w:type="dxa"/>
        </w:tblCellMar>
      </w:tblPr>
      <w:tblGrid>
        <w:gridCol w:w="5125"/>
        <w:gridCol w:w="5074"/>
      </w:tblGrid>
      <w:tr>
        <w:trPr>
          <w:trHeight w:val="1980" w:hRule="atLeast"/>
        </w:trPr>
        <w:tc>
          <w:tcPr>
            <w:tcW w:w="5125" w:type="dxa"/>
            <w:tcBorders/>
          </w:tcPr>
          <w:p>
            <w:pPr>
              <w:pStyle w:val="Normal"/>
              <w:widowControl w:val="false"/>
              <w:spacing w:lineRule="atLeast" w:line="360" w:before="0" w:after="0"/>
              <w:ind w:right="-185"/>
              <w:rPr>
                <w:rFonts w:ascii="Times New Roman" w:hAnsi="Times New Roman" w:eastAsia="Times New Roman" w:cs="Times New Roman"/>
                <w:b/>
                <w:sz w:val="24"/>
                <w:szCs w:val="24"/>
              </w:rPr>
            </w:pPr>
            <w:r>
              <w:rPr>
                <w:rFonts w:eastAsia="Times New Roman" w:cs="Times New Roman" w:ascii="Times New Roman" w:hAnsi="Times New Roman"/>
                <w:b/>
                <w:sz w:val="24"/>
                <w:szCs w:val="24"/>
              </w:rPr>
              <w:t>Заказчик:</w:t>
            </w:r>
          </w:p>
          <w:p>
            <w:pPr>
              <w:pStyle w:val="Normal"/>
              <w:widowControl w:val="false"/>
              <w:spacing w:lineRule="atLeast" w:line="360" w:before="0" w:after="0"/>
              <w:ind w:right="-185"/>
              <w:rPr>
                <w:rFonts w:ascii="Times New Roman" w:hAnsi="Times New Roman" w:eastAsia="Times New Roman" w:cs="Times New Roman"/>
                <w:b/>
                <w:sz w:val="24"/>
                <w:szCs w:val="24"/>
              </w:rPr>
            </w:pPr>
            <w:r>
              <w:rPr>
                <w:rFonts w:eastAsia="Times New Roman" w:cs="Times New Roman" w:ascii="Times New Roman" w:hAnsi="Times New Roman"/>
                <w:b/>
                <w:sz w:val="24"/>
                <w:szCs w:val="24"/>
              </w:rPr>
              <w:t>Руководитель Управления</w:t>
            </w:r>
          </w:p>
          <w:p>
            <w:pPr>
              <w:pStyle w:val="Normal"/>
              <w:widowControl w:val="false"/>
              <w:spacing w:lineRule="atLeast" w:line="360" w:before="0" w:after="0"/>
              <w:ind w:firstLine="540" w:left="-360" w:right="-185"/>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widowControl w:val="false"/>
              <w:spacing w:lineRule="atLeast" w:line="360" w:before="0" w:after="0"/>
              <w:ind w:firstLine="540" w:left="-360" w:right="-18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tLeast" w:line="360" w:before="0" w:after="0"/>
              <w:ind w:right="-18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___________________/Ю.Н. Маслов/</w:t>
            </w:r>
          </w:p>
        </w:tc>
        <w:tc>
          <w:tcPr>
            <w:tcW w:w="5074" w:type="dxa"/>
            <w:tcBorders/>
          </w:tcPr>
          <w:p>
            <w:pPr>
              <w:pStyle w:val="Normal"/>
              <w:widowControl w:val="false"/>
              <w:suppressAutoHyphens w:val="true"/>
              <w:overflowPunct w:val="false"/>
              <w:bidi w:val="0"/>
              <w:spacing w:lineRule="atLeast" w:line="360" w:before="0" w:after="0"/>
              <w:ind w:firstLine="340" w:left="-340" w:right="-170"/>
              <w:jc w:val="left"/>
              <w:rPr/>
            </w:pPr>
            <w:r>
              <w:rPr>
                <w:rFonts w:eastAsia="Times New Roman" w:cs="Times New Roman" w:ascii="Times New Roman" w:hAnsi="Times New Roman"/>
                <w:b/>
                <w:sz w:val="24"/>
                <w:szCs w:val="24"/>
              </w:rPr>
              <w:t>Исполнитель:</w:t>
            </w:r>
          </w:p>
          <w:p>
            <w:pPr>
              <w:pStyle w:val="Normal"/>
              <w:widowControl w:val="false"/>
              <w:spacing w:lineRule="atLeast" w:line="360" w:before="0" w:after="0"/>
              <w:ind w:hanging="0" w:left="-360" w:right="-185"/>
              <w:jc w:val="left"/>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Title"/>
              <w:spacing w:before="0" w:after="0"/>
              <w:contextualSpacing/>
              <w:jc w:val="both"/>
              <w:rPr>
                <w:b/>
                <w:color w:val="auto"/>
                <w:szCs w:val="24"/>
                <w:lang w:eastAsia="en-US"/>
              </w:rPr>
            </w:pPr>
            <w:r>
              <w:rPr>
                <w:b/>
                <w:color w:val="auto"/>
                <w:szCs w:val="24"/>
                <w:lang w:eastAsia="en-US"/>
              </w:rPr>
            </w:r>
          </w:p>
          <w:p>
            <w:pPr>
              <w:pStyle w:val="Title"/>
              <w:spacing w:before="0" w:after="0"/>
              <w:contextualSpacing/>
              <w:jc w:val="both"/>
              <w:rPr>
                <w:b/>
                <w:color w:val="auto"/>
                <w:szCs w:val="24"/>
                <w:lang w:eastAsia="en-US"/>
              </w:rPr>
            </w:pPr>
            <w:r>
              <w:rPr>
                <w:b/>
                <w:color w:val="auto"/>
                <w:szCs w:val="24"/>
                <w:lang w:eastAsia="en-US"/>
              </w:rPr>
            </w:r>
          </w:p>
          <w:p>
            <w:pPr>
              <w:pStyle w:val="Title"/>
              <w:spacing w:before="0" w:after="0"/>
              <w:contextualSpacing/>
              <w:jc w:val="both"/>
              <w:rPr>
                <w:b/>
                <w:color w:val="auto"/>
                <w:szCs w:val="24"/>
                <w:lang w:eastAsia="en-US"/>
              </w:rPr>
            </w:pPr>
            <w:r>
              <w:rPr>
                <w:b/>
                <w:color w:val="auto"/>
                <w:szCs w:val="24"/>
                <w:lang w:eastAsia="en-US"/>
              </w:rPr>
            </w:r>
          </w:p>
          <w:p>
            <w:pPr>
              <w:pStyle w:val="Normal"/>
              <w:widowControl w:val="false"/>
              <w:spacing w:lineRule="atLeast" w:line="360" w:before="0" w:after="0"/>
              <w:ind w:right="-185"/>
              <w:jc w:val="both"/>
              <w:rPr>
                <w:rFonts w:ascii="Times New Roman" w:hAnsi="Times New Roman" w:eastAsia="Times New Roman" w:cs="Times New Roman"/>
                <w:sz w:val="24"/>
                <w:szCs w:val="24"/>
              </w:rPr>
            </w:pPr>
            <w:r>
              <w:rPr>
                <w:rFonts w:cs="Times New Roman" w:ascii="Times New Roman" w:hAnsi="Times New Roman"/>
                <w:b/>
                <w:bCs/>
                <w:sz w:val="24"/>
                <w:szCs w:val="24"/>
              </w:rPr>
              <w:t xml:space="preserve">___________________ </w:t>
            </w:r>
            <w:r>
              <w:rPr>
                <w:rFonts w:cs="Times New Roman" w:ascii="Times New Roman" w:hAnsi="Times New Roman"/>
                <w:b w:val="false"/>
                <w:bCs w:val="false"/>
                <w:sz w:val="24"/>
                <w:szCs w:val="24"/>
              </w:rPr>
              <w:t>/____________/</w:t>
            </w:r>
          </w:p>
        </w:tc>
      </w:tr>
    </w:tbl>
    <w:p>
      <w:pPr>
        <w:pStyle w:val="Normal"/>
        <w:spacing w:lineRule="auto" w:line="240" w:before="0" w:after="0"/>
        <w:ind w:right="-185"/>
        <w:contextualSpacing/>
        <w:jc w:val="both"/>
        <w:rPr>
          <w:rFonts w:ascii="PT Astra Serif" w:hAnsi="PT Astra Serif" w:eastAsia="Times New Roman" w:cs="Times New Roman"/>
          <w:sz w:val="24"/>
          <w:szCs w:val="24"/>
          <w:lang w:eastAsia="ru-RU"/>
        </w:rPr>
      </w:pPr>
      <w:r>
        <w:rPr>
          <w:rFonts w:eastAsia="Times New Roman" w:cs="Times New Roman" w:ascii="PT Astra Serif" w:hAnsi="PT Astra Serif"/>
          <w:sz w:val="24"/>
          <w:szCs w:val="24"/>
          <w:lang w:eastAsia="ru-RU"/>
        </w:rPr>
      </w:r>
    </w:p>
    <w:sectPr>
      <w:type w:val="nextPage"/>
      <w:pgSz w:w="11906" w:h="16838"/>
      <w:pgMar w:left="838" w:right="843" w:gutter="0" w:header="0" w:top="851"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Courier New">
    <w:charset w:val="01"/>
    <w:family w:val="auto"/>
    <w:pitch w:val="default"/>
  </w:font>
  <w:font w:name="Symbol">
    <w:charset w:val="01"/>
    <w:family w:val="roman"/>
    <w:pitch w:val="default"/>
  </w:font>
  <w:font w:name="PT Astra Serif">
    <w:charset w:val="01"/>
    <w:family w:val="roman"/>
    <w:pitch w:val="default"/>
  </w:font>
  <w:font w:name="SchoolBookC">
    <w:charset w:val="01"/>
    <w:family w:val="auto"/>
    <w:pitch w:val="default"/>
  </w:font>
  <w:font w:name="AvantGardeGothicC">
    <w:charset w:val="01"/>
    <w:family w:val="auto"/>
    <w:pitch w:val="default"/>
  </w:font>
  <w:font w:name="GaramondNarrowC">
    <w:charset w:val="01"/>
    <w:family w:val="roman"/>
    <w:pitch w:val="default"/>
  </w:font>
  <w:font w:name="GaramondC">
    <w:charset w:val="01"/>
    <w:family w:val="auto"/>
    <w:pitch w:val="default"/>
  </w:font>
  <w:font w:name="Gelvetsky 12pt">
    <w:charset w:val="01"/>
    <w:family w:val="roman"/>
    <w:pitch w:val="default"/>
  </w:font>
  <w:font w:name="Verdana">
    <w:charset w:val="01"/>
    <w:family w:val="swiss"/>
    <w:pitch w:val="default"/>
  </w:font>
  <w:font w:name="NTTierce">
    <w:charset w:val="01"/>
    <w:family w:val="auto"/>
    <w:pitch w:val="default"/>
  </w:font>
  <w:font w:name="TimesDL">
    <w:charset w:val="01"/>
    <w:family w:val="auto"/>
    <w:pitch w:val="default"/>
  </w:font>
  <w:font w:name="Arial Rounded MT Bold">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756"/>
        </w:tabs>
        <w:ind w:left="756" w:hanging="576"/>
      </w:pPr>
      <w:rPr>
        <w:i w:val="false"/>
      </w:rPr>
    </w:lvl>
    <w:lvl w:ilvl="2">
      <w:start w:val="1"/>
      <w:numFmt w:val="decimal"/>
      <w:lvlText w:val="%1.%2.%3."/>
      <w:lvlJc w:val="left"/>
      <w:pPr>
        <w:tabs>
          <w:tab w:val="num" w:pos="227"/>
        </w:tabs>
        <w:ind w:left="0" w:hanging="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2"/>
      <w:numFmt w:val="decimal"/>
      <w:lvlText w:val="%1."/>
      <w:lvlJc w:val="left"/>
      <w:pPr>
        <w:tabs>
          <w:tab w:val="num" w:pos="0"/>
        </w:tabs>
        <w:ind w:left="1361" w:hanging="360"/>
      </w:pPr>
      <w:rPr>
        <w:b w:val="false"/>
      </w:rPr>
    </w:lvl>
    <w:lvl w:ilvl="1">
      <w:start w:val="1"/>
      <w:numFmt w:val="lowerLetter"/>
      <w:lvlText w:val="%2."/>
      <w:lvlJc w:val="left"/>
      <w:pPr>
        <w:tabs>
          <w:tab w:val="num" w:pos="0"/>
        </w:tabs>
        <w:ind w:left="2081" w:hanging="360"/>
      </w:pPr>
      <w:rPr/>
    </w:lvl>
    <w:lvl w:ilvl="2">
      <w:start w:val="1"/>
      <w:numFmt w:val="lowerRoman"/>
      <w:lvlText w:val="%3."/>
      <w:lvlJc w:val="right"/>
      <w:pPr>
        <w:tabs>
          <w:tab w:val="num" w:pos="0"/>
        </w:tabs>
        <w:ind w:left="2801" w:hanging="180"/>
      </w:pPr>
      <w:rPr/>
    </w:lvl>
    <w:lvl w:ilvl="3">
      <w:start w:val="1"/>
      <w:numFmt w:val="decimal"/>
      <w:lvlText w:val="%4."/>
      <w:lvlJc w:val="left"/>
      <w:pPr>
        <w:tabs>
          <w:tab w:val="num" w:pos="0"/>
        </w:tabs>
        <w:ind w:left="3521" w:hanging="360"/>
      </w:pPr>
      <w:rPr/>
    </w:lvl>
    <w:lvl w:ilvl="4">
      <w:start w:val="1"/>
      <w:numFmt w:val="lowerLetter"/>
      <w:lvlText w:val="%5."/>
      <w:lvlJc w:val="left"/>
      <w:pPr>
        <w:tabs>
          <w:tab w:val="num" w:pos="0"/>
        </w:tabs>
        <w:ind w:left="4241" w:hanging="360"/>
      </w:pPr>
      <w:rPr/>
    </w:lvl>
    <w:lvl w:ilvl="5">
      <w:start w:val="1"/>
      <w:numFmt w:val="lowerRoman"/>
      <w:lvlText w:val="%6."/>
      <w:lvlJc w:val="right"/>
      <w:pPr>
        <w:tabs>
          <w:tab w:val="num" w:pos="0"/>
        </w:tabs>
        <w:ind w:left="4961" w:hanging="180"/>
      </w:pPr>
      <w:rPr/>
    </w:lvl>
    <w:lvl w:ilvl="6">
      <w:start w:val="1"/>
      <w:numFmt w:val="decimal"/>
      <w:lvlText w:val="%7."/>
      <w:lvlJc w:val="left"/>
      <w:pPr>
        <w:tabs>
          <w:tab w:val="num" w:pos="0"/>
        </w:tabs>
        <w:ind w:left="5681" w:hanging="360"/>
      </w:pPr>
      <w:rPr/>
    </w:lvl>
    <w:lvl w:ilvl="7">
      <w:start w:val="1"/>
      <w:numFmt w:val="lowerLetter"/>
      <w:lvlText w:val="%8."/>
      <w:lvlJc w:val="left"/>
      <w:pPr>
        <w:tabs>
          <w:tab w:val="num" w:pos="0"/>
        </w:tabs>
        <w:ind w:left="6401" w:hanging="360"/>
      </w:pPr>
      <w:rPr/>
    </w:lvl>
    <w:lvl w:ilvl="8">
      <w:start w:val="1"/>
      <w:numFmt w:val="lowerRoman"/>
      <w:lvlText w:val="%9."/>
      <w:lvlJc w:val="right"/>
      <w:pPr>
        <w:tabs>
          <w:tab w:val="num" w:pos="0"/>
        </w:tabs>
        <w:ind w:left="7121" w:hanging="180"/>
      </w:pPr>
      <w:rPr/>
    </w:lvl>
  </w:abstractNum>
  <w:abstractNum w:abstractNumId="3">
    <w:lvl w:ilvl="0">
      <w:start w:val="11"/>
      <w:numFmt w:val="decimal"/>
      <w:lvlText w:val="%1."/>
      <w:lvlJc w:val="left"/>
      <w:pPr>
        <w:tabs>
          <w:tab w:val="num" w:pos="0"/>
        </w:tabs>
        <w:ind w:left="1361" w:hanging="360"/>
      </w:pPr>
      <w:rPr/>
    </w:lvl>
    <w:lvl w:ilvl="1">
      <w:start w:val="1"/>
      <w:numFmt w:val="lowerLetter"/>
      <w:lvlText w:val="%2."/>
      <w:lvlJc w:val="left"/>
      <w:pPr>
        <w:tabs>
          <w:tab w:val="num" w:pos="0"/>
        </w:tabs>
        <w:ind w:left="2081" w:hanging="360"/>
      </w:pPr>
      <w:rPr/>
    </w:lvl>
    <w:lvl w:ilvl="2">
      <w:start w:val="1"/>
      <w:numFmt w:val="lowerRoman"/>
      <w:lvlText w:val="%3."/>
      <w:lvlJc w:val="right"/>
      <w:pPr>
        <w:tabs>
          <w:tab w:val="num" w:pos="0"/>
        </w:tabs>
        <w:ind w:left="2801" w:hanging="180"/>
      </w:pPr>
      <w:rPr/>
    </w:lvl>
    <w:lvl w:ilvl="3">
      <w:start w:val="1"/>
      <w:numFmt w:val="decimal"/>
      <w:lvlText w:val="%4."/>
      <w:lvlJc w:val="left"/>
      <w:pPr>
        <w:tabs>
          <w:tab w:val="num" w:pos="0"/>
        </w:tabs>
        <w:ind w:left="3521" w:hanging="360"/>
      </w:pPr>
      <w:rPr/>
    </w:lvl>
    <w:lvl w:ilvl="4">
      <w:start w:val="1"/>
      <w:numFmt w:val="lowerLetter"/>
      <w:lvlText w:val="%5."/>
      <w:lvlJc w:val="left"/>
      <w:pPr>
        <w:tabs>
          <w:tab w:val="num" w:pos="0"/>
        </w:tabs>
        <w:ind w:left="4241" w:hanging="360"/>
      </w:pPr>
      <w:rPr/>
    </w:lvl>
    <w:lvl w:ilvl="5">
      <w:start w:val="1"/>
      <w:numFmt w:val="lowerRoman"/>
      <w:lvlText w:val="%6."/>
      <w:lvlJc w:val="right"/>
      <w:pPr>
        <w:tabs>
          <w:tab w:val="num" w:pos="0"/>
        </w:tabs>
        <w:ind w:left="4961" w:hanging="180"/>
      </w:pPr>
      <w:rPr/>
    </w:lvl>
    <w:lvl w:ilvl="6">
      <w:start w:val="1"/>
      <w:numFmt w:val="decimal"/>
      <w:lvlText w:val="%7."/>
      <w:lvlJc w:val="left"/>
      <w:pPr>
        <w:tabs>
          <w:tab w:val="num" w:pos="0"/>
        </w:tabs>
        <w:ind w:left="5681" w:hanging="360"/>
      </w:pPr>
      <w:rPr/>
    </w:lvl>
    <w:lvl w:ilvl="7">
      <w:start w:val="1"/>
      <w:numFmt w:val="lowerLetter"/>
      <w:lvlText w:val="%8."/>
      <w:lvlJc w:val="left"/>
      <w:pPr>
        <w:tabs>
          <w:tab w:val="num" w:pos="0"/>
        </w:tabs>
        <w:ind w:left="6401" w:hanging="360"/>
      </w:pPr>
      <w:rPr/>
    </w:lvl>
    <w:lvl w:ilvl="8">
      <w:start w:val="1"/>
      <w:numFmt w:val="lowerRoman"/>
      <w:lvlText w:val="%9."/>
      <w:lvlJc w:val="right"/>
      <w:pPr>
        <w:tabs>
          <w:tab w:val="num" w:pos="0"/>
        </w:tabs>
        <w:ind w:left="7121" w:hanging="180"/>
      </w:pPr>
      <w:rPr/>
    </w:lvl>
  </w:abstractNum>
  <w:abstractNum w:abstractNumId="4">
    <w:lvl w:ilvl="0">
      <w:start w:val="1"/>
      <w:numFmt w:val="decimal"/>
      <w:lvlText w:val="%1."/>
      <w:lvlJc w:val="left"/>
      <w:pPr>
        <w:tabs>
          <w:tab w:val="num" w:pos="0"/>
        </w:tabs>
        <w:ind w:left="360" w:hanging="360"/>
      </w:pPr>
      <w:rPr>
        <w:b/>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1"/>
      <w:numFmt w:val="decimal"/>
      <w:lvlText w:val="%1."/>
      <w:lvlJc w:val="left"/>
      <w:pPr>
        <w:tabs>
          <w:tab w:val="num" w:pos="0"/>
        </w:tabs>
        <w:ind w:left="1080" w:hanging="360"/>
      </w:pPr>
      <w:rPr/>
    </w:lvl>
    <w:lvl w:ilvl="1">
      <w:start w:val="2"/>
      <w:isLgl/>
      <w:numFmt w:val="decimal"/>
      <w:lvlText w:val="%1.%2."/>
      <w:lvlJc w:val="left"/>
      <w:pPr>
        <w:tabs>
          <w:tab w:val="num" w:pos="0"/>
        </w:tabs>
        <w:ind w:left="1080" w:hanging="360"/>
      </w:pPr>
      <w:rPr>
        <w:sz w:val="24"/>
        <w:i w:val="false"/>
      </w:rPr>
    </w:lvl>
    <w:lvl w:ilvl="2">
      <w:start w:val="1"/>
      <w:isLgl/>
      <w:numFmt w:val="decimal"/>
      <w:lvlText w:val="%1.%2.%3."/>
      <w:lvlJc w:val="left"/>
      <w:pPr>
        <w:tabs>
          <w:tab w:val="num" w:pos="0"/>
        </w:tabs>
        <w:ind w:left="1440" w:hanging="720"/>
      </w:pPr>
      <w:rPr>
        <w:sz w:val="24"/>
        <w:i w:val="false"/>
      </w:rPr>
    </w:lvl>
    <w:lvl w:ilvl="3">
      <w:start w:val="1"/>
      <w:isLgl/>
      <w:numFmt w:val="decimal"/>
      <w:lvlText w:val="%1.%2.%3.%4."/>
      <w:lvlJc w:val="left"/>
      <w:pPr>
        <w:tabs>
          <w:tab w:val="num" w:pos="0"/>
        </w:tabs>
        <w:ind w:left="1440" w:hanging="720"/>
      </w:pPr>
      <w:rPr>
        <w:sz w:val="24"/>
        <w:i w:val="false"/>
      </w:rPr>
    </w:lvl>
    <w:lvl w:ilvl="4">
      <w:start w:val="1"/>
      <w:isLgl/>
      <w:numFmt w:val="decimal"/>
      <w:lvlText w:val="%1.%2.%3.%4.%5."/>
      <w:lvlJc w:val="left"/>
      <w:pPr>
        <w:tabs>
          <w:tab w:val="num" w:pos="0"/>
        </w:tabs>
        <w:ind w:left="1800" w:hanging="1080"/>
      </w:pPr>
      <w:rPr>
        <w:sz w:val="24"/>
        <w:i w:val="false"/>
      </w:rPr>
    </w:lvl>
    <w:lvl w:ilvl="5">
      <w:start w:val="1"/>
      <w:isLgl/>
      <w:numFmt w:val="decimal"/>
      <w:lvlText w:val="%1.%2.%3.%4.%5.%6."/>
      <w:lvlJc w:val="left"/>
      <w:pPr>
        <w:tabs>
          <w:tab w:val="num" w:pos="0"/>
        </w:tabs>
        <w:ind w:left="1800" w:hanging="1080"/>
      </w:pPr>
      <w:rPr>
        <w:sz w:val="24"/>
        <w:i w:val="false"/>
      </w:rPr>
    </w:lvl>
    <w:lvl w:ilvl="6">
      <w:start w:val="1"/>
      <w:isLgl/>
      <w:numFmt w:val="decimal"/>
      <w:lvlText w:val="%1.%2.%3.%4.%5.%6.%7."/>
      <w:lvlJc w:val="left"/>
      <w:pPr>
        <w:tabs>
          <w:tab w:val="num" w:pos="0"/>
        </w:tabs>
        <w:ind w:left="2160" w:hanging="1440"/>
      </w:pPr>
      <w:rPr>
        <w:sz w:val="24"/>
        <w:i w:val="false"/>
      </w:rPr>
    </w:lvl>
    <w:lvl w:ilvl="7">
      <w:start w:val="1"/>
      <w:isLgl/>
      <w:numFmt w:val="decimal"/>
      <w:lvlText w:val="%1.%2.%3.%4.%5.%6.%7.%8."/>
      <w:lvlJc w:val="left"/>
      <w:pPr>
        <w:tabs>
          <w:tab w:val="num" w:pos="0"/>
        </w:tabs>
        <w:ind w:left="2160" w:hanging="1440"/>
      </w:pPr>
      <w:rPr>
        <w:sz w:val="24"/>
        <w:i w:val="false"/>
      </w:rPr>
    </w:lvl>
    <w:lvl w:ilvl="8">
      <w:start w:val="1"/>
      <w:isLgl/>
      <w:numFmt w:val="decimal"/>
      <w:lvlText w:val="%1.%2.%3.%4.%5.%6.%7.%8.%9."/>
      <w:lvlJc w:val="left"/>
      <w:pPr>
        <w:tabs>
          <w:tab w:val="num" w:pos="0"/>
        </w:tabs>
        <w:ind w:left="2520" w:hanging="1800"/>
      </w:pPr>
      <w:rPr>
        <w:sz w:val="24"/>
        <w:i w:val="false"/>
      </w:rPr>
    </w:lvl>
  </w:abstractNum>
  <w:abstractNum w:abstractNumId="6">
    <w:lvl w:ilvl="0">
      <w:start w:val="4"/>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Heading1">
    <w:name w:val="heading 1"/>
    <w:basedOn w:val="Normal"/>
    <w:next w:val="Normal"/>
    <w:link w:val="1"/>
    <w:qFormat/>
    <w:pPr>
      <w:keepNext w:val="true"/>
      <w:numPr>
        <w:ilvl w:val="0"/>
        <w:numId w:val="0"/>
      </w:numPr>
      <w:spacing w:lineRule="auto" w:line="240" w:before="240" w:after="60"/>
      <w:outlineLvl w:val="0"/>
    </w:pPr>
    <w:rPr>
      <w:rFonts w:ascii="Arial" w:hAnsi="Arial" w:eastAsia="Times New Roman" w:cs="Times New Roman"/>
      <w:b/>
      <w:kern w:val="2"/>
      <w:sz w:val="32"/>
      <w:szCs w:val="20"/>
      <w:lang w:eastAsia="ru-RU"/>
    </w:rPr>
  </w:style>
  <w:style w:type="paragraph" w:styleId="Heading2">
    <w:name w:val="heading 2"/>
    <w:basedOn w:val="Normal"/>
    <w:next w:val="Normal"/>
    <w:link w:val="2"/>
    <w:qFormat/>
    <w:pPr>
      <w:keepNext w:val="true"/>
      <w:numPr>
        <w:ilvl w:val="0"/>
        <w:numId w:val="0"/>
      </w:numPr>
      <w:spacing w:lineRule="auto" w:line="240" w:before="240" w:after="60"/>
      <w:outlineLvl w:val="1"/>
    </w:pPr>
    <w:rPr>
      <w:rFonts w:ascii="Arial" w:hAnsi="Arial" w:eastAsia="Times New Roman" w:cs="Times New Roman"/>
      <w:b/>
      <w:i/>
      <w:sz w:val="28"/>
      <w:szCs w:val="20"/>
      <w:lang w:eastAsia="ru-RU"/>
    </w:rPr>
  </w:style>
  <w:style w:type="paragraph" w:styleId="Heading3">
    <w:name w:val="heading 3"/>
    <w:basedOn w:val="Normal"/>
    <w:next w:val="Normal"/>
    <w:link w:val="3"/>
    <w:qFormat/>
    <w:pPr>
      <w:keepNext w:val="true"/>
      <w:numPr>
        <w:ilvl w:val="0"/>
        <w:numId w:val="0"/>
      </w:numPr>
      <w:spacing w:lineRule="auto" w:line="240" w:before="240" w:after="60"/>
      <w:outlineLvl w:val="2"/>
    </w:pPr>
    <w:rPr>
      <w:rFonts w:ascii="Arial" w:hAnsi="Arial" w:eastAsia="Times New Roman" w:cs="Arial"/>
      <w:b/>
      <w:bCs/>
      <w:sz w:val="26"/>
      <w:szCs w:val="26"/>
      <w:lang w:eastAsia="ru-RU"/>
    </w:rPr>
  </w:style>
  <w:style w:type="paragraph" w:styleId="Heading4">
    <w:name w:val="heading 4"/>
    <w:basedOn w:val="Normal"/>
    <w:next w:val="Normal"/>
    <w:link w:val="4"/>
    <w:qFormat/>
    <w:pPr>
      <w:keepNext w:val="true"/>
      <w:numPr>
        <w:ilvl w:val="0"/>
        <w:numId w:val="0"/>
      </w:numPr>
      <w:spacing w:lineRule="auto" w:line="240" w:before="240" w:after="60"/>
      <w:outlineLvl w:val="3"/>
    </w:pPr>
    <w:rPr>
      <w:rFonts w:ascii="Times New Roman" w:hAnsi="Times New Roman" w:eastAsia="Times New Roman" w:cs="Times New Roman"/>
      <w:b/>
      <w:bCs/>
      <w:sz w:val="28"/>
      <w:szCs w:val="28"/>
      <w:lang w:eastAsia="ru-RU"/>
    </w:rPr>
  </w:style>
  <w:style w:type="paragraph" w:styleId="Heading5">
    <w:name w:val="heading 5"/>
    <w:basedOn w:val="Normal"/>
    <w:next w:val="Normal"/>
    <w:link w:val="5"/>
    <w:qFormat/>
    <w:pPr>
      <w:numPr>
        <w:ilvl w:val="0"/>
        <w:numId w:val="0"/>
      </w:numPr>
      <w:spacing w:lineRule="auto" w:line="240" w:before="240" w:after="60"/>
      <w:outlineLvl w:val="4"/>
    </w:pPr>
    <w:rPr>
      <w:rFonts w:ascii="Times New Roman" w:hAnsi="Times New Roman" w:eastAsia="Times New Roman" w:cs="Times New Roman"/>
      <w:b/>
      <w:bCs/>
      <w:i/>
      <w:iCs/>
      <w:sz w:val="26"/>
      <w:szCs w:val="26"/>
      <w:lang w:val="x-none" w:eastAsia="x-none"/>
    </w:rPr>
  </w:style>
  <w:style w:type="paragraph" w:styleId="Heading6">
    <w:name w:val="heading 6"/>
    <w:basedOn w:val="Normal"/>
    <w:next w:val="Normal"/>
    <w:link w:val="6"/>
    <w:qFormat/>
    <w:pPr>
      <w:numPr>
        <w:ilvl w:val="0"/>
        <w:numId w:val="0"/>
      </w:numPr>
      <w:spacing w:lineRule="auto" w:line="240" w:before="240" w:after="60"/>
      <w:outlineLvl w:val="5"/>
    </w:pPr>
    <w:rPr>
      <w:rFonts w:ascii="Times New Roman" w:hAnsi="Times New Roman" w:eastAsia="Times New Roman" w:cs="Times New Roman"/>
      <w:b/>
      <w:bCs/>
      <w:lang w:eastAsia="ru-RU"/>
    </w:rPr>
  </w:style>
  <w:style w:type="paragraph" w:styleId="Heading7">
    <w:name w:val="heading 7"/>
    <w:basedOn w:val="Normal"/>
    <w:next w:val="Normal"/>
    <w:link w:val="7"/>
    <w:qFormat/>
    <w:pPr>
      <w:numPr>
        <w:ilvl w:val="0"/>
        <w:numId w:val="0"/>
      </w:numPr>
      <w:spacing w:lineRule="auto" w:line="240" w:before="240" w:after="60"/>
      <w:outlineLvl w:val="6"/>
    </w:pPr>
    <w:rPr>
      <w:rFonts w:ascii="Times New Roman" w:hAnsi="Times New Roman" w:eastAsia="Times New Roman" w:cs="Times New Roman"/>
      <w:sz w:val="24"/>
      <w:szCs w:val="24"/>
      <w:lang w:eastAsia="ru-RU"/>
    </w:rPr>
  </w:style>
  <w:style w:type="paragraph" w:styleId="Heading8">
    <w:name w:val="heading 8"/>
    <w:basedOn w:val="Normal"/>
    <w:next w:val="Normal"/>
    <w:link w:val="8"/>
    <w:qFormat/>
    <w:pPr>
      <w:numPr>
        <w:ilvl w:val="0"/>
        <w:numId w:val="0"/>
      </w:numPr>
      <w:spacing w:lineRule="auto" w:line="240" w:before="240" w:after="60"/>
      <w:outlineLvl w:val="7"/>
    </w:pPr>
    <w:rPr>
      <w:rFonts w:ascii="Times New Roman" w:hAnsi="Times New Roman" w:eastAsia="Times New Roman" w:cs="Times New Roman"/>
      <w:i/>
      <w:iCs/>
      <w:sz w:val="24"/>
      <w:szCs w:val="24"/>
      <w:lang w:eastAsia="ru-RU"/>
    </w:rPr>
  </w:style>
  <w:style w:type="paragraph" w:styleId="Heading9">
    <w:name w:val="heading 9"/>
    <w:basedOn w:val="Normal"/>
    <w:next w:val="Normal"/>
    <w:link w:val="9"/>
    <w:qFormat/>
    <w:pPr>
      <w:numPr>
        <w:ilvl w:val="0"/>
        <w:numId w:val="0"/>
      </w:numPr>
      <w:tabs>
        <w:tab w:val="clear" w:pos="708"/>
        <w:tab w:val="left" w:pos="1584" w:leader="none"/>
      </w:tabs>
      <w:spacing w:lineRule="auto" w:line="240" w:before="240" w:after="60"/>
      <w:ind w:hanging="1584" w:left="1584"/>
      <w:jc w:val="both"/>
      <w:outlineLvl w:val="8"/>
    </w:pPr>
    <w:rPr>
      <w:rFonts w:ascii="Arial" w:hAnsi="Arial" w:eastAsia="Times New Roman" w:cs="Times New Roman"/>
      <w:b/>
      <w:i/>
      <w:sz w:val="18"/>
      <w:szCs w:val="20"/>
      <w:lang w:eastAsia="ru-RU"/>
    </w:rPr>
  </w:style>
  <w:style w:type="character" w:styleId="DefaultParagraphFont">
    <w:name w:val="Default Paragraph Font"/>
    <w:qFormat/>
    <w:rPr/>
  </w:style>
  <w:style w:type="character" w:styleId="1">
    <w:name w:val="Заголовок 1 Знак"/>
    <w:basedOn w:val="DefaultParagraphFont"/>
    <w:qFormat/>
    <w:rPr>
      <w:rFonts w:ascii="Arial" w:hAnsi="Arial" w:eastAsia="Times New Roman" w:cs="Times New Roman"/>
      <w:b/>
      <w:kern w:val="2"/>
      <w:sz w:val="32"/>
      <w:szCs w:val="20"/>
      <w:lang w:eastAsia="ru-RU"/>
    </w:rPr>
  </w:style>
  <w:style w:type="character" w:styleId="2">
    <w:name w:val="Заголовок 2 Знак"/>
    <w:basedOn w:val="DefaultParagraphFont"/>
    <w:qFormat/>
    <w:rPr>
      <w:rFonts w:ascii="Arial" w:hAnsi="Arial" w:eastAsia="Times New Roman" w:cs="Times New Roman"/>
      <w:b/>
      <w:i/>
      <w:sz w:val="28"/>
      <w:szCs w:val="20"/>
      <w:lang w:eastAsia="ru-RU"/>
    </w:rPr>
  </w:style>
  <w:style w:type="character" w:styleId="3">
    <w:name w:val="Заголовок 3 Знак"/>
    <w:basedOn w:val="DefaultParagraphFont"/>
    <w:qFormat/>
    <w:rPr>
      <w:rFonts w:ascii="Arial" w:hAnsi="Arial" w:eastAsia="Times New Roman" w:cs="Arial"/>
      <w:b/>
      <w:bCs/>
      <w:sz w:val="26"/>
      <w:szCs w:val="26"/>
      <w:lang w:eastAsia="ru-RU"/>
    </w:rPr>
  </w:style>
  <w:style w:type="character" w:styleId="4">
    <w:name w:val="Заголовок 4 Знак"/>
    <w:basedOn w:val="DefaultParagraphFont"/>
    <w:qFormat/>
    <w:rPr>
      <w:rFonts w:ascii="Times New Roman" w:hAnsi="Times New Roman" w:eastAsia="Times New Roman" w:cs="Times New Roman"/>
      <w:b/>
      <w:bCs/>
      <w:sz w:val="28"/>
      <w:szCs w:val="28"/>
      <w:lang w:eastAsia="ru-RU"/>
    </w:rPr>
  </w:style>
  <w:style w:type="character" w:styleId="5">
    <w:name w:val="Заголовок 5 Знак"/>
    <w:basedOn w:val="DefaultParagraphFont"/>
    <w:qFormat/>
    <w:rPr>
      <w:rFonts w:ascii="Times New Roman" w:hAnsi="Times New Roman" w:eastAsia="Times New Roman" w:cs="Times New Roman"/>
      <w:b/>
      <w:bCs/>
      <w:i/>
      <w:iCs/>
      <w:sz w:val="26"/>
      <w:szCs w:val="26"/>
      <w:lang w:val="x-none" w:eastAsia="x-none"/>
    </w:rPr>
  </w:style>
  <w:style w:type="character" w:styleId="6">
    <w:name w:val="Заголовок 6 Знак"/>
    <w:basedOn w:val="DefaultParagraphFont"/>
    <w:qFormat/>
    <w:rPr>
      <w:rFonts w:ascii="Times New Roman" w:hAnsi="Times New Roman" w:eastAsia="Times New Roman" w:cs="Times New Roman"/>
      <w:b/>
      <w:bCs/>
      <w:lang w:eastAsia="ru-RU"/>
    </w:rPr>
  </w:style>
  <w:style w:type="character" w:styleId="7">
    <w:name w:val="Заголовок 7 Знак"/>
    <w:basedOn w:val="DefaultParagraphFont"/>
    <w:qFormat/>
    <w:rPr>
      <w:rFonts w:ascii="Times New Roman" w:hAnsi="Times New Roman" w:eastAsia="Times New Roman" w:cs="Times New Roman"/>
      <w:sz w:val="24"/>
      <w:szCs w:val="24"/>
      <w:lang w:eastAsia="ru-RU"/>
    </w:rPr>
  </w:style>
  <w:style w:type="character" w:styleId="8">
    <w:name w:val="Заголовок 8 Знак"/>
    <w:basedOn w:val="DefaultParagraphFont"/>
    <w:qFormat/>
    <w:rPr>
      <w:rFonts w:ascii="Times New Roman" w:hAnsi="Times New Roman" w:eastAsia="Times New Roman" w:cs="Times New Roman"/>
      <w:i/>
      <w:iCs/>
      <w:sz w:val="24"/>
      <w:szCs w:val="24"/>
      <w:lang w:eastAsia="ru-RU"/>
    </w:rPr>
  </w:style>
  <w:style w:type="character" w:styleId="9">
    <w:name w:val="Заголовок 9 Знак"/>
    <w:basedOn w:val="DefaultParagraphFont"/>
    <w:qFormat/>
    <w:rPr>
      <w:rFonts w:ascii="Arial" w:hAnsi="Arial" w:eastAsia="Times New Roman" w:cs="Times New Roman"/>
      <w:b/>
      <w:i/>
      <w:sz w:val="18"/>
      <w:szCs w:val="20"/>
      <w:lang w:eastAsia="ru-RU"/>
    </w:rPr>
  </w:style>
  <w:style w:type="character" w:styleId="Style5">
    <w:name w:val="Верхний колонтитул Знак"/>
    <w:basedOn w:val="DefaultParagraphFont"/>
    <w:qFormat/>
    <w:rPr>
      <w:rFonts w:ascii="Times New Roman" w:hAnsi="Times New Roman" w:eastAsia="Times New Roman" w:cs="Times New Roman"/>
      <w:sz w:val="20"/>
      <w:szCs w:val="20"/>
      <w:lang w:eastAsia="ru-RU"/>
    </w:rPr>
  </w:style>
  <w:style w:type="character" w:styleId="Style6">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Style8">
    <w:name w:val="Текст сноски Знак"/>
    <w:basedOn w:val="DefaultParagraphFont"/>
    <w:qFormat/>
    <w:rPr>
      <w:rFonts w:ascii="Times New Roman" w:hAnsi="Times New Roman" w:eastAsia="Times New Roman" w:cs="Times New Roman"/>
      <w:sz w:val="20"/>
      <w:szCs w:val="20"/>
      <w:lang w:eastAsia="ru-RU"/>
    </w:rPr>
  </w:style>
  <w:style w:type="character" w:styleId="21">
    <w:name w:val="Основной текст с отступом 2 Знак"/>
    <w:basedOn w:val="DefaultParagraphFont"/>
    <w:link w:val="BodyTextIndent2"/>
    <w:qFormat/>
    <w:rPr>
      <w:rFonts w:ascii="Times New Roman" w:hAnsi="Times New Roman" w:eastAsia="Times New Roman" w:cs="Times New Roman"/>
      <w:sz w:val="24"/>
      <w:szCs w:val="20"/>
      <w:lang w:eastAsia="ru-RU"/>
    </w:rPr>
  </w:style>
  <w:style w:type="character" w:styleId="Normal1">
    <w:name w:val="Normal Знак"/>
    <w:link w:val="13"/>
    <w:qFormat/>
    <w:rPr>
      <w:rFonts w:ascii="Times New Roman" w:hAnsi="Times New Roman" w:eastAsia="Times New Roman" w:cs="Times New Roman"/>
      <w:sz w:val="24"/>
      <w:szCs w:val="20"/>
      <w:lang w:eastAsia="ru-RU"/>
    </w:rPr>
  </w:style>
  <w:style w:type="character" w:styleId="22">
    <w:name w:val="Основной текст 2 Знак"/>
    <w:basedOn w:val="DefaultParagraphFont"/>
    <w:link w:val="BodyText2"/>
    <w:qFormat/>
    <w:rPr>
      <w:rFonts w:ascii="Times New Roman" w:hAnsi="Times New Roman" w:eastAsia="Times New Roman" w:cs="Times New Roman"/>
      <w:sz w:val="20"/>
      <w:szCs w:val="20"/>
      <w:lang w:eastAsia="ru-RU"/>
    </w:rPr>
  </w:style>
  <w:style w:type="character" w:styleId="Style9">
    <w:name w:val="Название Знак"/>
    <w:basedOn w:val="DefaultParagraphFont"/>
    <w:qFormat/>
    <w:rPr>
      <w:rFonts w:ascii="Times New Roman" w:hAnsi="Times New Roman" w:eastAsia="Times New Roman" w:cs="Times New Roman"/>
      <w:bCs/>
      <w:color w:val="000000"/>
      <w:spacing w:val="13"/>
      <w:sz w:val="24"/>
      <w:shd w:fill="FFFFFF" w:val="clear"/>
      <w:lang w:val="x-none" w:eastAsia="x-none"/>
    </w:rPr>
  </w:style>
  <w:style w:type="character" w:styleId="Style10">
    <w:name w:val="Основной текст Знак"/>
    <w:basedOn w:val="DefaultParagraphFont"/>
    <w:qFormat/>
    <w:rPr>
      <w:rFonts w:ascii="Times New Roman" w:hAnsi="Times New Roman" w:eastAsia="Times New Roman" w:cs="Times New Roman"/>
      <w:sz w:val="20"/>
      <w:szCs w:val="20"/>
      <w:lang w:eastAsia="ru-RU"/>
    </w:rPr>
  </w:style>
  <w:style w:type="character" w:styleId="3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2">
    <w:name w:val="Основной текст 3 Знак"/>
    <w:basedOn w:val="DefaultParagraphFont"/>
    <w:link w:val="BodyText3"/>
    <w:qFormat/>
    <w:rPr>
      <w:rFonts w:ascii="Times New Roman" w:hAnsi="Times New Roman" w:eastAsia="Times New Roman" w:cs="Times New Roman"/>
      <w:sz w:val="16"/>
      <w:szCs w:val="16"/>
      <w:lang w:eastAsia="ru-RU"/>
    </w:rPr>
  </w:style>
  <w:style w:type="character" w:styleId="Style11">
    <w:name w:val="Основной текст с отступом Знак"/>
    <w:basedOn w:val="DefaultParagraphFont"/>
    <w:qFormat/>
    <w:rPr>
      <w:rFonts w:ascii="Times New Roman" w:hAnsi="Times New Roman" w:eastAsia="Times New Roman" w:cs="Times New Roman"/>
      <w:sz w:val="20"/>
      <w:szCs w:val="20"/>
      <w:lang w:eastAsia="ru-RU"/>
    </w:rPr>
  </w:style>
  <w:style w:type="character" w:styleId="Style12">
    <w:name w:val="Текст выноски Знак"/>
    <w:basedOn w:val="DefaultParagraphFont"/>
    <w:link w:val="BalloonText"/>
    <w:qFormat/>
    <w:rPr>
      <w:rFonts w:ascii="Tahoma" w:hAnsi="Tahoma" w:eastAsia="Times New Roman" w:cs="Tahoma"/>
      <w:sz w:val="16"/>
      <w:szCs w:val="16"/>
      <w:lang w:eastAsia="ru-RU"/>
    </w:rPr>
  </w:style>
  <w:style w:type="character" w:styleId="CommentReference">
    <w:name w:val="annotation reference"/>
    <w:qFormat/>
    <w:rPr>
      <w:sz w:val="16"/>
      <w:szCs w:val="16"/>
    </w:rPr>
  </w:style>
  <w:style w:type="character" w:styleId="Style13">
    <w:name w:val="Текст примечания Знак"/>
    <w:basedOn w:val="DefaultParagraphFont"/>
    <w:qFormat/>
    <w:rPr>
      <w:rFonts w:ascii="Times New Roman" w:hAnsi="Times New Roman" w:eastAsia="Times New Roman" w:cs="Times New Roman"/>
      <w:sz w:val="20"/>
      <w:szCs w:val="20"/>
      <w:lang w:eastAsia="ru-RU"/>
    </w:rPr>
  </w:style>
  <w:style w:type="character" w:styleId="Style14">
    <w:name w:val="Тема примечания Знак"/>
    <w:basedOn w:val="Style13"/>
    <w:link w:val="annotationsubject"/>
    <w:qFormat/>
    <w:rPr>
      <w:rFonts w:ascii="Times New Roman" w:hAnsi="Times New Roman" w:eastAsia="Times New Roman" w:cs="Times New Roman"/>
      <w:b/>
      <w:bCs/>
      <w:sz w:val="20"/>
      <w:szCs w:val="20"/>
      <w:lang w:eastAsia="ru-RU"/>
    </w:rPr>
  </w:style>
  <w:style w:type="character" w:styleId="Hyperlink">
    <w:name w:val="Hyperlink"/>
    <w:rPr>
      <w:color w:val="0000FF"/>
      <w:u w:val="single"/>
    </w:rPr>
  </w:style>
  <w:style w:type="character" w:styleId="Style15">
    <w:name w:val="Текст Знак"/>
    <w:basedOn w:val="DefaultParagraphFont"/>
    <w:link w:val="PlainText"/>
    <w:qFormat/>
    <w:rPr>
      <w:rFonts w:ascii="Courier New" w:hAnsi="Courier New" w:eastAsia="Times New Roman" w:cs="Courier New"/>
      <w:sz w:val="20"/>
      <w:szCs w:val="20"/>
      <w:lang w:eastAsia="ru-RU"/>
    </w:rPr>
  </w:style>
  <w:style w:type="character" w:styleId="Style16">
    <w:name w:val="Дата Знак"/>
    <w:basedOn w:val="DefaultParagraphFont"/>
    <w:link w:val="Date"/>
    <w:qFormat/>
    <w:rPr>
      <w:rFonts w:ascii="Times New Roman" w:hAnsi="Times New Roman" w:eastAsia="Times New Roman" w:cs="Times New Roman"/>
      <w:sz w:val="24"/>
      <w:szCs w:val="20"/>
      <w:lang w:eastAsia="ru-RU"/>
    </w:rPr>
  </w:style>
  <w:style w:type="character" w:styleId="33">
    <w:name w:val="Стиль3 Знак"/>
    <w:link w:val="34"/>
    <w:qFormat/>
    <w:rPr>
      <w:rFonts w:ascii="Times New Roman" w:hAnsi="Times New Roman" w:eastAsia="Times New Roman" w:cs="Times New Roman"/>
      <w:sz w:val="24"/>
      <w:szCs w:val="20"/>
      <w:lang w:val="x-none" w:eastAsia="x-none"/>
    </w:rPr>
  </w:style>
  <w:style w:type="character" w:styleId="Strong">
    <w:name w:val="Strong"/>
    <w:qFormat/>
    <w:rPr>
      <w:b/>
      <w:bCs/>
    </w:rPr>
  </w:style>
  <w:style w:type="character" w:styleId="HTML">
    <w:name w:val="Стандартный HTML Знак"/>
    <w:basedOn w:val="DefaultParagraphFont"/>
    <w:link w:val="HTMLPreformatted"/>
    <w:qFormat/>
    <w:rPr>
      <w:rFonts w:ascii="Courier New" w:hAnsi="Courier New" w:eastAsia="Times New Roman" w:cs="Courier New"/>
      <w:sz w:val="20"/>
      <w:szCs w:val="20"/>
      <w:lang w:eastAsia="ru-RU"/>
    </w:rPr>
  </w:style>
  <w:style w:type="character" w:styleId="iiianoaieou">
    <w:name w:val="iiia? no?aieou"/>
    <w:basedOn w:val="DefaultParagraphFont"/>
    <w:qFormat/>
    <w:rPr/>
  </w:style>
  <w:style w:type="character" w:styleId="Style17">
    <w:name w:val="Схема документа Знак"/>
    <w:basedOn w:val="DefaultParagraphFont"/>
    <w:link w:val="DocumentMap"/>
    <w:qFormat/>
    <w:rPr>
      <w:rFonts w:ascii="Tahoma" w:hAnsi="Tahoma" w:eastAsia="Times New Roman" w:cs="Tahoma"/>
      <w:sz w:val="20"/>
      <w:szCs w:val="20"/>
      <w:shd w:fill="000080" w:val="clear"/>
      <w:lang w:eastAsia="ru-RU"/>
    </w:rPr>
  </w:style>
  <w:style w:type="character" w:styleId="23">
    <w:name w:val="Стиль2 Знак"/>
    <w:link w:val="24"/>
    <w:qFormat/>
    <w:rPr>
      <w:rFonts w:ascii="Times New Roman" w:hAnsi="Times New Roman" w:eastAsia="Times New Roman" w:cs="Times New Roman"/>
      <w:b/>
      <w:sz w:val="24"/>
      <w:szCs w:val="20"/>
      <w:lang w:val="x-none" w:eastAsia="x-none"/>
    </w:rPr>
  </w:style>
  <w:style w:type="character" w:styleId="WW8Num12z1">
    <w:name w:val="WW8Num12z1"/>
    <w:qFormat/>
    <w:rPr>
      <w:rFonts w:ascii="Courier New" w:hAnsi="Courier New" w:cs="Courier New"/>
    </w:rPr>
  </w:style>
  <w:style w:type="character" w:styleId="ConsNormal">
    <w:name w:val="ConsNormal Знак"/>
    <w:link w:val="ConsNormal1"/>
    <w:qFormat/>
    <w:rPr>
      <w:rFonts w:ascii="Arial" w:hAnsi="Arial" w:eastAsia="Times New Roman" w:cs="Arial"/>
      <w:sz w:val="20"/>
      <w:szCs w:val="20"/>
      <w:lang w:eastAsia="ru-RU"/>
    </w:rPr>
  </w:style>
  <w:style w:type="character" w:styleId="WW8Num29z0">
    <w:name w:val="WW8Num29z0"/>
    <w:qFormat/>
    <w:rPr>
      <w:rFonts w:ascii="Symbol" w:hAnsi="Symbol"/>
    </w:rPr>
  </w:style>
  <w:style w:type="character" w:styleId="ConsPlusNormal">
    <w:name w:val="ConsPlusNormal Знак"/>
    <w:link w:val="ConsPlusNormal1"/>
    <w:qFormat/>
    <w:rPr>
      <w:rFonts w:ascii="Arial" w:hAnsi="Arial" w:eastAsia="Times New Roman" w:cs="Arial"/>
      <w:sz w:val="20"/>
      <w:szCs w:val="20"/>
      <w:lang w:eastAsia="ru-RU"/>
    </w:rPr>
  </w:style>
  <w:style w:type="character" w:styleId="FontStyle25">
    <w:name w:val="Font Style25"/>
    <w:qFormat/>
    <w:rPr>
      <w:rFonts w:ascii="Times New Roman" w:hAnsi="Times New Roman" w:cs="Times New Roman"/>
      <w:sz w:val="22"/>
      <w:szCs w:val="22"/>
    </w:rPr>
  </w:style>
  <w:style w:type="character" w:styleId="WW8Num28z0">
    <w:name w:val="WW8Num28z0"/>
    <w:qFormat/>
    <w:rPr>
      <w:rFonts w:ascii="Symbol" w:hAnsi="Symbol"/>
    </w:rPr>
  </w:style>
  <w:style w:type="character" w:styleId="FontStyle39">
    <w:name w:val="Font Style39"/>
    <w:qFormat/>
    <w:rPr>
      <w:rFonts w:ascii="Times New Roman" w:hAnsi="Times New Roman" w:cs="Times New Roman"/>
      <w:sz w:val="26"/>
      <w:szCs w:val="26"/>
    </w:rPr>
  </w:style>
  <w:style w:type="character" w:styleId="ListParagraphChar1">
    <w:name w:val="List Paragraph Char1"/>
    <w:link w:val="15"/>
    <w:qFormat/>
    <w:rPr>
      <w:rFonts w:ascii="Times New Roman" w:hAnsi="Times New Roman" w:eastAsia="Calibri" w:cs="Times New Roman"/>
      <w:sz w:val="24"/>
      <w:szCs w:val="24"/>
      <w:lang w:eastAsia="ar-SA"/>
    </w:rPr>
  </w:style>
  <w:style w:type="character" w:styleId="text-green">
    <w:name w:val="text-green"/>
    <w:basedOn w:val="DefaultParagraphFont"/>
    <w:qFormat/>
    <w:rPr/>
  </w:style>
  <w:style w:type="character" w:styleId="Style18">
    <w:name w:val="Символ нумерации"/>
    <w:qFormat/>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0"/>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5"/>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Footer">
    <w:name w:val="footer"/>
    <w:basedOn w:val="Normal"/>
    <w:link w:val="Style6"/>
    <w:pPr>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TOC1">
    <w:name w:val="toc 1"/>
    <w:basedOn w:val="Normal"/>
    <w:next w:val="Normal"/>
    <w:autoRedefine/>
    <w:pPr>
      <w:spacing w:lineRule="auto" w:line="240" w:before="0" w:after="0"/>
    </w:pPr>
    <w:rPr>
      <w:rFonts w:ascii="Times New Roman" w:hAnsi="Times New Roman" w:eastAsia="Times New Roman" w:cs="Times New Roman"/>
      <w:sz w:val="24"/>
      <w:szCs w:val="20"/>
      <w:lang w:eastAsia="ru-RU"/>
    </w:rPr>
  </w:style>
  <w:style w:type="paragraph" w:styleId="TOC2">
    <w:name w:val="toc 2"/>
    <w:basedOn w:val="Normal"/>
    <w:next w:val="Normal"/>
    <w:autoRedefine/>
    <w:pPr>
      <w:spacing w:lineRule="auto" w:line="240" w:before="0" w:after="0"/>
      <w:ind w:left="240"/>
    </w:pPr>
    <w:rPr>
      <w:rFonts w:ascii="Times New Roman" w:hAnsi="Times New Roman" w:eastAsia="Times New Roman" w:cs="Times New Roman"/>
      <w:bCs/>
      <w:iCs/>
      <w:sz w:val="28"/>
      <w:szCs w:val="20"/>
      <w:lang w:eastAsia="ru-RU"/>
    </w:rPr>
  </w:style>
  <w:style w:type="paragraph" w:styleId="TOC3">
    <w:name w:val="toc 3"/>
    <w:basedOn w:val="Normal"/>
    <w:next w:val="Normal"/>
    <w:autoRedefine/>
    <w:pPr>
      <w:tabs>
        <w:tab w:val="clear" w:pos="708"/>
        <w:tab w:val="left" w:pos="1260" w:leader="none"/>
        <w:tab w:val="left" w:pos="9000" w:leader="none"/>
        <w:tab w:val="right" w:pos="9345" w:leader="dot"/>
      </w:tabs>
      <w:spacing w:lineRule="auto" w:line="240" w:before="0" w:after="0"/>
      <w:ind w:left="720"/>
    </w:pPr>
    <w:rPr>
      <w:rFonts w:ascii="Times New Roman" w:hAnsi="Times New Roman" w:eastAsia="Times New Roman" w:cs="Times New Roman"/>
      <w:sz w:val="24"/>
      <w:szCs w:val="20"/>
      <w:lang w:eastAsia="ru-RU"/>
    </w:rPr>
  </w:style>
  <w:style w:type="paragraph" w:styleId="11">
    <w:name w:val="текст1"/>
    <w:qFormat/>
    <w:pPr>
      <w:widowControl/>
      <w:suppressAutoHyphens w:val="true"/>
      <w:overflowPunct w:val="false"/>
      <w:bidi w:val="0"/>
      <w:spacing w:lineRule="auto" w:line="240"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BlockText">
    <w:name w:val="Block Text"/>
    <w:basedOn w:val="Normal"/>
    <w:qFormat/>
    <w:pPr>
      <w:pBdr>
        <w:top w:val="single" w:sz="4" w:space="1" w:color="000000"/>
        <w:left w:val="single" w:sz="4" w:space="4" w:color="000000"/>
        <w:bottom w:val="single" w:sz="4" w:space="1" w:color="000000"/>
        <w:right w:val="single" w:sz="4" w:space="4" w:color="000000"/>
      </w:pBdr>
      <w:shd w:val="clear" w:fill="C0C0C0"/>
      <w:spacing w:lineRule="auto" w:line="240" w:before="57" w:after="0"/>
      <w:ind w:left="283" w:right="283"/>
      <w:jc w:val="both"/>
    </w:pPr>
    <w:rPr>
      <w:rFonts w:ascii="Times New Roman" w:hAnsi="Times New Roman" w:eastAsia="Times New Roman" w:cs="Times New Roman"/>
      <w:b/>
      <w:i/>
      <w:sz w:val="24"/>
      <w:szCs w:val="20"/>
      <w:lang w:eastAsia="ru-RU"/>
    </w:rPr>
  </w:style>
  <w:style w:type="paragraph" w:styleId="FootnoteText">
    <w:name w:val="footnote text"/>
    <w:basedOn w:val="Normal"/>
    <w:link w:val="Style8"/>
    <w:pPr>
      <w:spacing w:lineRule="auto" w:line="240" w:before="0" w:after="0"/>
    </w:pPr>
    <w:rPr>
      <w:rFonts w:ascii="Times New Roman" w:hAnsi="Times New Roman" w:eastAsia="Times New Roman" w:cs="Times New Roman"/>
      <w:sz w:val="20"/>
      <w:szCs w:val="20"/>
      <w:lang w:eastAsia="ru-RU"/>
    </w:rPr>
  </w:style>
  <w:style w:type="paragraph" w:styleId="Style21">
    <w:name w:val="втяжка"/>
    <w:basedOn w:val="11"/>
    <w:next w:val="11"/>
    <w:qFormat/>
    <w:pPr>
      <w:tabs>
        <w:tab w:val="clear" w:pos="708"/>
        <w:tab w:val="left" w:pos="567" w:leader="none"/>
      </w:tabs>
      <w:spacing w:before="57" w:after="0"/>
      <w:ind w:hanging="567" w:left="567"/>
    </w:pPr>
    <w:rPr/>
  </w:style>
  <w:style w:type="paragraph" w:styleId="12">
    <w:name w:val="втяжка1"/>
    <w:basedOn w:val="Style21"/>
    <w:next w:val="Style21"/>
    <w:qFormat/>
    <w:pPr>
      <w:tabs>
        <w:tab w:val="clear" w:pos="567"/>
        <w:tab w:val="left" w:pos="1134" w:leader="none"/>
      </w:tabs>
      <w:ind w:left="1134"/>
    </w:pPr>
    <w:rPr/>
  </w:style>
  <w:style w:type="paragraph" w:styleId="BodyTextIndent2">
    <w:name w:val="Body Text Indent 2"/>
    <w:basedOn w:val="Normal"/>
    <w:link w:val="21"/>
    <w:qFormat/>
    <w:pPr>
      <w:tabs>
        <w:tab w:val="clear" w:pos="708"/>
        <w:tab w:val="left" w:pos="720" w:leader="none"/>
      </w:tabs>
      <w:spacing w:lineRule="auto" w:line="240" w:before="57" w:after="0"/>
      <w:ind w:hanging="720" w:left="720"/>
      <w:jc w:val="both"/>
    </w:pPr>
    <w:rPr>
      <w:rFonts w:ascii="Times New Roman" w:hAnsi="Times New Roman" w:eastAsia="Times New Roman" w:cs="Times New Roman"/>
      <w:sz w:val="24"/>
      <w:szCs w:val="20"/>
      <w:lang w:eastAsia="ru-RU"/>
    </w:rPr>
  </w:style>
  <w:style w:type="paragraph" w:styleId="13">
    <w:name w:val="Обычный1"/>
    <w:link w:val="Normal1"/>
    <w:qFormat/>
    <w:pPr>
      <w:widowControl w:val="false"/>
      <w:suppressAutoHyphens w:val="true"/>
      <w:overflowPunct w:val="false"/>
      <w:bidi w:val="0"/>
      <w:spacing w:lineRule="auto" w:line="240" w:before="100" w:after="100"/>
      <w:jc w:val="left"/>
    </w:pPr>
    <w:rPr>
      <w:rFonts w:ascii="Times New Roman" w:hAnsi="Times New Roman" w:eastAsia="Times New Roman" w:cs="Times New Roman"/>
      <w:color w:val="auto"/>
      <w:kern w:val="0"/>
      <w:sz w:val="24"/>
      <w:szCs w:val="20"/>
      <w:lang w:val="ru-RU" w:eastAsia="ru-RU" w:bidi="ar-SA"/>
    </w:rPr>
  </w:style>
  <w:style w:type="paragraph" w:styleId="BodyText2">
    <w:name w:val="Body Text 2"/>
    <w:basedOn w:val="Normal"/>
    <w:link w:val="22"/>
    <w:qFormat/>
    <w:pPr>
      <w:spacing w:lineRule="auto" w:line="480" w:before="0" w:after="120"/>
    </w:pPr>
    <w:rPr>
      <w:rFonts w:ascii="Times New Roman" w:hAnsi="Times New Roman" w:eastAsia="Times New Roman" w:cs="Times New Roman"/>
      <w:sz w:val="20"/>
      <w:szCs w:val="20"/>
      <w:lang w:eastAsia="ru-RU"/>
    </w:rPr>
  </w:style>
  <w:style w:type="paragraph" w:styleId="-">
    <w:name w:val="текст-табл"/>
    <w:basedOn w:val="Normal"/>
    <w:next w:val="Normal"/>
    <w:qFormat/>
    <w:pPr>
      <w:spacing w:lineRule="auto" w:line="240" w:before="57" w:after="0"/>
      <w:ind w:left="283" w:right="283"/>
      <w:jc w:val="both"/>
    </w:pPr>
    <w:rPr>
      <w:rFonts w:ascii="SchoolBookC" w:hAnsi="SchoolBookC" w:eastAsia="Times New Roman" w:cs="Times New Roman"/>
      <w:b/>
      <w:i/>
      <w:sz w:val="24"/>
      <w:szCs w:val="20"/>
      <w:lang w:eastAsia="ru-RU"/>
    </w:rPr>
  </w:style>
  <w:style w:type="paragraph" w:styleId="Title">
    <w:name w:val="Title"/>
    <w:basedOn w:val="Normal"/>
    <w:link w:val="Style9"/>
    <w:qFormat/>
    <w:pPr>
      <w:widowControl w:val="false"/>
      <w:shd w:val="clear" w:fill="FFFFFF"/>
      <w:spacing w:lineRule="auto" w:line="240" w:before="0" w:after="0"/>
      <w:ind w:left="72"/>
      <w:jc w:val="center"/>
    </w:pPr>
    <w:rPr>
      <w:rFonts w:ascii="Times New Roman" w:hAnsi="Times New Roman" w:eastAsia="Times New Roman" w:cs="Times New Roman"/>
      <w:bCs/>
      <w:color w:val="000000"/>
      <w:spacing w:val="13"/>
      <w:sz w:val="24"/>
      <w:lang w:val="x-none" w:eastAsia="x-none"/>
    </w:rPr>
  </w:style>
  <w:style w:type="paragraph" w:styleId="BodyTextIndent3">
    <w:name w:val="Body Text Indent 3"/>
    <w:basedOn w:val="Normal"/>
    <w:link w:val="31"/>
    <w:qFormat/>
    <w:pPr>
      <w:spacing w:lineRule="auto" w:line="240" w:before="0" w:after="120"/>
      <w:ind w:left="283"/>
    </w:pPr>
    <w:rPr>
      <w:rFonts w:ascii="Times New Roman" w:hAnsi="Times New Roman" w:eastAsia="Times New Roman" w:cs="Times New Roman"/>
      <w:sz w:val="16"/>
      <w:szCs w:val="16"/>
      <w:lang w:eastAsia="ru-RU"/>
    </w:rPr>
  </w:style>
  <w:style w:type="paragraph" w:styleId="BodyText3">
    <w:name w:val="Body Text 3"/>
    <w:basedOn w:val="Normal"/>
    <w:link w:val="32"/>
    <w:qFormat/>
    <w:pPr>
      <w:spacing w:lineRule="auto" w:line="240" w:before="0" w:after="120"/>
    </w:pPr>
    <w:rPr>
      <w:rFonts w:ascii="Times New Roman" w:hAnsi="Times New Roman" w:eastAsia="Times New Roman" w:cs="Times New Roman"/>
      <w:sz w:val="16"/>
      <w:szCs w:val="16"/>
      <w:lang w:eastAsia="ru-RU"/>
    </w:rPr>
  </w:style>
  <w:style w:type="paragraph" w:styleId="BodyTextIndent">
    <w:name w:val="Body Text Indent"/>
    <w:basedOn w:val="Normal"/>
    <w:link w:val="Style11"/>
    <w:pPr>
      <w:spacing w:lineRule="auto" w:line="240" w:before="0" w:after="120"/>
      <w:ind w:left="283"/>
    </w:pPr>
    <w:rPr>
      <w:rFonts w:ascii="Times New Roman" w:hAnsi="Times New Roman" w:eastAsia="Times New Roman" w:cs="Times New Roman"/>
      <w:sz w:val="20"/>
      <w:szCs w:val="20"/>
      <w:lang w:eastAsia="ru-RU"/>
    </w:rPr>
  </w:style>
  <w:style w:type="paragraph" w:styleId="Style22">
    <w:name w:val="текст"/>
    <w:qFormat/>
    <w:pPr>
      <w:widowControl/>
      <w:suppressAutoHyphens w:val="true"/>
      <w:overflowPunct w:val="false"/>
      <w:bidi w:val="0"/>
      <w:spacing w:lineRule="auto" w:line="240" w:before="0" w:after="0"/>
      <w:jc w:val="both"/>
    </w:pPr>
    <w:rPr>
      <w:rFonts w:ascii="SchoolBookC" w:hAnsi="SchoolBookC" w:eastAsia="Times New Roman" w:cs="Times New Roman"/>
      <w:color w:val="000000"/>
      <w:kern w:val="0"/>
      <w:sz w:val="24"/>
      <w:szCs w:val="20"/>
      <w:lang w:val="ru-RU" w:eastAsia="ru-RU" w:bidi="ar-SA"/>
    </w:rPr>
  </w:style>
  <w:style w:type="paragraph" w:styleId="Style23">
    <w:name w:val="заг_центр"/>
    <w:basedOn w:val="-"/>
    <w:qFormat/>
    <w:pPr>
      <w:jc w:val="center"/>
    </w:pPr>
    <w:rPr>
      <w:rFonts w:ascii="AvantGardeGothicC" w:hAnsi="AvantGardeGothicC"/>
    </w:rPr>
  </w:style>
  <w:style w:type="paragraph" w:styleId="fr1">
    <w:name w:val="fr1"/>
    <w:basedOn w:val="Normal"/>
    <w:qFormat/>
    <w:pPr>
      <w:spacing w:lineRule="auto" w:line="240" w:before="150" w:after="150"/>
      <w:ind w:left="150" w:right="150"/>
    </w:pPr>
    <w:rPr>
      <w:rFonts w:ascii="Times New Roman" w:hAnsi="Times New Roman" w:eastAsia="Times New Roman" w:cs="Times New Roman"/>
      <w:sz w:val="24"/>
      <w:szCs w:val="24"/>
      <w:lang w:eastAsia="ru-RU"/>
    </w:rPr>
  </w:style>
  <w:style w:type="paragraph" w:styleId="BalloonText">
    <w:name w:val="Balloon Text"/>
    <w:basedOn w:val="Normal"/>
    <w:link w:val="Style12"/>
    <w:qFormat/>
    <w:pPr>
      <w:spacing w:lineRule="auto" w:line="240" w:before="0" w:after="0"/>
    </w:pPr>
    <w:rPr>
      <w:rFonts w:ascii="Tahoma" w:hAnsi="Tahoma" w:eastAsia="Times New Roman" w:cs="Tahoma"/>
      <w:sz w:val="16"/>
      <w:szCs w:val="16"/>
      <w:lang w:eastAsia="ru-RU"/>
    </w:rPr>
  </w:style>
  <w:style w:type="paragraph" w:styleId="CommentText">
    <w:name w:val="annotation text"/>
    <w:basedOn w:val="Normal"/>
    <w:link w:val="Style13"/>
    <w:pPr>
      <w:spacing w:lineRule="auto" w:line="240" w:before="0" w:after="0"/>
    </w:pPr>
    <w:rPr>
      <w:rFonts w:ascii="Times New Roman" w:hAnsi="Times New Roman" w:eastAsia="Times New Roman" w:cs="Times New Roman"/>
      <w:sz w:val="20"/>
      <w:szCs w:val="20"/>
      <w:lang w:eastAsia="ru-RU"/>
    </w:rPr>
  </w:style>
  <w:style w:type="paragraph" w:styleId="annotationsubject">
    <w:name w:val="annotation subject"/>
    <w:basedOn w:val="CommentText"/>
    <w:next w:val="CommentText"/>
    <w:link w:val="Style14"/>
    <w:qFormat/>
    <w:pPr/>
    <w:rPr>
      <w:b/>
      <w:bCs/>
    </w:rPr>
  </w:style>
  <w:style w:type="paragraph" w:styleId="ConsNormal1">
    <w:name w:val="ConsNormal"/>
    <w:link w:val="ConsNormal"/>
    <w:qFormat/>
    <w:pPr>
      <w:widowControl/>
      <w:suppressAutoHyphens w:val="true"/>
      <w:overflowPunct w:val="fals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ListBullet">
    <w:name w:val="List Bullet"/>
    <w:basedOn w:val="Normal"/>
    <w:autoRedefine/>
    <w:pPr>
      <w:widowControl w:val="false"/>
      <w:spacing w:lineRule="auto" w:line="240" w:before="0" w:after="60"/>
      <w:jc w:val="both"/>
    </w:pPr>
    <w:rPr>
      <w:rFonts w:ascii="Times New Roman" w:hAnsi="Times New Roman" w:eastAsia="Times New Roman" w:cs="Times New Roman"/>
      <w:sz w:val="24"/>
      <w:szCs w:val="24"/>
      <w:lang w:eastAsia="ru-RU"/>
    </w:rPr>
  </w:style>
  <w:style w:type="paragraph" w:styleId="PlainText">
    <w:name w:val="Plain Text"/>
    <w:basedOn w:val="Normal"/>
    <w:link w:val="Style15"/>
    <w:qFormat/>
    <w:pPr>
      <w:spacing w:lineRule="auto" w:line="240" w:before="0" w:after="0"/>
    </w:pPr>
    <w:rPr>
      <w:rFonts w:ascii="Courier New" w:hAnsi="Courier New" w:eastAsia="Times New Roman" w:cs="Courier New"/>
      <w:sz w:val="20"/>
      <w:szCs w:val="20"/>
      <w:lang w:eastAsia="ru-RU"/>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Date">
    <w:name w:val="Date"/>
    <w:basedOn w:val="Normal"/>
    <w:next w:val="Normal"/>
    <w:link w:val="Style16"/>
    <w:qFormat/>
    <w:pPr>
      <w:spacing w:lineRule="auto" w:line="240" w:before="0" w:after="60"/>
      <w:jc w:val="both"/>
    </w:pPr>
    <w:rPr>
      <w:rFonts w:ascii="Times New Roman" w:hAnsi="Times New Roman" w:eastAsia="Times New Roman" w:cs="Times New Roman"/>
      <w:sz w:val="24"/>
      <w:szCs w:val="20"/>
      <w:lang w:eastAsia="ru-RU"/>
    </w:rPr>
  </w:style>
  <w:style w:type="paragraph" w:styleId="ConsNonformat">
    <w:name w:val="ConsNonformat"/>
    <w:qFormat/>
    <w:pPr>
      <w:widowControl w:val="false"/>
      <w:suppressAutoHyphens w:val="true"/>
      <w:overflowPunct w:val="false"/>
      <w:bidi w:val="0"/>
      <w:spacing w:lineRule="auto" w:line="240" w:before="0" w:after="0"/>
      <w:ind w:right="19772"/>
      <w:jc w:val="left"/>
    </w:pPr>
    <w:rPr>
      <w:rFonts w:ascii="Courier New" w:hAnsi="Courier New" w:eastAsia="Times New Roman" w:cs="Courier New"/>
      <w:color w:val="auto"/>
      <w:kern w:val="0"/>
      <w:sz w:val="20"/>
      <w:szCs w:val="20"/>
      <w:lang w:val="ru-RU" w:eastAsia="ru-RU" w:bidi="ar-SA"/>
    </w:rPr>
  </w:style>
  <w:style w:type="paragraph" w:styleId="14">
    <w:name w:val="Стиль1"/>
    <w:basedOn w:val="Normal"/>
    <w:qFormat/>
    <w:pPr>
      <w:keepNext w:val="true"/>
      <w:keepLines/>
      <w:widowControl w:val="false"/>
      <w:numPr>
        <w:ilvl w:val="0"/>
        <w:numId w:val="1"/>
      </w:numPr>
      <w:suppressLineNumbers/>
      <w:suppressAutoHyphens w:val="true"/>
      <w:spacing w:lineRule="auto" w:line="240" w:before="0" w:after="60"/>
    </w:pPr>
    <w:rPr>
      <w:rFonts w:ascii="Times New Roman" w:hAnsi="Times New Roman" w:eastAsia="Times New Roman" w:cs="Times New Roman"/>
      <w:b/>
      <w:sz w:val="28"/>
      <w:szCs w:val="24"/>
      <w:lang w:eastAsia="ru-RU"/>
    </w:rPr>
  </w:style>
  <w:style w:type="paragraph" w:styleId="24">
    <w:name w:val="Стиль2"/>
    <w:basedOn w:val="ListNumber2"/>
    <w:link w:val="23"/>
    <w:qFormat/>
    <w:pPr>
      <w:keepNext w:val="true"/>
      <w:keepLines/>
      <w:widowControl w:val="false"/>
      <w:numPr>
        <w:ilvl w:val="1"/>
        <w:numId w:val="1"/>
      </w:numPr>
      <w:suppressLineNumbers/>
      <w:suppressAutoHyphens w:val="true"/>
      <w:spacing w:before="0" w:after="60"/>
      <w:jc w:val="both"/>
    </w:pPr>
    <w:rPr>
      <w:b/>
      <w:sz w:val="24"/>
      <w:lang w:val="x-none" w:eastAsia="x-none"/>
    </w:rPr>
  </w:style>
  <w:style w:type="paragraph" w:styleId="ListNumber2">
    <w:name w:val="List Number 2"/>
    <w:basedOn w:val="Normal"/>
    <w:pPr>
      <w:tabs>
        <w:tab w:val="clear" w:pos="708"/>
        <w:tab w:val="left" w:pos="432" w:leader="none"/>
      </w:tabs>
      <w:spacing w:lineRule="auto" w:line="240" w:before="0" w:after="0"/>
      <w:ind w:hanging="432" w:left="432"/>
    </w:pPr>
    <w:rPr>
      <w:rFonts w:ascii="Times New Roman" w:hAnsi="Times New Roman" w:eastAsia="Times New Roman" w:cs="Times New Roman"/>
      <w:sz w:val="20"/>
      <w:szCs w:val="20"/>
      <w:lang w:eastAsia="ru-RU"/>
    </w:rPr>
  </w:style>
  <w:style w:type="paragraph" w:styleId="34">
    <w:name w:val="Стиль3"/>
    <w:basedOn w:val="BodyTextIndent2"/>
    <w:link w:val="33"/>
    <w:qFormat/>
    <w:pPr>
      <w:widowControl w:val="false"/>
      <w:numPr>
        <w:ilvl w:val="2"/>
        <w:numId w:val="1"/>
      </w:numPr>
      <w:tabs>
        <w:tab w:val="clear" w:pos="720"/>
      </w:tabs>
      <w:spacing w:before="0" w:after="0"/>
      <w:textAlignment w:val="baseline"/>
    </w:pPr>
    <w:rPr>
      <w:lang w:val="x-none" w:eastAsia="x-none"/>
    </w:rPr>
  </w:style>
  <w:style w:type="paragraph" w:styleId="91">
    <w:name w:val="9"/>
    <w:basedOn w:val="Normal"/>
    <w:qFormat/>
    <w:pPr>
      <w:spacing w:lineRule="auto" w:line="240" w:before="0" w:after="0"/>
      <w:jc w:val="center"/>
    </w:pPr>
    <w:rPr>
      <w:rFonts w:ascii="Times New Roman" w:hAnsi="Times New Roman" w:eastAsia="Arial Unicode MS" w:cs="Times New Roman"/>
      <w:b/>
      <w:bCs/>
      <w:sz w:val="16"/>
      <w:szCs w:val="16"/>
      <w:lang w:eastAsia="ru-RU"/>
    </w:rPr>
  </w:style>
  <w:style w:type="paragraph" w:styleId="-1">
    <w:name w:val="Контракт-пункт"/>
    <w:basedOn w:val="Normal"/>
    <w:qFormat/>
    <w:pPr>
      <w:tabs>
        <w:tab w:val="clear" w:pos="708"/>
        <w:tab w:val="left" w:pos="680" w:leader="none"/>
        <w:tab w:val="left" w:pos="720" w:leader="none"/>
      </w:tabs>
      <w:spacing w:lineRule="auto" w:line="240" w:before="0" w:after="60"/>
      <w:ind w:firstLine="567" w:left="720"/>
      <w:jc w:val="both"/>
    </w:pPr>
    <w:rPr>
      <w:rFonts w:ascii="Times New Roman" w:hAnsi="Times New Roman" w:eastAsia="Times New Roman" w:cs="Times New Roman"/>
      <w:sz w:val="24"/>
      <w:szCs w:val="24"/>
      <w:lang w:eastAsia="ru-RU"/>
    </w:rPr>
  </w:style>
  <w:style w:type="paragraph" w:styleId="25">
    <w:name w:val="Текст_начало_2"/>
    <w:basedOn w:val="Normal"/>
    <w:qFormat/>
    <w:pPr>
      <w:spacing w:lineRule="exact" w:line="360" w:before="0" w:after="0"/>
      <w:jc w:val="both"/>
    </w:pPr>
    <w:rPr>
      <w:rFonts w:ascii="Arial" w:hAnsi="Arial" w:eastAsia="Times New Roman" w:cs="Times New Roman"/>
      <w:sz w:val="24"/>
      <w:szCs w:val="20"/>
      <w:lang w:val="en-GB" w:eastAsia="ru-RU"/>
    </w:rPr>
  </w:style>
  <w:style w:type="paragraph" w:styleId="02statia1">
    <w:name w:val="02statia1"/>
    <w:basedOn w:val="Normal"/>
    <w:qFormat/>
    <w:pPr>
      <w:keepNext w:val="true"/>
      <w:numPr>
        <w:ilvl w:val="0"/>
        <w:numId w:val="0"/>
      </w:numPr>
      <w:spacing w:lineRule="atLeast" w:line="320" w:before="280" w:after="0"/>
      <w:ind w:hanging="578" w:left="1134" w:right="851"/>
      <w:outlineLvl w:val="2"/>
    </w:pPr>
    <w:rPr>
      <w:rFonts w:ascii="GaramondNarrowC" w:hAnsi="GaramondNarrowC" w:eastAsia="Times New Roman" w:cs="Times New Roman"/>
      <w:b/>
      <w:sz w:val="24"/>
      <w:szCs w:val="24"/>
      <w:lang w:eastAsia="ru-RU"/>
    </w:rPr>
  </w:style>
  <w:style w:type="paragraph" w:styleId="02statia2">
    <w:name w:val="02statia2"/>
    <w:basedOn w:val="Normal"/>
    <w:qFormat/>
    <w:pPr>
      <w:spacing w:lineRule="atLeast" w:line="320" w:before="120" w:after="0"/>
      <w:ind w:hanging="880" w:left="2020"/>
      <w:jc w:val="both"/>
    </w:pPr>
    <w:rPr>
      <w:rFonts w:ascii="GaramondNarrowC" w:hAnsi="GaramondNarrowC" w:eastAsia="Times New Roman" w:cs="Times New Roman"/>
      <w:color w:val="000000"/>
      <w:sz w:val="21"/>
      <w:szCs w:val="21"/>
      <w:lang w:eastAsia="ru-RU"/>
    </w:rPr>
  </w:style>
  <w:style w:type="paragraph" w:styleId="02statia3">
    <w:name w:val="02statia3"/>
    <w:basedOn w:val="Normal"/>
    <w:qFormat/>
    <w:pPr>
      <w:spacing w:lineRule="atLeast" w:line="320" w:before="120" w:after="0"/>
      <w:ind w:hanging="880" w:left="2900"/>
      <w:jc w:val="both"/>
    </w:pPr>
    <w:rPr>
      <w:rFonts w:ascii="GaramondNarrowC" w:hAnsi="GaramondNarrowC" w:eastAsia="Times New Roman" w:cs="Times New Roman"/>
      <w:color w:val="000000"/>
      <w:sz w:val="21"/>
      <w:szCs w:val="21"/>
      <w:lang w:eastAsia="ru-RU"/>
    </w:rPr>
  </w:style>
  <w:style w:type="paragraph" w:styleId="03zagolovok2">
    <w:name w:val="03zagolovok2"/>
    <w:basedOn w:val="Normal"/>
    <w:qFormat/>
    <w:pPr>
      <w:keepNext w:val="true"/>
      <w:numPr>
        <w:ilvl w:val="0"/>
        <w:numId w:val="0"/>
      </w:numPr>
      <w:spacing w:lineRule="atLeast" w:line="360" w:before="360" w:after="120"/>
      <w:outlineLvl w:val="1"/>
    </w:pPr>
    <w:rPr>
      <w:rFonts w:ascii="GaramondC" w:hAnsi="GaramondC" w:eastAsia="Times New Roman" w:cs="Times New Roman"/>
      <w:b/>
      <w:color w:val="000000"/>
      <w:sz w:val="28"/>
      <w:szCs w:val="28"/>
      <w:lang w:eastAsia="ru-RU"/>
    </w:rPr>
  </w:style>
  <w:style w:type="paragraph" w:styleId="111">
    <w:name w:val="заголовок 11"/>
    <w:basedOn w:val="Normal"/>
    <w:next w:val="Normal"/>
    <w:qFormat/>
    <w:pPr>
      <w:keepNext w:val="true"/>
      <w:widowControl w:val="false"/>
      <w:spacing w:lineRule="auto" w:line="240" w:before="0" w:after="0"/>
    </w:pPr>
    <w:rPr>
      <w:rFonts w:ascii="Times New Roman" w:hAnsi="Times New Roman" w:eastAsia="Times New Roman" w:cs="Times New Roman"/>
      <w:sz w:val="24"/>
      <w:szCs w:val="24"/>
      <w:lang w:eastAsia="ru-RU"/>
    </w:rPr>
  </w:style>
  <w:style w:type="paragraph" w:styleId="26">
    <w:name w:val="çàãîëîâîê 2"/>
    <w:basedOn w:val="Normal"/>
    <w:next w:val="Normal"/>
    <w:qFormat/>
    <w:pPr>
      <w:keepNext w:val="true"/>
      <w:widowControl w:val="false"/>
      <w:spacing w:lineRule="auto" w:line="288" w:before="0" w:after="0"/>
      <w:ind w:firstLine="720"/>
      <w:jc w:val="center"/>
    </w:pPr>
    <w:rPr>
      <w:rFonts w:ascii="Times New Roman" w:hAnsi="Times New Roman" w:eastAsia="Times New Roman" w:cs="Times New Roman"/>
      <w:b/>
      <w:bCs/>
      <w:sz w:val="32"/>
      <w:szCs w:val="32"/>
      <w:lang w:eastAsia="ru-RU"/>
    </w:rPr>
  </w:style>
  <w:style w:type="paragraph" w:styleId="Style24">
    <w:name w:val="текст сноски"/>
    <w:basedOn w:val="Normal"/>
    <w:qFormat/>
    <w:pPr>
      <w:widowControl w:val="false"/>
      <w:spacing w:lineRule="auto" w:line="240" w:before="0" w:after="0"/>
    </w:pPr>
    <w:rPr>
      <w:rFonts w:ascii="Gelvetsky 12pt" w:hAnsi="Gelvetsky 12pt" w:eastAsia="Times New Roman" w:cs="Gelvetsky 12pt"/>
      <w:sz w:val="24"/>
      <w:szCs w:val="24"/>
      <w:lang w:val="en-US" w:eastAsia="ru-RU"/>
    </w:rPr>
  </w:style>
  <w:style w:type="paragraph" w:styleId="FR11">
    <w:name w:val="FR11"/>
    <w:qFormat/>
    <w:pPr>
      <w:widowControl w:val="false"/>
      <w:suppressAutoHyphens w:val="true"/>
      <w:overflowPunct w:val="false"/>
      <w:bidi w:val="0"/>
      <w:spacing w:lineRule="auto" w:line="300" w:before="160" w:after="0"/>
      <w:jc w:val="center"/>
    </w:pPr>
    <w:rPr>
      <w:rFonts w:ascii="Arial" w:hAnsi="Arial" w:eastAsia="Times New Roman" w:cs="Arial"/>
      <w:color w:val="auto"/>
      <w:kern w:val="0"/>
      <w:sz w:val="16"/>
      <w:szCs w:val="16"/>
      <w:lang w:val="ru-RU" w:eastAsia="ru-RU" w:bidi="ar-SA"/>
    </w:rPr>
  </w:style>
  <w:style w:type="paragraph" w:styleId="35">
    <w:name w:val="З3"/>
    <w:basedOn w:val="Heading3"/>
    <w:autoRedefine/>
    <w:qFormat/>
    <w:pPr>
      <w:spacing w:before="0" w:after="0"/>
      <w:jc w:val="center"/>
    </w:pPr>
    <w:rPr>
      <w:rFonts w:ascii="Times New Roman" w:hAnsi="Times New Roman" w:cs="Times New Roman"/>
      <w:b w:val="false"/>
      <w:bCs w:val="false"/>
      <w:i/>
      <w:sz w:val="28"/>
      <w:szCs w:val="28"/>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ConsPlusNormal1">
    <w:name w:val="ConsPlusNormal"/>
    <w:link w:val="ConsPlusNormal"/>
    <w:qFormat/>
    <w:pPr>
      <w:widowControl w:val="false"/>
      <w:suppressAutoHyphens w:val="true"/>
      <w:overflowPunct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5">
    <w:name w:val="Знак"/>
    <w:basedOn w:val="Normal"/>
    <w:qFormat/>
    <w:pPr>
      <w:spacing w:lineRule="exact" w:line="240" w:before="0" w:after="160"/>
    </w:pPr>
    <w:rPr>
      <w:rFonts w:ascii="Verdana" w:hAnsi="Verdana" w:eastAsia="Times New Roman" w:cs="Times New Roman"/>
      <w:sz w:val="24"/>
      <w:szCs w:val="24"/>
      <w:lang w:val="en-US"/>
    </w:rPr>
  </w:style>
  <w:style w:type="paragraph" w:styleId="TextTitle">
    <w:name w:val="Text Title"/>
    <w:basedOn w:val="Normal"/>
    <w:qFormat/>
    <w:pPr>
      <w:spacing w:lineRule="auto" w:line="240" w:before="120" w:after="120"/>
      <w:ind w:left="576" w:right="288"/>
      <w:jc w:val="center"/>
    </w:pPr>
    <w:rPr>
      <w:rFonts w:ascii="NTTierce" w:hAnsi="NTTierce" w:eastAsia="Times New Roman" w:cs="Times New Roman"/>
      <w:b/>
      <w:sz w:val="28"/>
      <w:szCs w:val="20"/>
      <w:lang w:eastAsia="ru-RU"/>
    </w:rPr>
  </w:style>
  <w:style w:type="paragraph" w:styleId="Style26">
    <w:name w:val="Текстовка"/>
    <w:basedOn w:val="Normal"/>
    <w:qFormat/>
    <w:pPr>
      <w:suppressAutoHyphens w:val="true"/>
      <w:spacing w:lineRule="auto" w:line="240" w:before="0" w:after="0"/>
      <w:ind w:firstLine="567"/>
      <w:jc w:val="both"/>
    </w:pPr>
    <w:rPr>
      <w:rFonts w:ascii="Arial" w:hAnsi="Arial" w:eastAsia="Times New Roman" w:cs="Times New Roman"/>
      <w:sz w:val="18"/>
      <w:szCs w:val="20"/>
      <w:lang w:eastAsia="ru-RU"/>
    </w:rPr>
  </w:style>
  <w:style w:type="paragraph" w:styleId="211">
    <w:name w:val="Основной текст 21"/>
    <w:basedOn w:val="Normal"/>
    <w:qFormat/>
    <w:pPr>
      <w:tabs>
        <w:tab w:val="clear" w:pos="708"/>
        <w:tab w:val="left" w:pos="1134" w:leader="none"/>
      </w:tabs>
      <w:suppressAutoHyphens w:val="true"/>
      <w:spacing w:lineRule="auto" w:line="240" w:before="0" w:after="60"/>
      <w:ind w:hanging="567" w:left="567"/>
      <w:jc w:val="both"/>
    </w:pPr>
    <w:rPr>
      <w:rFonts w:ascii="Times New Roman" w:hAnsi="Times New Roman" w:eastAsia="Times New Roman" w:cs="Times New Roman"/>
      <w:sz w:val="24"/>
      <w:szCs w:val="20"/>
      <w:lang w:eastAsia="ar-SA"/>
    </w:rPr>
  </w:style>
  <w:style w:type="paragraph" w:styleId="Style27">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j0e">
    <w:name w:val="j0eбычный"/>
    <w:qFormat/>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28">
    <w:name w:val="Знак Знак Знак Знак Знак Знак Знак Знак Знак 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caaieiaie2">
    <w:name w:val="caaieiaie 2"/>
    <w:basedOn w:val="Normal"/>
    <w:next w:val="Normal"/>
    <w:qFormat/>
    <w:pPr>
      <w:keepNext w:val="true"/>
      <w:spacing w:lineRule="auto" w:line="240" w:before="0" w:after="0"/>
      <w:ind w:firstLine="567"/>
    </w:pPr>
    <w:rPr>
      <w:rFonts w:ascii="Times New Roman" w:hAnsi="Times New Roman" w:eastAsia="Times New Roman" w:cs="Times New Roman"/>
      <w:sz w:val="24"/>
      <w:szCs w:val="24"/>
      <w:lang w:eastAsia="ru-RU"/>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imes New Roman"/>
      <w:color w:val="auto"/>
      <w:kern w:val="0"/>
      <w:sz w:val="22"/>
      <w:szCs w:val="22"/>
      <w:lang w:val="ru-RU" w:eastAsia="en-US" w:bidi="ar-SA"/>
    </w:rPr>
  </w:style>
  <w:style w:type="paragraph" w:styleId="Style29">
    <w:name w:val="абзац с интервалом"/>
    <w:basedOn w:val="Normal"/>
    <w:qFormat/>
    <w:pPr>
      <w:spacing w:lineRule="auto" w:line="360" w:before="240" w:after="0"/>
      <w:ind w:firstLine="567"/>
      <w:jc w:val="both"/>
    </w:pPr>
    <w:rPr>
      <w:rFonts w:ascii="Times New Roman" w:hAnsi="Times New Roman" w:eastAsia="Times New Roman" w:cs="Times New Roman"/>
      <w:sz w:val="24"/>
      <w:szCs w:val="24"/>
      <w:lang w:eastAsia="ru-RU"/>
    </w:rPr>
  </w:style>
  <w:style w:type="paragraph" w:styleId="DocumentMap">
    <w:name w:val="Document Map"/>
    <w:basedOn w:val="Normal"/>
    <w:link w:val="Style17"/>
    <w:qFormat/>
    <w:pPr>
      <w:shd w:val="clear" w:fill="000080"/>
      <w:spacing w:lineRule="auto" w:line="240" w:before="0" w:after="0"/>
    </w:pPr>
    <w:rPr>
      <w:rFonts w:ascii="Tahoma" w:hAnsi="Tahoma" w:eastAsia="Times New Roman" w:cs="Tahoma"/>
      <w:sz w:val="20"/>
      <w:szCs w:val="20"/>
      <w:lang w:eastAsia="ru-RU"/>
    </w:rPr>
  </w:style>
  <w:style w:type="paragraph" w:styleId="ConsTitle">
    <w:name w:val="ConsTitle"/>
    <w:qFormat/>
    <w:pPr>
      <w:widowControl w:val="false"/>
      <w:suppressAutoHyphens w:val="true"/>
      <w:overflowPunct w:val="false"/>
      <w:bidi w:val="0"/>
      <w:spacing w:lineRule="auto" w:line="240" w:before="0" w:after="0"/>
      <w:ind w:right="19772"/>
      <w:jc w:val="left"/>
    </w:pPr>
    <w:rPr>
      <w:rFonts w:ascii="Arial" w:hAnsi="Arial" w:eastAsia="Times New Roman" w:cs="Arial"/>
      <w:b/>
      <w:bCs/>
      <w:color w:val="auto"/>
      <w:kern w:val="0"/>
      <w:sz w:val="16"/>
      <w:szCs w:val="16"/>
      <w:lang w:val="ru-RU" w:eastAsia="ru-RU" w:bidi="ar-SA"/>
    </w:rPr>
  </w:style>
  <w:style w:type="paragraph" w:styleId="Style30">
    <w:name w:val="Содержимое таблицы"/>
    <w:basedOn w:val="Normal"/>
    <w:qFormat/>
    <w:pPr/>
    <w:rPr/>
  </w:style>
  <w:style w:type="paragraph" w:styleId="Style31">
    <w:name w:val="Заголовок таблицы"/>
    <w:basedOn w:val="Normal"/>
    <w:qFormat/>
    <w:pPr>
      <w:widowControl w:val="false"/>
      <w:suppressLineNumbers/>
      <w:suppressAutoHyphens w:val="true"/>
      <w:spacing w:lineRule="auto" w:line="240" w:before="0" w:after="0"/>
      <w:jc w:val="center"/>
    </w:pPr>
    <w:rPr>
      <w:rFonts w:ascii="Times New Roman" w:hAnsi="Times New Roman" w:eastAsia="Lucida Sans Unicode" w:cs="Tahoma"/>
      <w:b/>
      <w:bCs/>
      <w:color w:val="000000"/>
      <w:sz w:val="24"/>
      <w:szCs w:val="24"/>
      <w:lang w:bidi="en-US"/>
    </w:rPr>
  </w:style>
  <w:style w:type="paragraph" w:styleId="2-11">
    <w:name w:val="содержание2-11"/>
    <w:basedOn w:val="Normal"/>
    <w:qFormat/>
    <w:pPr>
      <w:tabs>
        <w:tab w:val="left" w:pos="708" w:leader="none"/>
      </w:tabs>
      <w:spacing w:lineRule="auto" w:line="240" w:before="0" w:after="60"/>
      <w:jc w:val="both"/>
    </w:pPr>
    <w:rPr>
      <w:rFonts w:ascii="Times New Roman" w:hAnsi="Times New Roman" w:eastAsia="Times New Roman" w:cs="Times New Roman"/>
      <w:sz w:val="24"/>
      <w:szCs w:val="24"/>
      <w:lang w:eastAsia="ru-RU"/>
    </w:rPr>
  </w:style>
  <w:style w:type="paragraph" w:styleId="Iauiue">
    <w:name w:val="Iau?iue"/>
    <w:qFormat/>
    <w:pPr>
      <w:widowControl/>
      <w:tabs>
        <w:tab w:val="left" w:pos="708" w:leader="none"/>
      </w:tabs>
      <w:suppressAutoHyphens w:val="true"/>
      <w:overflowPunct w:val="false"/>
      <w:bidi w:val="0"/>
      <w:spacing w:lineRule="auto" w:line="240" w:before="0" w:after="0"/>
      <w:jc w:val="left"/>
    </w:pPr>
    <w:rPr>
      <w:rFonts w:ascii="Times New Roman" w:hAnsi="Times New Roman" w:eastAsia="Times New Roman" w:cs="Times New Roman"/>
      <w:color w:val="000000"/>
      <w:kern w:val="0"/>
      <w:sz w:val="24"/>
      <w:szCs w:val="20"/>
      <w:lang w:val="ru-RU" w:eastAsia="ru-RU" w:bidi="ar-SA"/>
    </w:rPr>
  </w:style>
  <w:style w:type="paragraph" w:styleId="ConsPlusTitle">
    <w:name w:val="ConsPlusTitle"/>
    <w:qFormat/>
    <w:pPr>
      <w:widowControl/>
      <w:suppressAutoHyphens w:val="true"/>
      <w:overflowPunct w:val="fals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Requisits">
    <w:name w:val="Requisits"/>
    <w:basedOn w:val="Normal"/>
    <w:qFormat/>
    <w:pPr>
      <w:spacing w:lineRule="auto" w:line="240" w:before="0" w:after="0"/>
      <w:ind w:right="288"/>
    </w:pPr>
    <w:rPr>
      <w:rFonts w:ascii="TimesDL" w:hAnsi="TimesDL" w:eastAsia="Times New Roman" w:cs="Times New Roman"/>
      <w:szCs w:val="20"/>
      <w:lang w:eastAsia="ru-RU"/>
    </w:rPr>
  </w:style>
  <w:style w:type="paragraph" w:styleId="Bulleted">
    <w:name w:val="Bulleted"/>
    <w:basedOn w:val="Heading5"/>
    <w:qFormat/>
    <w:pPr>
      <w:outlineLvl w:val="9"/>
    </w:pPr>
    <w:rPr>
      <w:rFonts w:ascii="Arial Rounded MT Bold" w:hAnsi="Arial Rounded MT Bold"/>
      <w:b w:val="false"/>
      <w:bCs w:val="false"/>
      <w:i w:val="false"/>
      <w:iCs w:val="false"/>
      <w:sz w:val="22"/>
      <w:szCs w:val="20"/>
    </w:rPr>
  </w:style>
  <w:style w:type="paragraph" w:styleId="15">
    <w:name w:val="Абзац списка1"/>
    <w:basedOn w:val="Normal"/>
    <w:link w:val="ListParagraphChar1"/>
    <w:qFormat/>
    <w:pPr>
      <w:suppressAutoHyphens w:val="true"/>
      <w:spacing w:lineRule="auto" w:line="240" w:before="0" w:after="0"/>
      <w:ind w:left="720"/>
    </w:pPr>
    <w:rPr>
      <w:rFonts w:ascii="Times New Roman" w:hAnsi="Times New Roman" w:eastAsia="Calibri" w:cs="Times New Roman"/>
      <w:sz w:val="24"/>
      <w:szCs w:val="24"/>
      <w:lang w:eastAsia="ar-SA"/>
    </w:rPr>
  </w:style>
  <w:style w:type="paragraph" w:styleId="16">
    <w:name w:val="Знак1 Знак Знак Знак Знак Знак Знак"/>
    <w:basedOn w:val="Normal"/>
    <w:qFormat/>
    <w:pPr>
      <w:spacing w:lineRule="auto" w:line="240" w:before="280" w:after="280"/>
    </w:pPr>
    <w:rPr>
      <w:rFonts w:ascii="Tahoma" w:hAnsi="Tahoma" w:eastAsia="Times New Roman" w:cs="Times New Roman"/>
      <w:sz w:val="20"/>
      <w:szCs w:val="20"/>
      <w:lang w:val="en-US"/>
    </w:rPr>
  </w:style>
  <w:style w:type="paragraph" w:styleId="ListParagraph">
    <w:name w:val="List Paragraph"/>
    <w:basedOn w:val="Normal"/>
    <w:qFormat/>
    <w:pPr>
      <w:spacing w:before="0" w:after="200"/>
      <w:ind w:left="720"/>
      <w:contextualSpacing/>
    </w:pPr>
    <w:rPr>
      <w:rFonts w:ascii="Calibri" w:hAnsi="Calibri" w:eastAsia="Calibri" w:cs="Times New Roman"/>
    </w:rPr>
  </w:style>
  <w:style w:type="paragraph" w:styleId="Style32">
    <w:name w:val="Таблицы (моноширинный)"/>
    <w:basedOn w:val="Normal"/>
    <w:next w:val="Normal"/>
    <w:qFormat/>
    <w:pPr>
      <w:snapToGrid w:val="false"/>
      <w:spacing w:lineRule="auto" w:line="240" w:before="0" w:after="0"/>
      <w:jc w:val="both"/>
    </w:pPr>
    <w:rPr>
      <w:rFonts w:ascii="Courier New" w:hAnsi="Courier New" w:eastAsia="Times New Roman" w:cs="Times New Roman"/>
      <w:sz w:val="20"/>
      <w:szCs w:val="20"/>
      <w:lang w:eastAsia="ru-RU"/>
    </w:rPr>
  </w:style>
  <w:style w:type="paragraph" w:styleId="Style33">
    <w:name w:val="Абзац нумерованный"/>
    <w:basedOn w:val="Normal"/>
    <w:qFormat/>
    <w:pPr>
      <w:widowControl w:val="false"/>
      <w:suppressAutoHyphens w:val="true"/>
      <w:spacing w:lineRule="atLeast" w:line="100" w:before="0" w:after="0"/>
      <w:jc w:val="both"/>
    </w:pPr>
    <w:rPr>
      <w:rFonts w:ascii="Times New Roman" w:hAnsi="Times New Roman" w:eastAsia="Lucida Sans Unicode" w:cs="Tahoma"/>
      <w:color w:val="000000"/>
      <w:sz w:val="24"/>
      <w:szCs w:val="20"/>
      <w:lang w:bidi="en-US"/>
    </w:rPr>
  </w:style>
  <w:style w:type="paragraph" w:styleId="Iiiaeuiue">
    <w:name w:val="Ii?iaeuiue"/>
    <w:qFormat/>
    <w:pPr>
      <w:widowControl w:val="false"/>
      <w:suppressAutoHyphens w:val="true"/>
      <w:overflowPunct w:val="false"/>
      <w:bidi w:val="0"/>
      <w:spacing w:lineRule="auto" w:line="240"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text-secondary">
    <w:name w:val="text-secondary"/>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text-base">
    <w:name w:val="text-base"/>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34">
    <w:name w:val="Содержимое врезки"/>
    <w:basedOn w:val="Normal"/>
    <w:qFormat/>
    <w:pPr/>
    <w:rPr/>
  </w:style>
  <w:style w:type="numbering" w:styleId="Style35">
    <w:name w:val="Без списка"/>
    <w:qFormat/>
  </w:style>
  <w:style w:type="numbering" w:styleId="17">
    <w:name w:val="Нет списка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1500200026D6BE5D07D428757848106DDBA274A394690C956C85A7DD60E4696B61880A5ACDCF8008VEM6A" TargetMode="External"/><Relationship Id="rId3" Type="http://schemas.openxmlformats.org/officeDocument/2006/relationships/hyperlink" Target="consultantplus://offline/ref=A157EE673DD3B07D4AA8E72D59BD051295EB8A45BBDF82BBC972685D0CE39E82DFD56CD7581C28DFu8s7I" TargetMode="External"/><Relationship Id="rId4" Type="http://schemas.openxmlformats.org/officeDocument/2006/relationships/hyperlink" Target="consultantplus://offline/ref=A157EE673DD3B07D4AA8E72D59BD051295EB8A45BBDF82BBC972685D0CE39E82DFD56CD7581C28DFu8s7I"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213</TotalTime>
  <Application>LibreOffice/24.8.4.2$Linux_X86_64 LibreOffice_project/480$Build-2</Application>
  <AppVersion>15.0000</AppVersion>
  <Pages>11</Pages>
  <Words>3677</Words>
  <Characters>26320</Characters>
  <CharactersWithSpaces>29967</CharactersWithSpaces>
  <Paragraphs>271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2024-04-09T02:36:00Z</dcterms:created>
  <dc:creator>User</dc:creator>
  <dc:description/>
  <dc:language>ru-RU</dc:language>
  <cp:lastModifiedBy/>
  <cp:lastPrinted>2024-05-21T23:29:00Z</cp:lastPrinted>
  <dcterms:modified xsi:type="dcterms:W3CDTF">2026-02-16T10:32:28Z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