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b/>
          <w:spacing w:val="20"/>
          <w:sz w:val="24"/>
          <w:szCs w:val="24"/>
        </w:rPr>
        <w:t xml:space="preserve">ГОСУДАРСТВЕННЫЙ КОНТРАКТ</w:t>
      </w:r>
      <w:r>
        <w:rPr>
          <w:rFonts w:ascii="Times New Roman" w:hAnsi="Times New Roman"/>
          <w:b/>
          <w:spacing w:val="20"/>
          <w:sz w:val="24"/>
          <w:szCs w:val="24"/>
        </w:rPr>
        <w:t xml:space="preserve"> №</w:t>
      </w:r>
      <w:r>
        <w:rPr>
          <w:rFonts w:ascii="Times New Roman" w:hAnsi="Times New Roman"/>
          <w:b/>
          <w:spacing w:val="20"/>
          <w:sz w:val="24"/>
          <w:szCs w:val="24"/>
        </w:rPr>
        <w:t xml:space="preserve"> ___</w:t>
      </w:r>
      <w:r>
        <w:rPr>
          <w:rFonts w:ascii="Times New Roman" w:hAnsi="Times New Roman"/>
          <w:b/>
          <w:spacing w:val="20"/>
          <w:sz w:val="24"/>
          <w:szCs w:val="24"/>
        </w:rPr>
      </w:r>
      <w:r>
        <w:rPr>
          <w:rFonts w:ascii="Times New Roman" w:hAnsi="Times New Roman"/>
          <w:b/>
          <w:spacing w:val="20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pacing w:val="20"/>
          <w:sz w:val="24"/>
          <w:szCs w:val="24"/>
        </w:rPr>
      </w:pPr>
      <w:r>
        <w:rPr>
          <w:rFonts w:ascii="Times New Roman" w:hAnsi="Times New Roman"/>
          <w:b/>
          <w:spacing w:val="20"/>
          <w:sz w:val="24"/>
          <w:szCs w:val="24"/>
        </w:rPr>
      </w:r>
      <w:r>
        <w:rPr>
          <w:rFonts w:ascii="Times New Roman" w:hAnsi="Times New Roman"/>
          <w:b/>
          <w:spacing w:val="20"/>
          <w:sz w:val="24"/>
          <w:szCs w:val="24"/>
        </w:rPr>
      </w:r>
      <w:r>
        <w:rPr>
          <w:rFonts w:ascii="Times New Roman" w:hAnsi="Times New Roman"/>
          <w:b/>
          <w:spacing w:val="20"/>
          <w:sz w:val="24"/>
          <w:szCs w:val="24"/>
        </w:rPr>
      </w:r>
    </w:p>
    <w:p>
      <w:pPr>
        <w:pStyle w:val="943"/>
        <w:jc w:val="both"/>
        <w:spacing w:after="0" w:line="240" w:lineRule="auto"/>
        <w:shd w:val="clear" w:color="auto" w:fill="ffffff"/>
        <w:tabs>
          <w:tab w:val="left" w:pos="6331" w:leader="none"/>
          <w:tab w:val="left" w:pos="7018" w:leader="underscore"/>
          <w:tab w:val="left" w:pos="8707" w:leader="underscor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г. Новосибирск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« __ » ______ 2026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shd w:val="clear" w:color="auto" w:fill="ffffff"/>
        <w:tabs>
          <w:tab w:val="left" w:pos="6331" w:leader="none"/>
          <w:tab w:val="left" w:pos="7018" w:leader="underscore"/>
          <w:tab w:val="left" w:pos="8707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85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Новосибирской области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(сокращенно - Управление Росреестра по Новосибирской области), от имени Российской Феде</w:t>
      </w:r>
      <w:r>
        <w:rPr>
          <w:rFonts w:ascii="Times New Roman" w:hAnsi="Times New Roman"/>
          <w:sz w:val="24"/>
          <w:szCs w:val="24"/>
        </w:rPr>
        <w:t xml:space="preserve">рации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</w:t>
      </w:r>
      <w:r>
        <w:rPr>
          <w:rFonts w:ascii="Times New Roman" w:hAnsi="Times New Roman"/>
          <w:sz w:val="24"/>
          <w:szCs w:val="24"/>
        </w:rPr>
        <w:t xml:space="preserve">З</w:t>
      </w:r>
      <w:r>
        <w:rPr>
          <w:rFonts w:ascii="Times New Roman" w:hAnsi="Times New Roman"/>
          <w:sz w:val="24"/>
          <w:szCs w:val="24"/>
        </w:rPr>
        <w:t xml:space="preserve">аказчик», в лице _________________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, именуемое в дальнейшем «</w:t>
      </w:r>
      <w:r>
        <w:rPr>
          <w:rFonts w:ascii="Times New Roman" w:hAnsi="Times New Roman"/>
          <w:sz w:val="24"/>
          <w:szCs w:val="24"/>
        </w:rPr>
        <w:t xml:space="preserve">Подрядчик</w:t>
      </w:r>
      <w:r>
        <w:rPr>
          <w:rFonts w:ascii="Times New Roman" w:hAnsi="Times New Roman"/>
          <w:sz w:val="24"/>
          <w:szCs w:val="24"/>
        </w:rPr>
        <w:t xml:space="preserve">», в лице 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_________________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в целях обеспечения государственных нужд заключили настоящий К</w:t>
      </w:r>
      <w:r>
        <w:rPr>
          <w:rFonts w:ascii="Times New Roman" w:hAnsi="Times New Roman"/>
          <w:sz w:val="24"/>
          <w:szCs w:val="24"/>
        </w:rPr>
        <w:t xml:space="preserve">онтракт  о нижеследующем: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ИКЗ 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 Предмет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Предметом </w:t>
      </w:r>
      <w:r>
        <w:rPr>
          <w:rFonts w:ascii="Times New Roman" w:hAnsi="Times New Roman"/>
          <w:sz w:val="24"/>
          <w:szCs w:val="24"/>
        </w:rPr>
        <w:t xml:space="preserve">Контракта является </w:t>
      </w:r>
      <w:r>
        <w:rPr>
          <w:rFonts w:ascii="Times New Roman" w:hAnsi="Times New Roman"/>
          <w:b/>
          <w:bCs/>
          <w:sz w:val="24"/>
          <w:szCs w:val="24"/>
        </w:rPr>
        <w:t xml:space="preserve">выполнение </w:t>
      </w:r>
      <w:r>
        <w:rPr>
          <w:rFonts w:ascii="Times New Roman" w:hAnsi="Times New Roman"/>
          <w:b/>
          <w:bCs/>
          <w:sz w:val="24"/>
          <w:szCs w:val="24"/>
        </w:rPr>
        <w:t xml:space="preserve">работ по капитальному ремонту помещения здания, расположенного по адресу: Новосибирская область, г. Искитим, мкр. Индустриальный, №13а</w:t>
      </w:r>
      <w:r>
        <w:rPr>
          <w:rFonts w:ascii="Times New Roman" w:hAnsi="Times New Roman"/>
          <w:sz w:val="24"/>
          <w:szCs w:val="24"/>
        </w:rPr>
        <w:t xml:space="preserve"> (далее – Работы),</w:t>
      </w:r>
      <w:r>
        <w:rPr>
          <w:rFonts w:ascii="Times New Roman" w:hAnsi="Times New Roman"/>
          <w:sz w:val="24"/>
          <w:szCs w:val="24"/>
        </w:rPr>
        <w:t xml:space="preserve"> в соответствии с Описанием объекта закупки </w:t>
      </w:r>
      <w:r>
        <w:rPr>
          <w:rFonts w:ascii="Times New Roman" w:hAnsi="Times New Roman"/>
          <w:sz w:val="24"/>
          <w:szCs w:val="24"/>
        </w:rPr>
        <w:t xml:space="preserve">(Техническим заданием) </w:t>
      </w:r>
      <w:r>
        <w:rPr>
          <w:rFonts w:ascii="Times New Roman" w:hAnsi="Times New Roman"/>
          <w:sz w:val="24"/>
          <w:szCs w:val="24"/>
        </w:rPr>
        <w:t xml:space="preserve">(приложение № 1 к Контракту) и на условиях,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</w:t>
      </w:r>
      <w:r>
        <w:rPr>
          <w:rFonts w:ascii="Times New Roman" w:hAnsi="Times New Roman"/>
          <w:sz w:val="24"/>
          <w:szCs w:val="24"/>
        </w:rPr>
        <w:t xml:space="preserve"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</w:t>
      </w:r>
      <w:r>
        <w:rPr>
          <w:rFonts w:ascii="Times New Roman" w:hAnsi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/>
          <w:sz w:val="24"/>
          <w:szCs w:val="24"/>
        </w:rPr>
        <w:t xml:space="preserve">Подрядчиком</w:t>
      </w:r>
      <w:r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Федерации, требованиями иных</w:t>
      </w:r>
      <w:r>
        <w:rPr>
          <w:rFonts w:ascii="Times New Roman" w:hAnsi="Times New Roman"/>
          <w:sz w:val="24"/>
          <w:szCs w:val="24"/>
        </w:rPr>
        <w:t xml:space="preserve"> нормативных правовых актов, регулирующих порядок </w:t>
      </w:r>
      <w:r>
        <w:rPr>
          <w:rFonts w:ascii="Times New Roman" w:hAnsi="Times New Roman"/>
          <w:sz w:val="24"/>
          <w:szCs w:val="24"/>
        </w:rPr>
        <w:t xml:space="preserve">выполнения </w:t>
      </w:r>
      <w:r>
        <w:rPr>
          <w:rFonts w:ascii="Times New Roman" w:hAnsi="Times New Roman"/>
          <w:sz w:val="24"/>
          <w:szCs w:val="24"/>
        </w:rPr>
        <w:t xml:space="preserve">такого вида </w:t>
      </w:r>
      <w:r>
        <w:rPr>
          <w:rFonts w:ascii="Times New Roman" w:hAnsi="Times New Roman"/>
          <w:sz w:val="24"/>
          <w:szCs w:val="24"/>
        </w:rPr>
        <w:t xml:space="preserve">Работ</w:t>
      </w:r>
      <w:r>
        <w:rPr>
          <w:rFonts w:ascii="Times New Roman" w:hAnsi="Times New Roman"/>
          <w:sz w:val="24"/>
          <w:szCs w:val="24"/>
        </w:rPr>
        <w:t xml:space="preserve">, устанавливающих требования к качеству такого вида </w:t>
      </w:r>
      <w:r>
        <w:rPr>
          <w:rFonts w:ascii="Times New Roman" w:hAnsi="Times New Roman"/>
          <w:sz w:val="24"/>
          <w:szCs w:val="24"/>
        </w:rPr>
        <w:t xml:space="preserve">Работ</w:t>
      </w:r>
      <w:r>
        <w:rPr>
          <w:rFonts w:ascii="Times New Roman" w:hAnsi="Times New Roman"/>
          <w:sz w:val="24"/>
          <w:szCs w:val="24"/>
        </w:rPr>
        <w:t xml:space="preserve">, в соответствии с условиями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</w:rPr>
        <w:t xml:space="preserve">2. Цена Контракта и порядок расчетов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943"/>
        <w:ind w:firstLine="709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 Цена Контракта составляет </w:t>
      </w:r>
      <w:r>
        <w:rPr>
          <w:rFonts w:ascii="Times New Roman" w:hAnsi="Times New Roman"/>
          <w:sz w:val="24"/>
          <w:szCs w:val="24"/>
        </w:rPr>
        <w:t xml:space="preserve">___________________________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_______________</w:t>
      </w:r>
      <w:r>
        <w:rPr>
          <w:rFonts w:ascii="Times New Roman" w:hAnsi="Times New Roman"/>
          <w:sz w:val="24"/>
          <w:szCs w:val="24"/>
        </w:rPr>
        <w:t xml:space="preserve">) рублей,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том </w:t>
      </w:r>
      <w:r>
        <w:rPr>
          <w:rFonts w:ascii="Times New Roman" w:hAnsi="Times New Roman"/>
          <w:sz w:val="24"/>
          <w:szCs w:val="24"/>
        </w:rPr>
        <w:t xml:space="preserve">числе НДС _____ (_____) рублей _____ копеек (НДС не облагается).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 финансирования: федеральный бюджет.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Цена Контракта является твердой и не может изменяться в ходе его исполнения, за исключением случаев, предусмотренных Законом о контрактной системе и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контракта включает в себя все затраты, издержки и иные расходы </w:t>
      </w:r>
      <w:r>
        <w:rPr>
          <w:rFonts w:ascii="Times New Roman" w:hAnsi="Times New Roman"/>
          <w:bCs/>
          <w:sz w:val="24"/>
          <w:szCs w:val="24"/>
        </w:rPr>
        <w:t xml:space="preserve">Исполнителя,</w:t>
      </w:r>
      <w:r>
        <w:rPr>
          <w:rFonts w:ascii="Times New Roman" w:hAnsi="Times New Roman"/>
          <w:sz w:val="24"/>
          <w:szCs w:val="24"/>
        </w:rPr>
        <w:t xml:space="preserve"> связанные с исполнением настоящего контракта, в том числе затраты на переезды, уплату налогов, в том числе НДС, и других обязательных платежей, предусмотренных законодательством РФ.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Оплата производится единовременным платежом за фактически оказанные услуги по безналичному расчету в российских рублях путем перечисления денежных средств на расчетный счет Исполнителя в течение </w:t>
      </w:r>
      <w:r>
        <w:rPr>
          <w:rFonts w:ascii="Times New Roman" w:hAnsi="Times New Roman"/>
          <w:sz w:val="24"/>
          <w:szCs w:val="24"/>
        </w:rPr>
        <w:t xml:space="preserve">7 (Семи</w:t>
      </w:r>
      <w:r>
        <w:rPr>
          <w:rFonts w:ascii="Times New Roman" w:hAnsi="Times New Roman"/>
          <w:sz w:val="24"/>
          <w:szCs w:val="24"/>
        </w:rPr>
        <w:t xml:space="preserve">) рабочих дней с момента получения документов на оплату Заказчиком на основании счета, счета-фактуры и актов оказанных услуг, подписанных сторонами.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исполнение обязательств не позднее 3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.12.202</w:t>
      </w:r>
      <w:r>
        <w:rPr>
          <w:rFonts w:ascii="Times New Roman" w:hAnsi="Times New Roman"/>
          <w:sz w:val="24"/>
          <w:szCs w:val="24"/>
        </w:rPr>
        <w:t xml:space="preserve">6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  <w:t xml:space="preserve">2.4. Цена Контракта может быть снижена по соглашению Сторон без изменения, предусмотренного Контрактом объема Услуг, качества оказываемых Услуг и иных условий Контракта. При этом Стороны составляют и подписывают дополнительное соглашение к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tabs>
          <w:tab w:val="left" w:pos="440" w:leader="none"/>
          <w:tab w:val="left" w:pos="66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Валютой платежа является рубль Российской Федерации. Датой платежа является дата списания денежных средств со счета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Контрактом предусмотрено </w:t>
      </w:r>
      <w:r>
        <w:rPr>
          <w:rFonts w:ascii="Times New Roman" w:hAnsi="Times New Roman" w:eastAsia="Calibri"/>
          <w:sz w:val="24"/>
          <w:szCs w:val="24"/>
        </w:rPr>
        <w:t xml:space="preserve">уменьшение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</w:t>
      </w:r>
      <w:r>
        <w:rPr>
          <w:rFonts w:ascii="Times New Roman" w:hAnsi="Times New Roman" w:eastAsia="Calibri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943"/>
        <w:contextualSpacing w:val="0"/>
        <w:ind w:firstLine="709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outlineLvl w:val="1"/>
        <w:suppressLineNumbers w:val="0"/>
      </w:pPr>
      <w:r>
        <w:rPr>
          <w:rFonts w:ascii="Times New Roman" w:hAnsi="Times New Roman"/>
          <w:sz w:val="24"/>
          <w:szCs w:val="24"/>
        </w:rPr>
        <w:t xml:space="preserve">2.7. </w:t>
      </w:r>
      <w:r>
        <w:rPr>
          <w:rFonts w:ascii="Times New Roman" w:hAnsi="Times New Roman"/>
          <w:sz w:val="24"/>
          <w:szCs w:val="24"/>
        </w:rPr>
        <w:t xml:space="preserve">Стороны договорились о возможности обмена документами по средствам системы электронного </w:t>
      </w:r>
      <w:r>
        <w:rPr>
          <w:rFonts w:ascii="Times New Roman" w:hAnsi="Times New Roman"/>
          <w:sz w:val="24"/>
          <w:szCs w:val="24"/>
        </w:rPr>
        <w:t xml:space="preserve">документооборота </w:t>
      </w:r>
      <w:r>
        <w:rPr>
          <w:rFonts w:ascii="Times New Roman" w:hAnsi="Times New Roman"/>
          <w:sz w:val="24"/>
          <w:szCs w:val="24"/>
        </w:rPr>
        <w:t xml:space="preserve">СБИС.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</w:rPr>
        <w:t xml:space="preserve">3. Порядок </w:t>
      </w:r>
      <w:r>
        <w:rPr>
          <w:rFonts w:ascii="Times New Roman" w:hAnsi="Times New Roman"/>
          <w:b/>
          <w:sz w:val="24"/>
          <w:szCs w:val="24"/>
        </w:rPr>
        <w:t xml:space="preserve">выполнен</w:t>
      </w:r>
      <w:r>
        <w:rPr>
          <w:rFonts w:ascii="Times New Roman" w:hAnsi="Times New Roman"/>
          <w:b/>
          <w:sz w:val="24"/>
          <w:szCs w:val="24"/>
        </w:rPr>
        <w:t xml:space="preserve">ия </w:t>
      </w:r>
      <w:r>
        <w:rPr>
          <w:rFonts w:ascii="Times New Roman" w:hAnsi="Times New Roman"/>
          <w:b/>
          <w:sz w:val="24"/>
          <w:szCs w:val="24"/>
        </w:rPr>
        <w:t xml:space="preserve">Работ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3.1. </w:t>
      </w:r>
      <w:r>
        <w:rPr>
          <w:rFonts w:ascii="Times New Roman" w:hAnsi="Times New Roman"/>
          <w:color w:val="000000"/>
          <w:sz w:val="24"/>
          <w:szCs w:val="24"/>
        </w:rPr>
        <w:t xml:space="preserve">Подрядчик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выполняет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</w:t>
      </w:r>
      <w:r>
        <w:rPr>
          <w:rFonts w:ascii="Times New Roman" w:hAnsi="Times New Roman"/>
          <w:color w:val="000000"/>
          <w:sz w:val="24"/>
          <w:szCs w:val="24"/>
        </w:rPr>
        <w:t xml:space="preserve">Описанием объекта закупки (</w:t>
      </w:r>
      <w:r>
        <w:rPr>
          <w:rFonts w:ascii="Times New Roman" w:hAnsi="Times New Roman"/>
          <w:color w:val="000000"/>
          <w:sz w:val="24"/>
          <w:szCs w:val="24"/>
        </w:rPr>
        <w:t xml:space="preserve">Тех</w:t>
      </w:r>
      <w:r>
        <w:rPr>
          <w:rFonts w:ascii="Times New Roman" w:hAnsi="Times New Roman"/>
          <w:color w:val="000000"/>
          <w:sz w:val="24"/>
          <w:szCs w:val="24"/>
        </w:rPr>
        <w:t xml:space="preserve">ническим заданием</w:t>
      </w:r>
      <w:r>
        <w:rPr>
          <w:rFonts w:ascii="Times New Roman" w:hAnsi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/>
          <w:color w:val="000000"/>
          <w:sz w:val="24"/>
          <w:szCs w:val="24"/>
        </w:rPr>
        <w:t xml:space="preserve"> (Приложение №</w:t>
      </w:r>
      <w:r>
        <w:rPr>
          <w:rFonts w:ascii="Times New Roman" w:hAnsi="Times New Roman"/>
          <w:color w:val="000000"/>
          <w:sz w:val="24"/>
          <w:szCs w:val="24"/>
        </w:rPr>
        <w:t xml:space="preserve">1).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56"/>
        <w:ind w:left="0" w:right="0" w:firstLine="709"/>
        <w:jc w:val="both"/>
        <w:spacing w:after="0"/>
        <w:rPr>
          <w:bCs/>
          <w:sz w:val="24"/>
          <w:szCs w:val="24"/>
          <w:highlight w:val="white"/>
        </w:rPr>
      </w:pPr>
      <w:r>
        <w:rPr>
          <w:color w:val="0d0d0d"/>
          <w:sz w:val="24"/>
          <w:szCs w:val="24"/>
        </w:rPr>
        <w:t xml:space="preserve">3.2</w:t>
      </w:r>
      <w:r>
        <w:rPr>
          <w:color w:val="0d0d0d"/>
          <w:sz w:val="24"/>
          <w:szCs w:val="24"/>
          <w:highlight w:val="white"/>
        </w:rPr>
        <w:t xml:space="preserve">.</w:t>
      </w:r>
      <w:r>
        <w:rPr>
          <w:color w:val="0d0d0d"/>
          <w:sz w:val="24"/>
          <w:szCs w:val="24"/>
          <w:highlight w:val="white"/>
        </w:rPr>
        <w:t xml:space="preserve"> </w:t>
      </w:r>
      <w:r>
        <w:rPr>
          <w:bCs/>
          <w:sz w:val="24"/>
          <w:szCs w:val="24"/>
          <w:highlight w:val="white"/>
        </w:rPr>
        <w:t xml:space="preserve">Срок выполнения работ </w:t>
      </w:r>
      <w:r>
        <w:rPr>
          <w:sz w:val="24"/>
          <w:szCs w:val="24"/>
          <w:highlight w:val="white"/>
        </w:rPr>
        <w:t xml:space="preserve">30 (тридцать) календарных</w:t>
      </w:r>
      <w:r>
        <w:rPr>
          <w:bCs/>
          <w:sz w:val="24"/>
          <w:szCs w:val="24"/>
          <w:highlight w:val="white"/>
        </w:rPr>
        <w:t xml:space="preserve"> дней</w:t>
      </w:r>
      <w:r>
        <w:rPr>
          <w:bCs/>
          <w:sz w:val="24"/>
          <w:szCs w:val="24"/>
          <w:highlight w:val="white"/>
        </w:rPr>
        <w:t xml:space="preserve"> с даты заключения Контракта</w:t>
      </w:r>
      <w:r>
        <w:rPr>
          <w:bCs/>
          <w:sz w:val="24"/>
          <w:szCs w:val="24"/>
          <w:highlight w:val="white"/>
        </w:rPr>
        <w:t xml:space="preserve">.</w:t>
      </w:r>
      <w:r>
        <w:rPr>
          <w:bCs/>
          <w:sz w:val="24"/>
          <w:szCs w:val="24"/>
          <w:highlight w:val="white"/>
        </w:rPr>
      </w:r>
      <w:r>
        <w:rPr>
          <w:bCs/>
          <w:sz w:val="24"/>
          <w:szCs w:val="24"/>
          <w:highlight w:val="white"/>
        </w:rPr>
      </w:r>
    </w:p>
    <w:p>
      <w:pPr>
        <w:pStyle w:val="956"/>
        <w:contextualSpacing w:val="0"/>
        <w:ind w:firstLine="709"/>
        <w:jc w:val="both"/>
        <w:spacing w:after="0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3.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Посещение и выезд на объект осуществляется с уведомления и согласования с Заказчиком. Все мероприятия и процедуры на объекте Заказчика осуществляются в рабочее время </w:t>
      </w:r>
      <w:r>
        <w:rPr>
          <w:sz w:val="24"/>
          <w:szCs w:val="24"/>
        </w:rPr>
        <w:t xml:space="preserve">Заказчика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3"/>
        <w:contextualSpacing w:val="0"/>
        <w:ind w:left="0" w:right="0" w:firstLine="709"/>
        <w:jc w:val="both"/>
        <w:spacing w:before="0" w:after="0" w:line="240" w:lineRule="auto"/>
        <w:tabs>
          <w:tab w:val="left" w:pos="1590" w:leader="none"/>
        </w:tabs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Все </w:t>
      </w:r>
      <w:r>
        <w:rPr>
          <w:rFonts w:ascii="Times New Roman" w:hAnsi="Times New Roman"/>
          <w:sz w:val="24"/>
          <w:szCs w:val="24"/>
        </w:rPr>
        <w:t xml:space="preserve">работы, являющимся предметом контракта </w:t>
      </w:r>
      <w:r>
        <w:rPr>
          <w:rFonts w:ascii="Times New Roman" w:hAnsi="Times New Roman"/>
          <w:sz w:val="24"/>
          <w:szCs w:val="24"/>
        </w:rPr>
        <w:t xml:space="preserve">Подрядчик</w:t>
      </w:r>
      <w:r>
        <w:rPr>
          <w:rFonts w:ascii="Times New Roman" w:hAnsi="Times New Roman"/>
          <w:sz w:val="24"/>
          <w:szCs w:val="24"/>
        </w:rPr>
        <w:t xml:space="preserve"> выполняет в соответствии действующим законодательством РФ.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 Порядок сдачи и приемки </w:t>
      </w:r>
      <w:r>
        <w:rPr>
          <w:rFonts w:ascii="Times New Roman" w:hAnsi="Times New Roman"/>
          <w:b/>
          <w:sz w:val="24"/>
          <w:szCs w:val="24"/>
        </w:rPr>
        <w:t xml:space="preserve">выполненных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Работ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left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54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4.1. Приемка Работ на соответствие их объема и качества требованиям, установленным в Контракте, производится Заказчиком по окончании выполнения Работ по Контракту. </w:t>
      </w:r>
      <w:r/>
    </w:p>
    <w:p>
      <w:pPr>
        <w:pStyle w:val="943"/>
        <w:ind w:firstLine="54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 После завершения выполнения Работ, предусмотренных Контрактом, Исполнитель письменно уведомляет Заказчика о факте завершения Работ и направляет в адрес Заказчика акт приемки выполненных Работ.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54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.3. Не позднее 2 (двух) рабочих дней после получения от Исполнителя документов, указанных в п. 4.2 Контракта, Заказчик рассматривает результаты и осуществляет приемку выполненных Работ по Контракту на предмет соответствия их объема и качества требованиям, </w:t>
      </w:r>
      <w:r>
        <w:rPr>
          <w:rFonts w:ascii="Times New Roman" w:hAnsi="Times New Roman"/>
          <w:sz w:val="24"/>
          <w:szCs w:val="24"/>
        </w:rPr>
        <w:t xml:space="preserve">изложенным в Контракте.</w:t>
      </w:r>
      <w:r/>
    </w:p>
    <w:p>
      <w:pPr>
        <w:pStyle w:val="943"/>
        <w:ind w:firstLine="54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ля проверки представленных Исполнителем результатов на их соответствие условиям Контракта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</w:t>
      </w:r>
      <w:r>
        <w:rPr>
          <w:rFonts w:ascii="Times New Roman" w:hAnsi="Times New Roman"/>
          <w:sz w:val="24"/>
          <w:szCs w:val="24"/>
        </w:rPr>
        <w:t xml:space="preserve">и.</w:t>
      </w:r>
      <w:r/>
    </w:p>
    <w:p>
      <w:pPr>
        <w:pStyle w:val="943"/>
        <w:ind w:firstLine="54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случае, если заказчик не привлекает экспертов, экспертные организации для приемки товаров, работ, услуг, то документом, подтверждающим проведение экспертизы силами сотрудников заказчика, является оформленный и подписанный Заказчиком документ о приемке тов</w:t>
      </w:r>
      <w:r>
        <w:rPr>
          <w:rFonts w:ascii="Times New Roman" w:hAnsi="Times New Roman"/>
          <w:sz w:val="24"/>
          <w:szCs w:val="24"/>
        </w:rPr>
        <w:t xml:space="preserve">ара (работы, услуги). </w:t>
      </w:r>
      <w:r/>
    </w:p>
    <w:p>
      <w:pPr>
        <w:pStyle w:val="943"/>
        <w:ind w:firstLine="54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.4. Заказчик в течение 3 (трех) рабочих дней со дня получения от Исполнителя акта приемки выполненных Работ обязан направить Исполнителю один экземпляр подписанного акта приемки выполненных Работ либо мотивированный отказ от приемки выполненных Работ, в ко</w:t>
      </w:r>
      <w:r>
        <w:rPr>
          <w:rFonts w:ascii="Times New Roman" w:hAnsi="Times New Roman"/>
          <w:sz w:val="24"/>
          <w:szCs w:val="24"/>
        </w:rPr>
        <w:t xml:space="preserve">тором должны быть указаны выявленные Заказчиком недостатки. Заказчик вправе предоставить Исполнителю срок для устранения таких недостатков. Мотивированный отказ направляется в порядке, предусмотренном п. 11.1 настоящего Контракта. </w:t>
      </w:r>
      <w:r/>
    </w:p>
    <w:p>
      <w:pPr>
        <w:pStyle w:val="943"/>
        <w:ind w:firstLine="54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.5. В сроки, указанные Заказчиком в мотивированном отказе от приемки выполненных Работ, Исполнитель обязан за свой счет и своими силами устранить обнаруженные недостатки. В этом случае акт приемки выполненных Работ Заказчик подписывает в течение 2 (двух) р</w:t>
      </w:r>
      <w:r>
        <w:rPr>
          <w:rFonts w:ascii="Times New Roman" w:hAnsi="Times New Roman"/>
          <w:sz w:val="24"/>
          <w:szCs w:val="24"/>
        </w:rPr>
        <w:t xml:space="preserve">абочих дней после устранения Исполнителем указанных недостатков.</w:t>
      </w:r>
      <w:r/>
    </w:p>
    <w:p>
      <w:pPr>
        <w:pStyle w:val="943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Исполнитель в установленный срок не устранит недостатки, Заказчик вправе отказаться от исполнения Контракта и предъявить Исполнителю требование о возмещении понесенных убытков.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 Права и обязанности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5.1. Заказчик вправе: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5.1.1.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5.1.2. Требовать от Исполнителя представления надлежащим образом оформленных документов, указанных в п. 4.2 Контракта.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5.1.3. В случае досрочного исполнения Исполнителем обязательств по Контракту принять и оплатить Работы в соответствии с установленным в Контракте порядком.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5.1.4. Пользоваться иными правами, установленными Контрактом и законодательством Российской Федерации.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5.2. Заказчик обязан: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5.2.1. Провести экспертизу для проверки представленных Исполнителем результатов выполненных Работ, предусмотренных Контрактом в соответствии с п. 4.3 Контракта.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случае, если заказчик не привлекает экспертов, экспертные организации для приемки товаров, работ, услуг, то документом, подтверждающим проведение экспертизы силами сотрудников заказчика, является оформленный и подписанный Заказчиком документ о приемке тов</w:t>
      </w:r>
      <w:r>
        <w:rPr>
          <w:rFonts w:ascii="Times New Roman" w:hAnsi="Times New Roman"/>
          <w:sz w:val="24"/>
          <w:szCs w:val="24"/>
        </w:rPr>
        <w:t xml:space="preserve">ара (работы, услуги).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.2.2. Сообщать в письменной форме Исполнителю о недостатках, обнаруженных в ходе выполнения Работ, в течение 2 (двух) рабочих дней после обнаружения таких недостатков. Заказчик, обнаружив при осуществлении контроля и надзора за ходом выполнения Работ отсту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ления от условий Контракта, которые могут ухудшить качество Работ,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выполнением И</w:t>
      </w:r>
      <w:r>
        <w:rPr>
          <w:rFonts w:ascii="Times New Roman" w:hAnsi="Times New Roman"/>
          <w:sz w:val="24"/>
          <w:szCs w:val="24"/>
        </w:rPr>
        <w:t xml:space="preserve">сполнителем Работ по Контракту и согласования организационных вопросов.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5.2.3. Своевременно принять и оплатить надлежащим образом выполненные Работы в соответствии с Контрактом, включая проведение экспертизы выполненных Работ в соответствии с законодательством Российской Федерации.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5.2.4. Исполнять иные обязанности, предусмотренные законодательством Российской Федерации и условиями Контракта.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5.3. Исполнитель вправе: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5.3.1. Требовать своевременного подписания Заказчиком акта приемки выполненных Работ по Контракту на основании представленных Исполнителем документов, указанных в п. 4.2 Контракта, и при условии истечения срока, указанного в п. 4.3 Контракта.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5.3.2. Требовать своевременной оплаты выполненных Работ в соответствии с условиями Контракта.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5.3.3. Пользоваться иными правами, установленными Контрактом и законодательством Российской Федерации.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5.4. Исполнитель обязан: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5.4.1. Своевременно и надлежащим образом исполнять обязательства в соответствии с условиями Контракта и представить Заказчику документы, указанные в п. 4.2 Контракта, по итогам исполнения Контракта. 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5.4.3. Обеспечивать соответствие результатов Работ требованиям качества, безопасности жизни и здоровья, а также иным требованиям, установленным законодательством Российской Федерации.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Исполнитель обязан в течение срока действия Контракта представить по запросу Заказчика в течение 1 (одного) рабочего дня после дня получения указанного запроса документы, подтверждающие соответствие Работ указанным выше требованиям.</w:t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5.4.4. Обеспечить устранение недостатков, выявленных при приемке Заказчиком Работ и в течение гарантийного срока, за свой счет.</w:t>
      </w:r>
      <w:r/>
    </w:p>
    <w:p>
      <w:pPr>
        <w:pStyle w:val="943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5.4.5. Исполнять иные обязанности, предусмотренные законодательством Российской Федерации и Контрактом.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43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 Гарантии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6.1. Исполнитель гарантирует, что выполненные Работы соответствуют требованиям, установленным в Контракте, обязательным нормам и правилам, регулирующим законодательством Российской Федерации, действующим на момент выполнения Работ.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Исполнитель обязан устранить своими силами и за свой счет допущенных по его вине недостатков, выявленных после приемки Работ.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.3. Если после приемки выполненных Работ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</w:t>
      </w:r>
      <w:r>
        <w:rPr>
          <w:rFonts w:ascii="Times New Roman" w:hAnsi="Times New Roman"/>
          <w:sz w:val="24"/>
          <w:szCs w:val="24"/>
        </w:rPr>
        <w:t xml:space="preserve"> сроком их устранения. Устранение недостатков, дефектов, брака выявленных после приемки Работ осуществляется Исполнителем не более 5 (пять) рабочих дней.</w:t>
      </w:r>
      <w:r/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Исполнитель гарантирует возможность безопасного использования результата выполненных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 Ответственность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88"/>
        <w:ind w:firstLine="708"/>
        <w:jc w:val="both"/>
      </w:pPr>
      <w:r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  <w:r/>
    </w:p>
    <w:p>
      <w:pPr>
        <w:pStyle w:val="988"/>
        <w:ind w:firstLine="708"/>
        <w:jc w:val="both"/>
      </w:pPr>
      <w:r>
        <w:t xml:space="preserve">Р</w:t>
      </w:r>
      <w:r>
        <w:t xml:space="preserve">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</w:t>
      </w:r>
      <w:r>
        <w:t xml:space="preserve">к</w:t>
      </w:r>
      <w:r>
        <w:t xml:space="preserve">ом, исполнителем) обязательств, предусмотренных контрактом (за исключением просрочки исполнения обязательств заказчиком, Исполнителем (подрядчиком, исполнителем), и размера пени, начисляемой за каждый день просрочки исполнения Исполнителем (подрядчиком, ис</w:t>
      </w:r>
      <w:r>
        <w:t xml:space="preserve">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  <w:r/>
    </w:p>
    <w:p>
      <w:pPr>
        <w:pStyle w:val="943"/>
        <w:ind w:firstLine="708"/>
        <w:jc w:val="both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 Обеспечение исполнения Контракта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  <w:t xml:space="preserve">8.1. Обеспечение исполнения контракта и гарантийного обязательства Заказчиком не установлено.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88"/>
        <w:jc w:val="center"/>
        <w:rPr>
          <w:b/>
        </w:rPr>
        <w:outlineLvl w:val="1"/>
      </w:pPr>
      <w:r>
        <w:rPr>
          <w:b/>
        </w:rPr>
        <w:t xml:space="preserve">9. </w:t>
      </w:r>
      <w:r>
        <w:rPr>
          <w:rFonts w:ascii="Times New Roman" w:hAnsi="Times New Roman"/>
          <w:b/>
          <w:bCs/>
          <w:sz w:val="24"/>
          <w:szCs w:val="24"/>
        </w:rPr>
        <w:t xml:space="preserve">Срок действия, порядок изменения и расторжения Контракта</w:t>
      </w:r>
      <w:r>
        <w:rPr>
          <w:b/>
        </w:rPr>
      </w:r>
      <w:r>
        <w:rPr>
          <w:b/>
        </w:rPr>
      </w:r>
    </w:p>
    <w:p>
      <w:pPr>
        <w:pStyle w:val="988"/>
        <w:jc w:val="both"/>
      </w:pPr>
      <w:r/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9.1. Контракт вступает в силу со дня его подписания Сторонами.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Срок действия контракта – с момента подписания по «30» декабря 2026 г., а в части оплаты – до полного исполнения Сторонами своих обязательств.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Контракта. с момента его подписания и до полного исполнения своих обязательств Сторонами.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9.2. Изменение существенных условий Контракта при его исполнении не допускается, за исключением их изменения по соглашению сторон в  соответствии  с п.6 ч.1 ст.95 Федерального закона  от 05.04.2013 г. № 44-ФЗ, а именно, в случаях, предусмотренных пунктом </w:t>
      </w:r>
      <w:r>
        <w:rPr>
          <w:rFonts w:ascii="Times New Roman" w:hAnsi="Times New Roman"/>
          <w:sz w:val="24"/>
          <w:szCs w:val="24"/>
          <w:lang w:eastAsia="ar-SA"/>
        </w:rPr>
        <w:t xml:space="preserve">6</w:t>
      </w:r>
      <w:r>
        <w:rPr>
          <w:rFonts w:ascii="Times New Roman" w:hAnsi="Times New Roman"/>
          <w:sz w:val="24"/>
          <w:szCs w:val="24"/>
          <w:lang w:eastAsia="ar-SA"/>
        </w:rPr>
        <w:t xml:space="preserve">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</w:t>
      </w:r>
      <w:r>
        <w:rPr>
          <w:rFonts w:ascii="Times New Roman" w:hAnsi="Times New Roman"/>
          <w:sz w:val="24"/>
          <w:szCs w:val="24"/>
          <w:lang w:eastAsia="ar-SA"/>
        </w:rPr>
        <w:t xml:space="preserve">огласование новых условий контракта, в том числе цены и (или) сроков исполнения контракта и (или) количества товара, объема работы или услуги, предусмотренных контрактом.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9.3. Контракт может быть расторгнут: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по соглашению Сторон;</w:t>
      </w:r>
      <w:r/>
    </w:p>
    <w:p>
      <w:pPr>
        <w:pStyle w:val="943"/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ar-SA"/>
        </w:rPr>
        <w:t xml:space="preserve">по решению суда;</w:t>
      </w:r>
      <w:r/>
    </w:p>
    <w:p>
      <w:pPr>
        <w:pStyle w:val="943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</w:t>
      </w:r>
      <w:r>
        <w:rPr>
          <w:rFonts w:ascii="Times New Roman" w:hAnsi="Times New Roman"/>
          <w:b/>
          <w:sz w:val="24"/>
          <w:szCs w:val="24"/>
        </w:rPr>
        <w:t xml:space="preserve">. </w:t>
      </w:r>
      <w:r>
        <w:rPr>
          <w:rFonts w:ascii="Times New Roman" w:hAnsi="Times New Roman"/>
          <w:b/>
          <w:sz w:val="24"/>
          <w:szCs w:val="24"/>
        </w:rPr>
        <w:t xml:space="preserve">Порядок урегулирования споров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</w:pPr>
      <w:r>
        <w:rPr>
          <w:rFonts w:ascii="Times New Roman" w:hAnsi="Times New Roman"/>
          <w:sz w:val="24"/>
          <w:szCs w:val="24"/>
        </w:rPr>
        <w:t xml:space="preserve">10.1.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</w:pPr>
      <w:r>
        <w:rPr>
          <w:rFonts w:ascii="Times New Roman" w:hAnsi="Times New Roman"/>
          <w:sz w:val="24"/>
          <w:szCs w:val="24"/>
        </w:rPr>
        <w:t xml:space="preserve">10.2. В случае недостижения взаимного согласия все споры по Контракту разрешаются в Арбитражном суде Новосибирской области.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0.3. До передачи спора на разрешение Арбитражного суда Новосибирской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</w:t>
      </w:r>
      <w:r>
        <w:rPr>
          <w:rFonts w:ascii="Times New Roman" w:hAnsi="Times New Roman"/>
          <w:sz w:val="24"/>
          <w:szCs w:val="24"/>
        </w:rPr>
        <w:t xml:space="preserve"> по существу в срок не позднее 3 (трех) рабочих дней с даты ее получения.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</w:r>
      <w:r>
        <w:rPr>
          <w:rFonts w:ascii="Times New Roman" w:hAnsi="Times New Roman"/>
          <w:spacing w:val="1"/>
          <w:sz w:val="24"/>
          <w:szCs w:val="24"/>
        </w:rPr>
      </w:r>
      <w:r>
        <w:rPr>
          <w:rFonts w:ascii="Times New Roman" w:hAnsi="Times New Roman"/>
          <w:spacing w:val="1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. </w:t>
      </w:r>
      <w:r>
        <w:rPr>
          <w:rFonts w:ascii="Times New Roman" w:hAnsi="Times New Roman"/>
          <w:b/>
          <w:bCs/>
          <w:sz w:val="24"/>
          <w:szCs w:val="24"/>
        </w:rPr>
        <w:t xml:space="preserve">Прочие условия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1.1. 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дующим представлением оригинала. В случае направления уведомлений с 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</w:t>
      </w:r>
      <w:r>
        <w:rPr>
          <w:rFonts w:ascii="Times New Roman" w:hAnsi="Times New Roman"/>
          <w:sz w:val="24"/>
          <w:szCs w:val="24"/>
        </w:rPr>
        <w:t xml:space="preserve">й</w:t>
      </w:r>
      <w:r>
        <w:rPr>
          <w:rFonts w:ascii="Times New Roman" w:hAnsi="Times New Roman"/>
          <w:sz w:val="24"/>
          <w:szCs w:val="24"/>
        </w:rPr>
        <w:t xml:space="preserve"> информации об отсутствии адресата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14 (четырнадцати) календарных дней с даты направ</w:t>
      </w:r>
      <w:r>
        <w:rPr>
          <w:rFonts w:ascii="Times New Roman" w:hAnsi="Times New Roman"/>
          <w:sz w:val="24"/>
          <w:szCs w:val="24"/>
        </w:rPr>
        <w:t xml:space="preserve">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Исполнитель вправе представить документы, связанные с исполнением Контракта в Управление Федеральной службы государственной регистрации, кадастра и картографии по Новосибирской области по адресу г. Новосибирск, ул. Державина, д. 28.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11.2. Контракт составлен в 2 (двух) экземплярах, по одному для каждой из Сторон, имеющих одинаковую юридическую силу.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11.3.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1.4.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943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11.5.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2.</w:t>
      </w:r>
      <w:r>
        <w:rPr>
          <w:rFonts w:ascii="Times New Roman" w:hAnsi="Times New Roman"/>
          <w:b/>
          <w:sz w:val="24"/>
          <w:szCs w:val="24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Приложения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2.1. Неотъемлемыми частями Контракта являются следующие приложения к Контракту: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 1 «</w:t>
      </w:r>
      <w:r>
        <w:rPr>
          <w:rFonts w:ascii="Times New Roman" w:hAnsi="Times New Roman"/>
          <w:sz w:val="24"/>
          <w:szCs w:val="24"/>
        </w:rPr>
        <w:t xml:space="preserve">Описание объекта закупки (</w:t>
      </w:r>
      <w:r>
        <w:rPr>
          <w:rFonts w:ascii="Times New Roman" w:hAnsi="Times New Roman"/>
          <w:sz w:val="24"/>
          <w:szCs w:val="24"/>
        </w:rPr>
        <w:t xml:space="preserve">Техническое задание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 </w:t>
      </w:r>
      <w:r>
        <w:rPr>
          <w:rFonts w:ascii="Times New Roman" w:hAnsi="Times New Roman"/>
          <w:sz w:val="24"/>
          <w:szCs w:val="24"/>
          <w:lang w:val="en-US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 «Спецификация»;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приложение № </w:t>
      </w:r>
      <w:r>
        <w:rPr>
          <w:rFonts w:ascii="Times New Roman" w:hAnsi="Times New Roman"/>
          <w:sz w:val="24"/>
          <w:szCs w:val="24"/>
          <w:lang w:val="en-US"/>
        </w:rPr>
        <w:t xml:space="preserve">3 </w:t>
      </w:r>
      <w:r>
        <w:rPr>
          <w:rFonts w:ascii="Times New Roman" w:hAnsi="Times New Roman"/>
          <w:b w:val="0"/>
          <w:bCs w:val="0"/>
          <w:sz w:val="24"/>
          <w:szCs w:val="24"/>
          <w:lang w:eastAsia="ar-SA"/>
        </w:rPr>
        <w:t xml:space="preserve">«Ведомость объемов работ»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;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b w:val="0"/>
          <w:bCs w:val="0"/>
          <w:sz w:val="24"/>
          <w:szCs w:val="24"/>
          <w:highlight w:val="yellow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приложение № </w:t>
      </w:r>
      <w:r>
        <w:rPr>
          <w:rFonts w:ascii="Times New Roman" w:hAnsi="Times New Roman"/>
          <w:sz w:val="24"/>
          <w:szCs w:val="24"/>
          <w:lang w:val="en-US"/>
        </w:rPr>
        <w:t xml:space="preserve">4 </w:t>
      </w:r>
      <w:r>
        <w:rPr>
          <w:rFonts w:ascii="Times New Roman" w:hAnsi="Times New Roman"/>
          <w:b w:val="0"/>
          <w:bCs w:val="0"/>
          <w:sz w:val="24"/>
          <w:szCs w:val="24"/>
          <w:lang w:eastAsia="ar-SA"/>
        </w:rPr>
        <w:t xml:space="preserve">«Локально-сметный расчет»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/>
          <w:b w:val="0"/>
          <w:bCs w:val="0"/>
          <w:sz w:val="24"/>
          <w:szCs w:val="24"/>
          <w:highlight w:val="yellow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yellow"/>
        </w:rPr>
      </w:r>
    </w:p>
    <w:p>
      <w:pPr>
        <w:pStyle w:val="943"/>
        <w:ind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3. Адреса, реквизиты и подписи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>
        <w:tblPrEx/>
        <w:trPr>
          <w:trHeight w:val="26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943"/>
              <w:contextualSpacing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43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Подрядчик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958"/>
              <w:jc w:val="left"/>
            </w:pPr>
            <w:r>
              <w:t xml:space="preserve">Управление Федеральной  службы государственной регистрации, кадастра и картографии по Новосибирской области</w:t>
            </w:r>
            <w:r/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адрес: 630091, г. Новосибирск, ул. Державина, 28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 5406299278   КПП  540601001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л/с 03511А37790 в УФК по Новосибирской области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банковского счета (единого казначейского счета) 40102810445370000043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казначейского счета (единого счета бюджета) 03211643000000015100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ОКЦ № 1 Сибирского ГУ Банка России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//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ФК по Новосибирской области г. Новосибирск,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015004950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 1045402545836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ОКПО 74953678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ОКАТО 50401386000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ОКФС – 12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ОКОГУ – 13174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ОКОПФ – 72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ОКТМО 50701000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постановки на учет: 20.12.2004 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contextualSpacing/>
              <w:spacing w:after="0" w:line="40" w:lineRule="atLeast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тел./факс 227-10-83 / 243-88-09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54_upr@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.ru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943"/>
              <w:contextualSpacing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943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43"/>
              <w:contextualSpacing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ПОДРЯДЧИК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vAlign w:val="top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_/_______________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pStyle w:val="943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43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pStyle w:val="943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943"/>
        <w:jc w:val="right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b/>
        </w:rPr>
        <w:t xml:space="preserve">Приложение № </w:t>
      </w:r>
      <w:r>
        <w:rPr>
          <w:rFonts w:ascii="Times New Roman" w:hAnsi="Times New Roman"/>
          <w:b/>
        </w:rPr>
        <w:t xml:space="preserve">1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43"/>
        <w:jc w:val="right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Государственному контракту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43"/>
        <w:jc w:val="right"/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№ ___ от «__» __________</w:t>
      </w:r>
      <w:r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  <w:lang w:val="en-US"/>
        </w:rPr>
        <w:t xml:space="preserve">26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b/>
          <w:lang w:val="en-US"/>
        </w:rPr>
      </w:r>
    </w:p>
    <w:p>
      <w:pPr>
        <w:pStyle w:val="943"/>
        <w:contextualSpacing/>
        <w:keepLines/>
        <w:keepNext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  <w:suppressLineNumbers/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spacing w:after="0" w:line="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line="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ОПИСАНИЕ ОБЪЕКТА ЗАКУПКИ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(Техническое задание)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line="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spacing w:after="0" w:line="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43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t xml:space="preserve">Выполнение работ по капитальному ремонту помещения здания, расположенного по адресу: Новосибирская область, г. Искитим, мкр. Индустриальный, № 13а.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43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43"/>
        <w:numPr>
          <w:ilvl w:val="0"/>
          <w:numId w:val="37"/>
        </w:numPr>
        <w:ind w:left="0" w:righ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r>
        <w:rPr>
          <w:rFonts w:ascii="Times New Roman" w:hAnsi="Times New Roman"/>
          <w:sz w:val="24"/>
          <w:szCs w:val="24"/>
        </w:rPr>
        <w:t xml:space="preserve">выполнения работ</w:t>
      </w:r>
      <w:r>
        <w:rPr>
          <w:rFonts w:ascii="Times New Roman" w:hAnsi="Times New Roman"/>
          <w:sz w:val="24"/>
          <w:szCs w:val="24"/>
        </w:rPr>
        <w:t xml:space="preserve">: Новосибирская область, </w:t>
      </w:r>
      <w:r>
        <w:rPr>
          <w:rFonts w:ascii="Times New Roman" w:hAnsi="Times New Roman"/>
          <w:sz w:val="24"/>
          <w:szCs w:val="24"/>
        </w:rPr>
        <w:t xml:space="preserve">г. Искитим,                                  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мкр. Индустриальный, № 13а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numPr>
          <w:ilvl w:val="0"/>
          <w:numId w:val="37"/>
        </w:numPr>
        <w:ind w:left="0" w:right="0" w:firstLine="709"/>
        <w:jc w:val="both"/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работ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Выполнение работ по капитальному ремонту помещения здания, расположенного по адресу: Новосибирская область, г. Искитим, мкр. Индустриальный, № 13а.</w:t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6"/>
        <w:ind w:left="0" w:right="0" w:firstLine="709"/>
        <w:jc w:val="both"/>
        <w:spacing w:after="0"/>
        <w:rPr>
          <w:sz w:val="24"/>
          <w:szCs w:val="24"/>
          <w:highlight w:val="yellow"/>
        </w:rPr>
      </w:pPr>
      <w:r>
        <w:rPr>
          <w:sz w:val="24"/>
          <w:szCs w:val="24"/>
          <w:highlight w:val="white"/>
        </w:rPr>
        <w:t xml:space="preserve">3. </w:t>
      </w:r>
      <w:r>
        <w:rPr>
          <w:sz w:val="24"/>
          <w:szCs w:val="24"/>
          <w:highlight w:val="white"/>
        </w:rPr>
        <w:t xml:space="preserve">Срок выполнения раб</w:t>
      </w:r>
      <w:r>
        <w:rPr>
          <w:sz w:val="24"/>
          <w:szCs w:val="24"/>
          <w:highlight w:val="white"/>
        </w:rPr>
        <w:t xml:space="preserve">от 30 (тридцать) календарных дней </w:t>
      </w:r>
      <w:r>
        <w:rPr>
          <w:sz w:val="24"/>
          <w:szCs w:val="24"/>
          <w:highlight w:val="white"/>
        </w:rPr>
        <w:t xml:space="preserve">с даты заключения Контракта.</w: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</w:p>
    <w:p>
      <w:pPr>
        <w:pStyle w:val="956"/>
        <w:ind w:left="0" w:right="0" w:firstLine="709"/>
        <w:jc w:val="both"/>
        <w:spacing w:after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6"/>
        <w:ind w:firstLine="709"/>
        <w:jc w:val="both"/>
        <w:spacing w:after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До начала выполнения работ в помещении Управления необходимо предоставить, в соответствии с внутриобъектовым режимом Заказчика, Исполнителем информационное письмо</w:t>
      </w:r>
      <w:r>
        <w:rPr>
          <w:rFonts w:ascii="Times New Roman" w:hAnsi="Times New Roman"/>
          <w:sz w:val="24"/>
          <w:szCs w:val="24"/>
        </w:rPr>
        <w:t xml:space="preserve"> с паспортными данными работников, а также заверенные надлежащим образом копии приказов о назначении ответственных за производство работ, технику безопасности, пожарную безопасность с указанием номера телефона, который круглосуточно должен функционировать.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6"/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6"/>
        <w:ind w:firstLine="709"/>
        <w:jc w:val="both"/>
        <w:spacing w:after="0"/>
        <w:rPr>
          <w:highlight w:val="none"/>
        </w:rPr>
      </w:pPr>
      <w:r>
        <w:rPr>
          <w:sz w:val="24"/>
          <w:szCs w:val="24"/>
          <w:highlight w:val="none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До начала выполнения работ, связанных с электроснабжением помещения Управления, необходимо </w:t>
      </w:r>
      <w:r>
        <w:rPr>
          <w:sz w:val="24"/>
          <w:szCs w:val="24"/>
          <w:highlight w:val="none"/>
        </w:rPr>
        <w:t xml:space="preserve">провести обследование электрической сети и разработать документацию по электроснабжению и освещению, согласно приложенному локально-сметному расчету (</w:t>
      </w:r>
      <w:r>
        <w:rPr>
          <w:sz w:val="24"/>
          <w:szCs w:val="24"/>
          <w:highlight w:val="none"/>
        </w:rPr>
        <w:t xml:space="preserve">для разработки документации</w:t>
      </w:r>
      <w:r>
        <w:rPr>
          <w:sz w:val="24"/>
          <w:szCs w:val="24"/>
          <w:highlight w:val="none"/>
        </w:rPr>
        <w:t xml:space="preserve"> возможно привлечение сторонней организации). </w:t>
      </w:r>
      <w:r>
        <w:rPr>
          <w:sz w:val="24"/>
          <w:szCs w:val="24"/>
          <w:highlight w:val="none"/>
        </w:rPr>
        <w:t xml:space="preserve">При разработке документации  </w:t>
      </w:r>
      <w:r>
        <w:rPr>
          <w:sz w:val="24"/>
          <w:szCs w:val="24"/>
          <w:highlight w:val="none"/>
        </w:rPr>
        <w:t xml:space="preserve">учитывать выделенные электрические мощности объекта в пределах существующих величин в соответствие с актами технологического присоединения.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Электрооборудование должно удовлетворять требованиям ГОСТ и быть промышленного изготовления (иметь сертификат соответствия).</w:t>
      </w:r>
      <w:r>
        <w:t xml:space="preserve"> </w:t>
      </w:r>
      <w:r>
        <w:rPr>
          <w:sz w:val="24"/>
          <w:szCs w:val="24"/>
        </w:rPr>
        <w:t xml:space="preserve">Подготовленная документация согласовывается и передается Заказчику до начала работ.</w:t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956"/>
        <w:ind w:firstLine="709"/>
        <w:jc w:val="both"/>
        <w:spacing w:after="0"/>
        <w:rPr>
          <w:sz w:val="24"/>
          <w:szCs w:val="24"/>
          <w:highlight w:val="none"/>
        </w:rPr>
      </w:pPr>
      <w:r>
        <w:rPr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0"/>
        <w:ind w:left="0" w:right="-1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Выполнение работ по </w:t>
      </w:r>
      <w:r>
        <w:rPr>
          <w:sz w:val="24"/>
          <w:szCs w:val="24"/>
          <w:lang w:val="ru-RU"/>
        </w:rPr>
        <w:t xml:space="preserve">капитальному</w:t>
      </w:r>
      <w:r>
        <w:rPr>
          <w:sz w:val="24"/>
          <w:szCs w:val="24"/>
        </w:rPr>
        <w:t xml:space="preserve"> ремонту помещений проводится в условиях повседневной деятельности объекта и пребывания сотрудников, в связи с чем ежедневно </w:t>
        <w:br/>
        <w:t xml:space="preserve">по окончании работ Подрядчик должен осуществлять уборку и вынос мусора.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Работы выполняются по согласованному с Заказчиком графику в рабочее время: с понедельника по четверг с 0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:00 до 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:00 и с 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:48 до 1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:00 часов (время местное), в пятницу с 0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:00 до 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:00 и с 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:48 до 1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:00 часов (время местное). План-график выполнения работ Подрядчик направляет Заказчику в течение 5 (пяти) рабочих дней с даты заключения контракта, без дополнительных запросов со стороны Заказчика.</w:t>
      </w:r>
      <w:r>
        <w:rPr>
          <w:rFonts w:ascii="Times New Roman" w:hAnsi="Times New Roman"/>
          <w:sz w:val="24"/>
          <w:szCs w:val="24"/>
          <w:lang w:val="en-US"/>
        </w:rPr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в ходе выполнения работ проводятся работы, мешающие сотрудникам </w:t>
      </w:r>
      <w:r>
        <w:rPr>
          <w:rFonts w:ascii="Times New Roman" w:hAnsi="Times New Roman"/>
          <w:sz w:val="24"/>
          <w:szCs w:val="24"/>
          <w:lang w:eastAsia="ru-RU"/>
        </w:rPr>
        <w:t xml:space="preserve">Заказчика</w:t>
      </w:r>
      <w:r>
        <w:rPr>
          <w:rFonts w:ascii="Times New Roman" w:hAnsi="Times New Roman"/>
          <w:sz w:val="24"/>
          <w:szCs w:val="24"/>
        </w:rPr>
        <w:t xml:space="preserve"> исполнять свои служебные обязанности, Подрядчик, по согласованию с Заказчиком, проводит данные работы в нерабочее время.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выходные дни, а также за пределами норм продолжительности рабочего дня, выполнение работ возможно по предварительному согласованию с Заказчиком, при условии соблюдения Подрядчиком требований законодательства об охране труда.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Подрядчик </w:t>
      </w:r>
      <w:r>
        <w:rPr>
          <w:rFonts w:ascii="Times New Roman" w:hAnsi="Times New Roman"/>
          <w:sz w:val="24"/>
          <w:szCs w:val="24"/>
        </w:rPr>
        <w:t xml:space="preserve">обеспечивает возможность круглосуточной связи ответственных (дежурных) работников Заказчика с представителями Подрядчика в рабочие, выходные и праздничные дни, в целях оперативного выявления и устранения возможных неисправностей в безотлагательном порядке.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left="0" w:right="0"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началом работ Подрядчик обязан предоставить Заказчику, паспорта и сертификаты на материалы и оборудование, подлежащие использованию, и согласовать с Заказчиком технологии и методы производства работ,</w:t>
      </w:r>
      <w:r>
        <w:rPr>
          <w:rFonts w:ascii="Times New Roman" w:hAnsi="Times New Roman"/>
          <w:sz w:val="24"/>
          <w:szCs w:val="24"/>
        </w:rPr>
        <w:t xml:space="preserve"> а также согласовать цветовую гамму материалов (линолеума, плинтусов, крас</w:t>
      </w:r>
      <w:r>
        <w:rPr>
          <w:rFonts w:ascii="Times New Roman" w:hAnsi="Times New Roman"/>
          <w:sz w:val="24"/>
          <w:szCs w:val="24"/>
        </w:rPr>
        <w:t xml:space="preserve">ки).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0"/>
        <w:ind w:left="0" w:firstLine="567"/>
        <w:jc w:val="both"/>
        <w:widowControl w:val="o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ru-RU"/>
        </w:rPr>
        <w:t xml:space="preserve">7. </w:t>
      </w:r>
      <w:r>
        <w:rPr>
          <w:rFonts w:eastAsia="Times New Roman"/>
          <w:sz w:val="24"/>
          <w:szCs w:val="24"/>
        </w:rPr>
        <w:t xml:space="preserve">Требования к безопасности при выполнении работ: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Подрядчик обеспечивает прохождение инструктажа по охране труда и технике безопасности своих сотрудников при выполнении работ на территории </w:t>
      </w:r>
      <w:r>
        <w:rPr>
          <w:rFonts w:ascii="Times New Roman" w:hAnsi="Times New Roman"/>
          <w:sz w:val="24"/>
          <w:szCs w:val="24"/>
        </w:rPr>
        <w:t xml:space="preserve">Заказчика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Работы, угрожающие безопасной жизнедеятельности людей, выполняются при обязательном огораживании опасной зоны по периметру производимых работ с участием представителей Подрядчика, контролирующих ход проведения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работы выполняются с соблюдением санитарно-гигиенического режи</w:t>
      </w:r>
      <w:r>
        <w:rPr>
          <w:rFonts w:ascii="Times New Roman" w:hAnsi="Times New Roman"/>
          <w:sz w:val="24"/>
          <w:szCs w:val="24"/>
        </w:rPr>
        <w:t xml:space="preserve">ма, правил противопожарной, технической и экологической безопасности, действующих на территории РФ, материалы, комплектующие и оборудование, используемые при выполнении работ соответствуют нижеследующим установленным нормам и правилам на данные виды работ: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Гражданский кодекс РФ, ст.721;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от 30.03.1999 № 52–ФЗ «О санитарно-эпидемиологическом благополучии населения»;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от 22.07.2008 №123-ФЗ «Технический регламент о требованиях пожарной безопасности»;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от 30.12.2009 № 384-ФЗ «Технический регламент о безопасности зданий и сооружений»;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Федеральный закон от 10.01.2002 № 7-ФЗ «Об охране окружающей среды»;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СНиП 12-03-2001 «Безопасность труда в строительстве. Часть 1. Общие требования»;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СНиП 12-04-2002 «Безопасность труда в строительстве. Часть 2. Строительное производство»;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 118.13330.2022. Свод правил. СНиП 31-06-2009 «Общественные здания и сооружения.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Приказ Минэнерго России от 12.08.2022 № 811 «Об утверждении Правил технической эксплуатации электроустановок потребителей электрической энергии»;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 xml:space="preserve">СП 48.13330.2019 Организация строительства;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СНиП 12-01-2004 Организация строительства;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СНиП 12-04-2002 Безопасность труда в строительстве. Часть 2. Строительное производство;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СНиП 12-03-2001 Безопасность труда в строительстве. Часть 1. Общие требования;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Федерального закона № 123-ФЗ от 22.07.2008 г. «Технический регламент о требованиях пожарной безопасности»;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ГОСТ 16504-81. Система государственных испытаний продукции. Испытания и контроль качества продукции. Основные термины и определения;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СП 70.13330.2012. Свод правил. Несущие и ограждающие конструкции. Актуализированная редакция СНиП 3.03.01-87;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СП 71.13330.2017 Изоляционные и отделочные покрытия;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СП 76.13330.2016 "Электротехнические устройства";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СП 51.13330.2011 Защита от шума. Актуализированная редакция СНиП 23-03-2003;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СП 118.13330.2022. Свод правил. Общественные здания и сооружения. СНиП 31-06-2009;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</w:t>
      </w:r>
      <w:r>
        <w:rPr>
          <w:rFonts w:ascii="Times New Roman" w:hAnsi="Times New Roman"/>
          <w:sz w:val="24"/>
          <w:szCs w:val="24"/>
        </w:rPr>
        <w:t xml:space="preserve">СП 59.13330.2020 Доступность зданий и сооружений для маломобильных групп населения.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также иным нормативным до</w:t>
      </w:r>
      <w:r>
        <w:rPr>
          <w:rFonts w:ascii="Times New Roman" w:hAnsi="Times New Roman"/>
          <w:sz w:val="24"/>
          <w:szCs w:val="24"/>
        </w:rPr>
        <w:t xml:space="preserve">кументам, СНИПам, регламентирующим выполняемые 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</w:t>
      </w:r>
      <w:r>
        <w:rPr>
          <w:rFonts w:ascii="Times New Roman" w:hAnsi="Times New Roman"/>
          <w:sz w:val="24"/>
          <w:szCs w:val="24"/>
        </w:rPr>
        <w:t xml:space="preserve">венность за соблюдение правил пожарной безопасности, техники безопасности, охраны труда и санитарно-гигиенического режима возлагается на Подрядчика, который своим приказом назначает лицо, ответственное за проведение работ и соблюдение вышеуказанных правил.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Квалификационные требования к специалистам при выполнении отдельных видов работ, установленны</w:t>
      </w:r>
      <w:r>
        <w:rPr>
          <w:rFonts w:ascii="Times New Roman" w:hAnsi="Times New Roman"/>
          <w:sz w:val="24"/>
          <w:szCs w:val="24"/>
        </w:rPr>
        <w:t xml:space="preserve">е требованиями норм безопасности (в том числе, электробезопасности), подтверждаются документально наличием действующих документов (удостоверений) по соответствующей области выполнения работ и предъявляются Подрядчиком в случае запроса со стороны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выполняются при соблюдении требований к качеству и безопасности в соответствии со следующими документами: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Свод правил СП 484.1311500.2020;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Правила противопожарного режима в Российской Федерации утвержденные Постановлением Правительства РФ от 16.09.2020 № 1479;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 3.13130.2009 «Свод правил. Системы противопожарной защиты. Система оповещения и управления эвакуацией людей при пожаре. Требования пожарной безопасности»;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Утвержденным техническим регламентом работ и строительным нормам, и правилам пожарной безопасности, действующих на момент выполнения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/>
          <w:sz w:val="24"/>
          <w:szCs w:val="24"/>
        </w:rPr>
        <w:t xml:space="preserve">Выполняемые работы, технология и методы их производства, используемые материалы соответствуют установленным общим правилам и нормам. </w:t>
      </w:r>
      <w:r/>
    </w:p>
    <w:p>
      <w:pPr>
        <w:pStyle w:val="943"/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Комплектация и поставка материалов осуществляется Подрядчиком. Материалы, поставляемые Подрядчиком, соответствуют государственным стандартам и</w:t>
      </w:r>
      <w:r>
        <w:rPr>
          <w:rFonts w:ascii="Times New Roman" w:hAnsi="Times New Roman"/>
          <w:sz w:val="24"/>
          <w:szCs w:val="24"/>
        </w:rPr>
        <w:t xml:space="preserve"> имеют соответствующие сертификаты (сертификаты соответствия требованиям безопасности ГОСТов, сертификаты Госсанэпиднадзора (санитарно-эпидемиологические заключения), пожарной безопасности), если это предусмотрено законодательством Российской Федерации, те</w:t>
      </w:r>
      <w:r>
        <w:rPr>
          <w:rFonts w:ascii="Times New Roman" w:hAnsi="Times New Roman"/>
          <w:sz w:val="24"/>
          <w:szCs w:val="24"/>
        </w:rPr>
        <w:t xml:space="preserve">хнические паспорта и другие документы на материалы. Копии этих сертификатов, а также технических паспортов и других документов на материалы предоставляются Заказчику за 2 (два) дня до начала производства работ, выполняемых с использованием этих материалов.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Материалы, используемые при выполнении работ, являются новыми, ранее неиспользованными, свободными от прав на них третьих </w:t>
      </w:r>
      <w:r>
        <w:rPr>
          <w:rFonts w:ascii="Times New Roman" w:hAnsi="Times New Roman"/>
          <w:color w:val="262626"/>
          <w:sz w:val="24"/>
          <w:szCs w:val="24"/>
        </w:rPr>
        <w:t xml:space="preserve">лиц и отвечают стандартам и требованиям, предъявляемым к материалам данного рода, действующим на территории Российской Федерации, качественными, соответствуют нормативным документам по пожарной безопасности, охране труда и санитарно-гигиеническим правилам.</w:t>
      </w:r>
      <w:r>
        <w:rPr>
          <w:rFonts w:ascii="Times New Roman" w:hAnsi="Times New Roman"/>
          <w:color w:val="262626"/>
          <w:sz w:val="24"/>
          <w:szCs w:val="24"/>
        </w:rPr>
      </w:r>
      <w:r>
        <w:rPr>
          <w:rFonts w:ascii="Times New Roman" w:hAnsi="Times New Roman"/>
          <w:color w:val="262626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Отключение (подключение) электрических сетей, инженерных систем или отдельных участков могут производиться только по предварительному согласованию с представителем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567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Подрядчик несет полную материальную ответственность за причинение ущерба имуществу в ходе проведения работ по вине Подрядчика.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00"/>
        <w:ind w:left="0" w:right="0" w:firstLine="709"/>
        <w:jc w:val="both"/>
        <w:widowControl w:val="off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 xml:space="preserve">8. Т</w:t>
      </w:r>
      <w:r>
        <w:rPr>
          <w:rFonts w:eastAsia="Times New Roman"/>
          <w:sz w:val="24"/>
          <w:szCs w:val="24"/>
        </w:rPr>
        <w:t xml:space="preserve">ребования к гарантийному сроку выполненных работ:</w:t>
      </w:r>
      <w:r>
        <w:rPr>
          <w:rFonts w:eastAsia="Times New Roman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</w:r>
      <w:r>
        <w:rPr>
          <w:rFonts w:eastAsia="Times New Roman"/>
          <w:sz w:val="24"/>
          <w:szCs w:val="24"/>
          <w:lang w:val="ru-RU"/>
        </w:rPr>
      </w:r>
    </w:p>
    <w:p>
      <w:pPr>
        <w:pStyle w:val="943"/>
        <w:ind w:firstLine="660"/>
        <w:jc w:val="both"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Срок гарантии качества на выполненные работы составляет 12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Двенадцать</w:t>
      </w:r>
      <w:r>
        <w:rPr>
          <w:rFonts w:ascii="Times New Roman" w:hAnsi="Times New Roman"/>
          <w:sz w:val="24"/>
          <w:szCs w:val="24"/>
        </w:rPr>
        <w:t xml:space="preserve">) месяц</w:t>
      </w:r>
      <w:r>
        <w:rPr>
          <w:rFonts w:ascii="Times New Roman" w:hAnsi="Times New Roman"/>
          <w:sz w:val="24"/>
          <w:szCs w:val="24"/>
        </w:rPr>
        <w:t xml:space="preserve">ев</w:t>
      </w:r>
      <w:r>
        <w:rPr>
          <w:rFonts w:ascii="Times New Roman" w:hAnsi="Times New Roman"/>
          <w:sz w:val="24"/>
          <w:szCs w:val="24"/>
        </w:rPr>
        <w:t xml:space="preserve"> с даты подписания Заказчиком акта приема-передачи выполненных работ </w:t>
      </w:r>
      <w:r>
        <w:rPr>
          <w:rFonts w:ascii="Times New Roman" w:hAnsi="Times New Roman"/>
          <w:sz w:val="24"/>
          <w:szCs w:val="24"/>
        </w:rPr>
        <w:t xml:space="preserve">(акта выполненных работ по форме № КС-2) при условии соблюдения правил эксплуатации</w:t>
      </w:r>
      <w:r>
        <w:rPr>
          <w:rFonts w:ascii="Times New Roman" w:hAnsi="Times New Roman"/>
          <w:sz w:val="24"/>
          <w:szCs w:val="24"/>
        </w:rPr>
        <w:t xml:space="preserve"> Заказчиком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943"/>
        <w:ind w:firstLine="66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 течение гарантийного срока на выполненные работы выявится, что качество выполненных работ по Контракту или материалов, и</w:t>
      </w:r>
      <w:r>
        <w:rPr>
          <w:rFonts w:ascii="Times New Roman" w:hAnsi="Times New Roman"/>
          <w:sz w:val="24"/>
          <w:szCs w:val="24"/>
        </w:rPr>
        <w:t xml:space="preserve">спользуемых при выполнении работ не соответствует требованиям технической документации, нормам СНиП, работы, выполненные Подрядчиком с отступлениями, ухудшившими результаты работ, с иными недостатками, которые делают объект работ непригодными для нормально</w:t>
      </w:r>
      <w:r>
        <w:rPr>
          <w:rFonts w:ascii="Times New Roman" w:hAnsi="Times New Roman"/>
          <w:sz w:val="24"/>
          <w:szCs w:val="24"/>
        </w:rPr>
        <w:t xml:space="preserve">й эксплуатации, Заказчик письменно заявляет о них Подрядчику с указанием сроков их устранения с требованием их безвозмездного устранения Подрядчиком, за счет сил и средств Подрядчика. Гарантийный срок при этом продлевается на период устранения недостатков.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jc w:val="both"/>
        <w:spacing w:after="0" w:line="240" w:lineRule="auto"/>
        <w:tabs>
          <w:tab w:val="left" w:pos="-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8.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 к функциональным, техническим и качественным характеристикам объекта закупки. Состав и объем работ.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ходе выполнения работ Подрядчик: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</w:t>
        <w:tab/>
        <w:t xml:space="preserve">Выполня</w:t>
      </w:r>
      <w:r>
        <w:rPr>
          <w:rFonts w:ascii="Times New Roman" w:hAnsi="Times New Roman"/>
          <w:sz w:val="24"/>
          <w:szCs w:val="24"/>
          <w:lang w:eastAsia="ru-RU"/>
        </w:rPr>
        <w:t xml:space="preserve">ет предусмотренные Контрактом работы и обеспечивает их высокое качество в соответствии с требованиями соответствующих нормативно-правовых актов и иными исходными данными, согласно строительным нормам и правилам, в сроки, установленные настоящим Контрактом.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</w:t>
        <w:tab/>
        <w:t xml:space="preserve">За свой счет осуществляет доставку на объект специалистов для выполнения работ, необходимых материалов, оборудования, инструментов и инвентаря, требующихся для выполнения работ.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</w:t>
        <w:tab/>
        <w:t xml:space="preserve">Предусматривает мероприятия, обеспечивающие возможность безопасного нахождения сотрудников Заказчика в здании и работу оборудования.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</w:t>
        <w:tab/>
        <w:t xml:space="preserve">В случае причинения ущерба имуществу Заказчика при выполнении работ, в том числе вследствие невыполнения вышеназванных мероприятий, проводит ремонтно-восстановительные работы за свой счет.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</w:t>
        <w:tab/>
        <w:t xml:space="preserve">Работы выполняются только в отведенной зоне работ, с минимально необходимым количеством технических средств и механизмов, для обеспечения максимально возможного сокращения уровня шума, пыли, загрязнения воздуха. Прим</w:t>
      </w:r>
      <w:r>
        <w:rPr>
          <w:rFonts w:ascii="Times New Roman" w:hAnsi="Times New Roman"/>
          <w:sz w:val="24"/>
          <w:szCs w:val="24"/>
          <w:lang w:eastAsia="ru-RU"/>
        </w:rPr>
        <w:t xml:space="preserve">еняемые машины и механизмы, инструмент и технологическая оснастка являются безопасными. В процессе выполнения работ исключается загрязнение помещений и прилегающей территории строительными отходами, предусматриваются меры по предотвращению пылеобразования.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</w:t>
        <w:tab/>
        <w:t xml:space="preserve">В случае обнаружения не зависящих от Подрядчика обстоят</w:t>
      </w:r>
      <w:r>
        <w:rPr>
          <w:rFonts w:ascii="Times New Roman" w:hAnsi="Times New Roman"/>
          <w:sz w:val="24"/>
          <w:szCs w:val="24"/>
          <w:lang w:eastAsia="ru-RU"/>
        </w:rPr>
        <w:t xml:space="preserve">ельств, которые грозят годности или качеству результатов выполняемых работ, либо создают невозможность их завершения в срок, немедленно приостанавливает работы, письменно предупреждает Заказчика и не возобновляет работы до получения письменного разрешения.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7)</w:t>
        <w:tab/>
        <w:t xml:space="preserve">Исполняет полученные в ходе выполнения работ указания Заказчика, а также в срок, установленный предписанием Заказчика, устраняет обнаруженные им недостатки в выполненной работе или иные отступления от условий настоящего Контракта.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8)</w:t>
        <w:tab/>
        <w:t xml:space="preserve">Без письменного согласия Заказчика, не передает документацию третьим лицам.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9)</w:t>
        <w:tab/>
        <w:t xml:space="preserve">Обеспечивает сохранность объекта, материалов и оборудования в период выполнения работ, а также в период устранения недостатков в выполненной работе после сдачи объекта в эксплуатацию.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10)</w:t>
        <w:tab/>
        <w:t xml:space="preserve">Обеспечивает Заказчику возможность контроля и надзора за ходом вып</w:t>
      </w:r>
      <w:r>
        <w:rPr>
          <w:rFonts w:ascii="Times New Roman" w:hAnsi="Times New Roman"/>
          <w:sz w:val="24"/>
          <w:szCs w:val="24"/>
          <w:lang w:eastAsia="ru-RU"/>
        </w:rPr>
        <w:t xml:space="preserve">олнения работ, качеством используемых материалов и оборудования, в том числе беспрепятственно допускает его представителей к любому конструктивному элементу объекта, представляет по их требованию отчеты о ходе выполнения работ, исполнительную документацию.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11)</w:t>
        <w:tab/>
        <w:t xml:space="preserve">Погрузо-разгрузочные работы, уборка и вывоз строительного мусора на полигоны производятся силами и средствами Подрядчика. Строительный мусор складируется в мешки-накопители ежедневно.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12)</w:t>
        <w:tab/>
        <w:t xml:space="preserve">При возникновении необходимости, без увеличения стоимости Контракта, производит снятие приборов электроосве</w:t>
      </w:r>
      <w:r>
        <w:rPr>
          <w:rFonts w:ascii="Times New Roman" w:hAnsi="Times New Roman"/>
          <w:sz w:val="24"/>
          <w:szCs w:val="24"/>
          <w:lang w:eastAsia="ru-RU"/>
        </w:rPr>
        <w:t xml:space="preserve">щения, охранно-пожарной сигнализации, системы контроля и управления доступом, кондиционирования и видеонаблюдения с последующей их установкой и наладкой работоспособности указанных систем по окончании работ. Работы выполняются по согласованию с Заказчиком.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возникновении необход</w:t>
      </w:r>
      <w:r>
        <w:rPr>
          <w:rFonts w:ascii="Times New Roman" w:hAnsi="Times New Roman"/>
          <w:sz w:val="24"/>
          <w:szCs w:val="24"/>
          <w:lang w:eastAsia="ru-RU"/>
        </w:rPr>
        <w:t xml:space="preserve">имости складирования и хранения материалов и изделий до момента их использования, ответственность за их сохранность несет Подрядчик. Хранение производится в соответствии с требованиями стандартов на эти материалы и изделия за счет сил и средств Подрядчика.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Очерёдность выполнения раб</w:t>
      </w:r>
      <w:r>
        <w:rPr>
          <w:rFonts w:ascii="Times New Roman" w:hAnsi="Times New Roman"/>
          <w:sz w:val="24"/>
          <w:szCs w:val="24"/>
          <w:lang w:eastAsia="ru-RU"/>
        </w:rPr>
        <w:t xml:space="preserve">от согласовывается с Заказчиком.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13)</w:t>
        <w:tab/>
        <w:t xml:space="preserve">После сдачи-приемки работ в согласованные с Заказчиком сроки вывозит за пределы объекта, принадлежащие ему механизмы, материалы и иное имущество. Самостоятельно утилизирует высвободившиеся в процессе выполнения работ мусор.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14)</w:t>
        <w:tab/>
        <w:t xml:space="preserve">Обеспечивает соответствие объекта условиям Контракта о качестве в течение всего гарантийного срока его эксплуатации.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000"/>
        <w:ind w:left="0" w:right="-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15)</w:t>
        <w:tab/>
        <w:t xml:space="preserve">Списочный состав сотрудников и автотранспорта Подрядчика, задействованных при выполнении работ предоставляется Заказчику </w:t>
      </w:r>
      <w:r>
        <w:rPr>
          <w:rFonts w:eastAsia="Times New Roman"/>
          <w:sz w:val="24"/>
          <w:szCs w:val="24"/>
          <w:lang w:val="ru-RU" w:eastAsia="ru-RU"/>
        </w:rPr>
        <w:t xml:space="preserve">за </w:t>
      </w:r>
      <w:r>
        <w:rPr>
          <w:rFonts w:eastAsia="Times New Roman"/>
          <w:sz w:val="24"/>
          <w:szCs w:val="24"/>
          <w:lang w:eastAsia="ru-RU"/>
        </w:rPr>
        <w:t xml:space="preserve">3</w:t>
      </w:r>
      <w:r>
        <w:rPr>
          <w:rFonts w:eastAsia="Times New Roman"/>
          <w:sz w:val="24"/>
          <w:szCs w:val="24"/>
          <w:lang w:val="ru-RU" w:eastAsia="ru-RU"/>
        </w:rPr>
        <w:t xml:space="preserve"> (три)</w:t>
      </w:r>
      <w:r>
        <w:rPr>
          <w:rFonts w:eastAsia="Times New Roman"/>
          <w:sz w:val="24"/>
          <w:szCs w:val="24"/>
          <w:lang w:eastAsia="ru-RU"/>
        </w:rPr>
        <w:t xml:space="preserve"> рабочих дн</w:t>
      </w:r>
      <w:r>
        <w:rPr>
          <w:rFonts w:eastAsia="Times New Roman"/>
          <w:sz w:val="24"/>
          <w:szCs w:val="24"/>
          <w:lang w:val="ru-RU" w:eastAsia="ru-RU"/>
        </w:rPr>
        <w:t xml:space="preserve">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val="ru-RU" w:eastAsia="ru-RU"/>
        </w:rPr>
        <w:t xml:space="preserve">до </w:t>
      </w:r>
      <w:r>
        <w:rPr>
          <w:rFonts w:eastAsia="Times New Roman"/>
          <w:sz w:val="24"/>
          <w:szCs w:val="24"/>
          <w:lang w:eastAsia="ru-RU"/>
        </w:rPr>
        <w:t xml:space="preserve">даты </w:t>
      </w:r>
      <w:r>
        <w:rPr>
          <w:rFonts w:eastAsia="Times New Roman"/>
          <w:sz w:val="24"/>
          <w:szCs w:val="24"/>
          <w:lang w:val="ru-RU" w:eastAsia="ru-RU"/>
        </w:rPr>
        <w:t xml:space="preserve">начала работ</w:t>
      </w:r>
      <w:r>
        <w:rPr>
          <w:rFonts w:eastAsia="Times New Roman"/>
          <w:sz w:val="24"/>
          <w:szCs w:val="24"/>
          <w:lang w:eastAsia="ru-RU"/>
        </w:rPr>
        <w:t xml:space="preserve"> без предварительного запроса со стороны Заказчика. Подрядчик обеспечивает на объекте наличие достаточного количества инженерного состава, технического персонала и рабочих требуемых специальностей, согласовывает с Заказчиком список занятых работников.</w:t>
      </w:r>
      <w:r>
        <w:rPr>
          <w:sz w:val="24"/>
          <w:szCs w:val="24"/>
          <w:highlight w:val="green"/>
        </w:rPr>
        <w:t xml:space="preserve"> 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Вся ответственность за соответствие технологического процесса, приемов и методов проведения работ, использование инструмента, соблюдение правил техники безопасности и индивидуальной защиты в процессе выполнения данных работ возлагается на Подрядчика.</w:t>
      </w:r>
      <w:r>
        <w:rPr>
          <w:rFonts w:ascii="Times New Roman" w:hAnsi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/>
          <w:sz w:val="24"/>
          <w:szCs w:val="24"/>
          <w:highlight w:val="none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ind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Состав и объем работ указаны в Приложении № 1 «Ведомость объемов работ» и Приложение № 2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«Локально-сметный расчет» к проекту государственного контракта.</w:t>
      </w:r>
      <w:r>
        <w:rPr>
          <w:rFonts w:ascii="Times New Roman" w:hAnsi="Times New Roman"/>
          <w:b/>
          <w:sz w:val="24"/>
          <w:szCs w:val="24"/>
          <w:lang w:eastAsia="ar-SA"/>
        </w:rPr>
      </w:r>
      <w:r>
        <w:rPr>
          <w:rFonts w:ascii="Times New Roman" w:hAnsi="Times New Roman"/>
          <w:b/>
          <w:sz w:val="24"/>
          <w:szCs w:val="24"/>
          <w:lang w:eastAsia="ar-SA"/>
        </w:rPr>
      </w:r>
    </w:p>
    <w:p>
      <w:pPr>
        <w:shd w:val="nil" w:color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 w:clear="all"/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jc w:val="both"/>
        <w:spacing w:after="0" w:line="240" w:lineRule="auto"/>
        <w:widowControl w:val="off"/>
        <w:tabs>
          <w:tab w:val="left" w:pos="-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943"/>
        <w:jc w:val="right"/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Приложение № </w:t>
      </w:r>
      <w:r>
        <w:rPr>
          <w:rFonts w:ascii="Times New Roman" w:hAnsi="Times New Roman"/>
          <w:b/>
          <w:lang w:val="en-US"/>
        </w:rPr>
        <w:t xml:space="preserve">2</w:t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b/>
          <w:lang w:val="en-US"/>
        </w:rPr>
      </w:r>
    </w:p>
    <w:p>
      <w:pPr>
        <w:pStyle w:val="943"/>
        <w:jc w:val="right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Государственному контракту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43"/>
        <w:jc w:val="right"/>
        <w:spacing w:after="0" w:line="24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№ ___ от «__» __________</w:t>
      </w:r>
      <w:r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  <w:lang w:val="en-US"/>
        </w:rPr>
        <w:t xml:space="preserve">26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</w:r>
      <w:r>
        <w:rPr>
          <w:rFonts w:ascii="Times New Roman" w:hAnsi="Times New Roman"/>
          <w:b/>
          <w:lang w:val="en-US"/>
        </w:rPr>
      </w:r>
    </w:p>
    <w:p>
      <w:pPr>
        <w:pStyle w:val="94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highlight w:val="none"/>
          <w:lang w:eastAsia="ar-SA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943"/>
        <w:jc w:val="center"/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</w:pPr>
      <w:r>
        <w:rPr>
          <w:rFonts w:ascii="Times New Roman" w:hAnsi="Times New Roman"/>
          <w:b/>
          <w:sz w:val="24"/>
          <w:szCs w:val="24"/>
          <w:highlight w:val="white"/>
          <w:lang w:eastAsia="ar-SA"/>
        </w:rPr>
        <w:t xml:space="preserve">Спецификация</w:t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</w:r>
    </w:p>
    <w:p>
      <w:pPr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tbl>
      <w:tblPr>
        <w:tblStyle w:val="799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3543"/>
        <w:gridCol w:w="1417"/>
        <w:gridCol w:w="1559"/>
        <w:gridCol w:w="1134"/>
        <w:gridCol w:w="1711"/>
      </w:tblGrid>
      <w:tr>
        <w:tblPrEx/>
        <w:trPr>
          <w:trHeight w:val="1886"/>
        </w:trPr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57" w:lineRule="atLeast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№</w:t>
              <w:br/>
              <w:t xml:space="preserve">п/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3543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57" w:lineRule="atLeast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Наименование объекта закупки, товарный знак, знаки обслуживания, фирменные наименования, патенты, полезные модели,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промышленные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образцы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1417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57" w:lineRule="atLeast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Количество (объем)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измерения товара, работы, услуги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57" w:lineRule="atLeast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Цена за единицу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(в валюте контракта)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1134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57" w:lineRule="atLeast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Ставка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1711" w:type="dxa"/>
            <w:vAlign w:val="center"/>
            <w:textDirection w:val="lrTb"/>
            <w:noWrap w:val="false"/>
          </w:tcPr>
          <w:p>
            <w:pPr>
              <w:contextualSpacing w:val="0"/>
              <w:jc w:val="center"/>
              <w:spacing w:before="0" w:after="0" w:line="57" w:lineRule="atLeast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(в валюте контракта)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bottom w:val="single" w:color="000000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5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54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Выполнение работ по капитальному ремонту помещения здания, расположенного по адресу: Новосибирская область, г. Искитим, мкр. Индустриальный, № 13а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Работы завершающие и отделочные в зданиях и сооружениях, прочие, не включенные в другие группировки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t xml:space="preserve">55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Квадратный метр (М2)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171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8153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Итого: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11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57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43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сумма Государственного контракта 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) рублей __ копеек, НДС 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w:rPr>
          <w:rFonts w:ascii="Times New Roman" w:hAnsi="Times New Roman"/>
          <w:i/>
          <w:sz w:val="28"/>
          <w:szCs w:val="28"/>
        </w:rPr>
      </w:r>
      <w:r>
        <w:rPr>
          <w:rFonts w:ascii="Times New Roman" w:hAnsi="Times New Roman"/>
          <w:i/>
          <w:sz w:val="28"/>
          <w:szCs w:val="28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w:rPr>
          <w:rFonts w:ascii="Times New Roman" w:hAnsi="Times New Roman"/>
          <w:i/>
          <w:sz w:val="28"/>
          <w:szCs w:val="28"/>
        </w:rPr>
      </w:r>
      <w:r>
        <w:rPr>
          <w:rFonts w:ascii="Times New Roman" w:hAnsi="Times New Roman"/>
          <w:i/>
          <w:sz w:val="28"/>
          <w:szCs w:val="28"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pStyle w:val="943"/>
        <w:ind w:firstLine="708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pStyle w:val="943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Заказчик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Подрядчик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43"/>
        <w:ind w:left="567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3"/>
        <w:contextualSpacing/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_______________/ </w:t>
      </w: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_______________/ </w:t>
      </w: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3"/>
        <w:contextualSpacing/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МП                                                                   МП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719" w:right="707" w:bottom="540" w:left="1276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Palatino Linotype">
    <w:panose1 w:val="02040503050406030204"/>
  </w:font>
  <w:font w:name="Lucida Sans Unicode">
    <w:panose1 w:val="020B0502040504020204"/>
  </w:font>
  <w:font w:name="Tahoma">
    <w:panose1 w:val="020B0604030504040204"/>
  </w:font>
  <w:font w:name="Courier New">
    <w:panose1 w:val="02070409020205020404"/>
  </w:font>
  <w:font w:name="Wingdings">
    <w:panose1 w:val="05010000000000000000"/>
  </w:font>
  <w:font w:name="GaramondC">
    <w:panose1 w:val="02000603000000000000"/>
  </w:font>
  <w:font w:name="IJLCL E+ Helvetica">
    <w:panose1 w:val="02000603000000000000"/>
  </w:font>
  <w:font w:name="Consultant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1"/>
      <w:rPr>
        <w:rStyle w:val="983"/>
      </w:rPr>
      <w:framePr w:wrap="around" w:vAnchor="text" w:hAnchor="margin" w:xAlign="right" w:y="1"/>
    </w:pPr>
    <w:r>
      <w:rPr>
        <w:rStyle w:val="983"/>
      </w:rPr>
      <w:fldChar w:fldCharType="begin"/>
    </w:r>
    <w:r>
      <w:rPr>
        <w:rStyle w:val="983"/>
      </w:rPr>
      <w:instrText xml:space="preserve">PAGE  </w:instrText>
    </w:r>
    <w:r>
      <w:rPr>
        <w:rStyle w:val="983"/>
      </w:rPr>
      <w:fldChar w:fldCharType="separate"/>
    </w:r>
    <w:r>
      <w:rPr>
        <w:rStyle w:val="983"/>
      </w:rPr>
      <w:t xml:space="preserve">21</w:t>
    </w:r>
    <w:r>
      <w:rPr>
        <w:rStyle w:val="983"/>
      </w:rPr>
      <w:fldChar w:fldCharType="end"/>
    </w:r>
    <w:r>
      <w:rPr>
        <w:rStyle w:val="983"/>
      </w:rPr>
    </w:r>
    <w:r>
      <w:rPr>
        <w:rStyle w:val="983"/>
      </w:rPr>
    </w:r>
  </w:p>
  <w:p>
    <w:pPr>
      <w:pStyle w:val="981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1"/>
      <w:rPr>
        <w:rStyle w:val="983"/>
      </w:rPr>
      <w:framePr w:wrap="around" w:vAnchor="text" w:hAnchor="margin" w:xAlign="right" w:y="1"/>
    </w:pPr>
    <w:r>
      <w:rPr>
        <w:rStyle w:val="983"/>
      </w:rPr>
      <w:fldChar w:fldCharType="begin"/>
    </w:r>
    <w:r>
      <w:rPr>
        <w:rStyle w:val="983"/>
      </w:rPr>
      <w:instrText xml:space="preserve">PAGE  </w:instrText>
    </w:r>
    <w:r>
      <w:rPr>
        <w:rStyle w:val="983"/>
      </w:rPr>
      <w:fldChar w:fldCharType="end"/>
    </w:r>
    <w:r>
      <w:rPr>
        <w:rStyle w:val="983"/>
      </w:rPr>
    </w:r>
    <w:r>
      <w:rPr>
        <w:rStyle w:val="983"/>
      </w:rPr>
    </w:r>
  </w:p>
  <w:p>
    <w:pPr>
      <w:pStyle w:val="981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44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  <w:rPr>
        <w:rFonts w:cs="Times New Roman"/>
      </w:rPr>
    </w:lvl>
    <w:lvl w:ilvl="1">
      <w:start w:val="1"/>
      <w:numFmt w:val="decimal"/>
      <w:pStyle w:val="945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  <w:rPr>
        <w:rFonts w:cs="Times New Roman"/>
      </w:rPr>
    </w:lvl>
    <w:lvl w:ilvl="2">
      <w:start w:val="1"/>
      <w:numFmt w:val="decimal"/>
      <w:pStyle w:val="946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0" w:hanging="360"/>
        <w:tabs>
          <w:tab w:val="num" w:pos="470" w:leader="none"/>
        </w:tabs>
      </w:pPr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8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-"/>
      <w:lvlJc w:val="left"/>
      <w:pPr>
        <w:ind w:left="2148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5"/>
      <w:numFmt w:val="bullet"/>
      <w:isLgl w:val="false"/>
      <w:suff w:val="tab"/>
      <w:lvlText w:val="-"/>
      <w:lvlJc w:val="left"/>
      <w:pPr>
        <w:ind w:left="1440" w:hanging="360"/>
      </w:pPr>
      <w:rPr>
        <w:rFonts w:ascii="Times New Roman" w:hAnsi="Times New Roman" w:eastAsia="Calibri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45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470" w:hanging="360"/>
        <w:tabs>
          <w:tab w:val="num" w:pos="470" w:leader="none"/>
        </w:tabs>
      </w:pPr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2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81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pStyle w:val="960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cs="Times New Roman"/>
      </w:rPr>
    </w:lvl>
    <w:lvl w:ilvl="1">
      <w:start w:val="1"/>
      <w:numFmt w:val="decimal"/>
      <w:pStyle w:val="962"/>
      <w:isLgl w:val="false"/>
      <w:suff w:val="tab"/>
      <w:lvlText w:val="%1.%2."/>
      <w:lvlJc w:val="left"/>
      <w:pPr>
        <w:ind w:left="756" w:hanging="576"/>
        <w:tabs>
          <w:tab w:val="num" w:pos="756" w:leader="none"/>
        </w:tabs>
      </w:pPr>
      <w:rPr>
        <w:rFonts w:cs="Times New Roman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227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8"/>
  </w:num>
  <w:num w:numId="5">
    <w:abstractNumId w:val="3"/>
  </w:num>
  <w:num w:numId="6">
    <w:abstractNumId w:val="10"/>
  </w:num>
  <w:num w:numId="7">
    <w:abstractNumId w:val="23"/>
  </w:num>
  <w:num w:numId="8">
    <w:abstractNumId w:val="5"/>
  </w:num>
  <w:num w:numId="9">
    <w:abstractNumId w:val="32"/>
  </w:num>
  <w:num w:numId="10">
    <w:abstractNumId w:val="21"/>
  </w:num>
  <w:num w:numId="11">
    <w:abstractNumId w:val="20"/>
  </w:num>
  <w:num w:numId="12">
    <w:abstractNumId w:val="30"/>
  </w:num>
  <w:num w:numId="13">
    <w:abstractNumId w:val="12"/>
  </w:num>
  <w:num w:numId="14">
    <w:abstractNumId w:val="13"/>
  </w:num>
  <w:num w:numId="15">
    <w:abstractNumId w:val="2"/>
  </w:num>
  <w:num w:numId="16">
    <w:abstractNumId w:val="9"/>
  </w:num>
  <w:num w:numId="17">
    <w:abstractNumId w:val="19"/>
  </w:num>
  <w:num w:numId="18">
    <w:abstractNumId w:val="8"/>
  </w:num>
  <w:num w:numId="19">
    <w:abstractNumId w:val="1"/>
  </w:num>
  <w:num w:numId="20">
    <w:abstractNumId w:val="25"/>
  </w:num>
  <w:num w:numId="21">
    <w:abstractNumId w:val="11"/>
  </w:num>
  <w:num w:numId="22">
    <w:abstractNumId w:val="31"/>
  </w:num>
  <w:num w:numId="23">
    <w:abstractNumId w:val="22"/>
  </w:num>
  <w:num w:numId="24">
    <w:abstractNumId w:val="18"/>
  </w:num>
  <w:num w:numId="25">
    <w:abstractNumId w:val="7"/>
  </w:num>
  <w:num w:numId="26">
    <w:abstractNumId w:val="27"/>
  </w:num>
  <w:num w:numId="27">
    <w:abstractNumId w:val="34"/>
  </w:num>
  <w:num w:numId="28">
    <w:abstractNumId w:val="15"/>
  </w:num>
  <w:num w:numId="29">
    <w:abstractNumId w:val="6"/>
  </w:num>
  <w:num w:numId="30">
    <w:abstractNumId w:val="16"/>
  </w:num>
  <w:num w:numId="31">
    <w:abstractNumId w:val="17"/>
  </w:num>
  <w:num w:numId="32">
    <w:abstractNumId w:val="14"/>
  </w:num>
  <w:num w:numId="33">
    <w:abstractNumId w:val="33"/>
  </w:num>
  <w:num w:numId="34">
    <w:abstractNumId w:val="24"/>
  </w:num>
  <w:num w:numId="35">
    <w:abstractNumId w:val="26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6">
    <w:name w:val="Heading 1"/>
    <w:basedOn w:val="943"/>
    <w:next w:val="943"/>
    <w:link w:val="7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7">
    <w:name w:val="Heading 1 Char"/>
    <w:link w:val="766"/>
    <w:uiPriority w:val="9"/>
    <w:rPr>
      <w:rFonts w:ascii="Arial" w:hAnsi="Arial" w:eastAsia="Arial" w:cs="Arial"/>
      <w:sz w:val="40"/>
      <w:szCs w:val="40"/>
    </w:rPr>
  </w:style>
  <w:style w:type="paragraph" w:styleId="768">
    <w:name w:val="Heading 2"/>
    <w:basedOn w:val="943"/>
    <w:next w:val="943"/>
    <w:link w:val="7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9">
    <w:name w:val="Heading 2 Char"/>
    <w:link w:val="768"/>
    <w:uiPriority w:val="9"/>
    <w:rPr>
      <w:rFonts w:ascii="Arial" w:hAnsi="Arial" w:eastAsia="Arial" w:cs="Arial"/>
      <w:sz w:val="34"/>
    </w:rPr>
  </w:style>
  <w:style w:type="paragraph" w:styleId="770">
    <w:name w:val="Heading 3"/>
    <w:basedOn w:val="943"/>
    <w:next w:val="943"/>
    <w:link w:val="7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1">
    <w:name w:val="Heading 3 Char"/>
    <w:link w:val="770"/>
    <w:uiPriority w:val="9"/>
    <w:rPr>
      <w:rFonts w:ascii="Arial" w:hAnsi="Arial" w:eastAsia="Arial" w:cs="Arial"/>
      <w:sz w:val="30"/>
      <w:szCs w:val="30"/>
    </w:rPr>
  </w:style>
  <w:style w:type="paragraph" w:styleId="772">
    <w:name w:val="Heading 4"/>
    <w:basedOn w:val="943"/>
    <w:next w:val="943"/>
    <w:link w:val="7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3">
    <w:name w:val="Heading 4 Char"/>
    <w:link w:val="772"/>
    <w:uiPriority w:val="9"/>
    <w:rPr>
      <w:rFonts w:ascii="Arial" w:hAnsi="Arial" w:eastAsia="Arial" w:cs="Arial"/>
      <w:b/>
      <w:bCs/>
      <w:sz w:val="26"/>
      <w:szCs w:val="26"/>
    </w:rPr>
  </w:style>
  <w:style w:type="paragraph" w:styleId="774">
    <w:name w:val="Heading 5"/>
    <w:basedOn w:val="943"/>
    <w:next w:val="943"/>
    <w:link w:val="7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5">
    <w:name w:val="Heading 5 Char"/>
    <w:link w:val="774"/>
    <w:uiPriority w:val="9"/>
    <w:rPr>
      <w:rFonts w:ascii="Arial" w:hAnsi="Arial" w:eastAsia="Arial" w:cs="Arial"/>
      <w:b/>
      <w:bCs/>
      <w:sz w:val="24"/>
      <w:szCs w:val="24"/>
    </w:rPr>
  </w:style>
  <w:style w:type="paragraph" w:styleId="776">
    <w:name w:val="Heading 6"/>
    <w:basedOn w:val="943"/>
    <w:next w:val="943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7">
    <w:name w:val="Heading 6 Char"/>
    <w:link w:val="776"/>
    <w:uiPriority w:val="9"/>
    <w:rPr>
      <w:rFonts w:ascii="Arial" w:hAnsi="Arial" w:eastAsia="Arial" w:cs="Arial"/>
      <w:b/>
      <w:bCs/>
      <w:sz w:val="22"/>
      <w:szCs w:val="22"/>
    </w:rPr>
  </w:style>
  <w:style w:type="paragraph" w:styleId="778">
    <w:name w:val="Heading 7"/>
    <w:basedOn w:val="943"/>
    <w:next w:val="943"/>
    <w:link w:val="7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9">
    <w:name w:val="Heading 7 Char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0">
    <w:name w:val="Heading 8"/>
    <w:basedOn w:val="943"/>
    <w:next w:val="943"/>
    <w:link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1">
    <w:name w:val="Heading 8 Char"/>
    <w:link w:val="780"/>
    <w:uiPriority w:val="9"/>
    <w:rPr>
      <w:rFonts w:ascii="Arial" w:hAnsi="Arial" w:eastAsia="Arial" w:cs="Arial"/>
      <w:i/>
      <w:iCs/>
      <w:sz w:val="22"/>
      <w:szCs w:val="22"/>
    </w:rPr>
  </w:style>
  <w:style w:type="paragraph" w:styleId="782">
    <w:name w:val="Heading 9"/>
    <w:basedOn w:val="943"/>
    <w:next w:val="943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3">
    <w:name w:val="Heading 9 Char"/>
    <w:link w:val="782"/>
    <w:uiPriority w:val="9"/>
    <w:rPr>
      <w:rFonts w:ascii="Arial" w:hAnsi="Arial" w:eastAsia="Arial" w:cs="Arial"/>
      <w:i/>
      <w:iCs/>
      <w:sz w:val="21"/>
      <w:szCs w:val="21"/>
    </w:rPr>
  </w:style>
  <w:style w:type="paragraph" w:styleId="784">
    <w:name w:val="No Spacing"/>
    <w:uiPriority w:val="1"/>
    <w:qFormat/>
    <w:pPr>
      <w:spacing w:before="0" w:after="0" w:line="240" w:lineRule="auto"/>
    </w:pPr>
  </w:style>
  <w:style w:type="paragraph" w:styleId="785">
    <w:name w:val="Title"/>
    <w:basedOn w:val="943"/>
    <w:next w:val="943"/>
    <w:link w:val="7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6">
    <w:name w:val="Title Char"/>
    <w:link w:val="785"/>
    <w:uiPriority w:val="10"/>
    <w:rPr>
      <w:sz w:val="48"/>
      <w:szCs w:val="48"/>
    </w:rPr>
  </w:style>
  <w:style w:type="paragraph" w:styleId="787">
    <w:name w:val="Subtitle"/>
    <w:basedOn w:val="943"/>
    <w:next w:val="943"/>
    <w:link w:val="788"/>
    <w:uiPriority w:val="11"/>
    <w:qFormat/>
    <w:pPr>
      <w:spacing w:before="200" w:after="200"/>
    </w:pPr>
    <w:rPr>
      <w:sz w:val="24"/>
      <w:szCs w:val="24"/>
    </w:rPr>
  </w:style>
  <w:style w:type="character" w:styleId="788">
    <w:name w:val="Subtitle Char"/>
    <w:link w:val="787"/>
    <w:uiPriority w:val="11"/>
    <w:rPr>
      <w:sz w:val="24"/>
      <w:szCs w:val="24"/>
    </w:rPr>
  </w:style>
  <w:style w:type="paragraph" w:styleId="789">
    <w:name w:val="Quote"/>
    <w:basedOn w:val="943"/>
    <w:next w:val="943"/>
    <w:link w:val="790"/>
    <w:uiPriority w:val="29"/>
    <w:qFormat/>
    <w:pPr>
      <w:ind w:left="720" w:right="720"/>
    </w:pPr>
    <w:rPr>
      <w:i/>
    </w:rPr>
  </w:style>
  <w:style w:type="character" w:styleId="790">
    <w:name w:val="Quote Char"/>
    <w:link w:val="789"/>
    <w:uiPriority w:val="29"/>
    <w:rPr>
      <w:i/>
    </w:rPr>
  </w:style>
  <w:style w:type="paragraph" w:styleId="791">
    <w:name w:val="Intense Quote"/>
    <w:basedOn w:val="943"/>
    <w:next w:val="943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>
    <w:name w:val="Intense Quote Char"/>
    <w:link w:val="791"/>
    <w:uiPriority w:val="30"/>
    <w:rPr>
      <w:i/>
    </w:rPr>
  </w:style>
  <w:style w:type="paragraph" w:styleId="793">
    <w:name w:val="Header"/>
    <w:basedOn w:val="943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4">
    <w:name w:val="Header Char"/>
    <w:link w:val="793"/>
    <w:uiPriority w:val="99"/>
  </w:style>
  <w:style w:type="paragraph" w:styleId="795">
    <w:name w:val="Footer"/>
    <w:basedOn w:val="943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Footer Char"/>
    <w:link w:val="795"/>
    <w:uiPriority w:val="99"/>
  </w:style>
  <w:style w:type="paragraph" w:styleId="797">
    <w:name w:val="Caption"/>
    <w:basedOn w:val="943"/>
    <w:next w:val="943"/>
    <w:link w:val="7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797"/>
    <w:link w:val="795"/>
    <w:uiPriority w:val="99"/>
  </w:style>
  <w:style w:type="table" w:styleId="79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5">
    <w:name w:val="Hyperlink"/>
    <w:uiPriority w:val="99"/>
    <w:unhideWhenUsed/>
    <w:rPr>
      <w:color w:val="0000ff" w:themeColor="hyperlink"/>
      <w:u w:val="single"/>
    </w:rPr>
  </w:style>
  <w:style w:type="paragraph" w:styleId="926">
    <w:name w:val="footnote text"/>
    <w:basedOn w:val="943"/>
    <w:link w:val="927"/>
    <w:uiPriority w:val="99"/>
    <w:semiHidden/>
    <w:unhideWhenUsed/>
    <w:pPr>
      <w:spacing w:after="40" w:line="240" w:lineRule="auto"/>
    </w:pPr>
    <w:rPr>
      <w:sz w:val="18"/>
    </w:rPr>
  </w:style>
  <w:style w:type="character" w:styleId="927">
    <w:name w:val="Footnote Text Char"/>
    <w:link w:val="926"/>
    <w:uiPriority w:val="99"/>
    <w:rPr>
      <w:sz w:val="18"/>
    </w:rPr>
  </w:style>
  <w:style w:type="character" w:styleId="928">
    <w:name w:val="footnote reference"/>
    <w:uiPriority w:val="99"/>
    <w:unhideWhenUsed/>
    <w:rPr>
      <w:vertAlign w:val="superscript"/>
    </w:rPr>
  </w:style>
  <w:style w:type="paragraph" w:styleId="929">
    <w:name w:val="endnote text"/>
    <w:basedOn w:val="943"/>
    <w:link w:val="930"/>
    <w:uiPriority w:val="99"/>
    <w:semiHidden/>
    <w:unhideWhenUsed/>
    <w:pPr>
      <w:spacing w:after="0" w:line="240" w:lineRule="auto"/>
    </w:pPr>
    <w:rPr>
      <w:sz w:val="20"/>
    </w:rPr>
  </w:style>
  <w:style w:type="character" w:styleId="930">
    <w:name w:val="Endnote Text Char"/>
    <w:link w:val="929"/>
    <w:uiPriority w:val="99"/>
    <w:rPr>
      <w:sz w:val="20"/>
    </w:rPr>
  </w:style>
  <w:style w:type="character" w:styleId="931">
    <w:name w:val="endnote reference"/>
    <w:uiPriority w:val="99"/>
    <w:semiHidden/>
    <w:unhideWhenUsed/>
    <w:rPr>
      <w:vertAlign w:val="superscript"/>
    </w:rPr>
  </w:style>
  <w:style w:type="paragraph" w:styleId="932">
    <w:name w:val="toc 1"/>
    <w:basedOn w:val="943"/>
    <w:next w:val="943"/>
    <w:uiPriority w:val="39"/>
    <w:unhideWhenUsed/>
    <w:pPr>
      <w:ind w:left="0" w:right="0" w:firstLine="0"/>
      <w:spacing w:after="57"/>
    </w:pPr>
  </w:style>
  <w:style w:type="paragraph" w:styleId="933">
    <w:name w:val="toc 2"/>
    <w:basedOn w:val="943"/>
    <w:next w:val="943"/>
    <w:uiPriority w:val="39"/>
    <w:unhideWhenUsed/>
    <w:pPr>
      <w:ind w:left="283" w:right="0" w:firstLine="0"/>
      <w:spacing w:after="57"/>
    </w:pPr>
  </w:style>
  <w:style w:type="paragraph" w:styleId="934">
    <w:name w:val="toc 3"/>
    <w:basedOn w:val="943"/>
    <w:next w:val="943"/>
    <w:uiPriority w:val="39"/>
    <w:unhideWhenUsed/>
    <w:pPr>
      <w:ind w:left="567" w:right="0" w:firstLine="0"/>
      <w:spacing w:after="57"/>
    </w:pPr>
  </w:style>
  <w:style w:type="paragraph" w:styleId="935">
    <w:name w:val="toc 4"/>
    <w:basedOn w:val="943"/>
    <w:next w:val="943"/>
    <w:uiPriority w:val="39"/>
    <w:unhideWhenUsed/>
    <w:pPr>
      <w:ind w:left="850" w:right="0" w:firstLine="0"/>
      <w:spacing w:after="57"/>
    </w:pPr>
  </w:style>
  <w:style w:type="paragraph" w:styleId="936">
    <w:name w:val="toc 5"/>
    <w:basedOn w:val="943"/>
    <w:next w:val="943"/>
    <w:uiPriority w:val="39"/>
    <w:unhideWhenUsed/>
    <w:pPr>
      <w:ind w:left="1134" w:right="0" w:firstLine="0"/>
      <w:spacing w:after="57"/>
    </w:pPr>
  </w:style>
  <w:style w:type="paragraph" w:styleId="937">
    <w:name w:val="toc 6"/>
    <w:basedOn w:val="943"/>
    <w:next w:val="943"/>
    <w:uiPriority w:val="39"/>
    <w:unhideWhenUsed/>
    <w:pPr>
      <w:ind w:left="1417" w:right="0" w:firstLine="0"/>
      <w:spacing w:after="57"/>
    </w:pPr>
  </w:style>
  <w:style w:type="paragraph" w:styleId="938">
    <w:name w:val="toc 7"/>
    <w:basedOn w:val="943"/>
    <w:next w:val="943"/>
    <w:uiPriority w:val="39"/>
    <w:unhideWhenUsed/>
    <w:pPr>
      <w:ind w:left="1701" w:right="0" w:firstLine="0"/>
      <w:spacing w:after="57"/>
    </w:pPr>
  </w:style>
  <w:style w:type="paragraph" w:styleId="939">
    <w:name w:val="toc 8"/>
    <w:basedOn w:val="943"/>
    <w:next w:val="943"/>
    <w:uiPriority w:val="39"/>
    <w:unhideWhenUsed/>
    <w:pPr>
      <w:ind w:left="1984" w:right="0" w:firstLine="0"/>
      <w:spacing w:after="57"/>
    </w:pPr>
  </w:style>
  <w:style w:type="paragraph" w:styleId="940">
    <w:name w:val="toc 9"/>
    <w:basedOn w:val="943"/>
    <w:next w:val="943"/>
    <w:uiPriority w:val="39"/>
    <w:unhideWhenUsed/>
    <w:pPr>
      <w:ind w:left="2268" w:right="0" w:firstLine="0"/>
      <w:spacing w:after="57"/>
    </w:pPr>
  </w:style>
  <w:style w:type="paragraph" w:styleId="941">
    <w:name w:val="TOC Heading"/>
    <w:uiPriority w:val="39"/>
    <w:unhideWhenUsed/>
  </w:style>
  <w:style w:type="paragraph" w:styleId="942">
    <w:name w:val="table of figures"/>
    <w:basedOn w:val="943"/>
    <w:next w:val="943"/>
    <w:uiPriority w:val="99"/>
    <w:unhideWhenUsed/>
    <w:pPr>
      <w:spacing w:after="0" w:afterAutospacing="0"/>
    </w:pPr>
  </w:style>
  <w:style w:type="paragraph" w:styleId="943" w:default="1">
    <w:name w:val="Normal"/>
    <w:next w:val="943"/>
    <w:link w:val="943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paragraph" w:styleId="944">
    <w:name w:val="Заголовок 1"/>
    <w:basedOn w:val="943"/>
    <w:next w:val="943"/>
    <w:link w:val="943"/>
    <w:qFormat/>
    <w:pPr>
      <w:numPr>
        <w:ilvl w:val="0"/>
        <w:numId w:val="3"/>
      </w:numPr>
      <w:jc w:val="center"/>
      <w:keepNext/>
      <w:spacing w:before="240" w:after="60" w:line="240" w:lineRule="auto"/>
      <w:widowControl w:val="off"/>
      <w:outlineLvl w:val="0"/>
    </w:pPr>
    <w:rPr>
      <w:rFonts w:ascii="Times New Roman" w:hAnsi="Times New Roman"/>
      <w:b/>
      <w:sz w:val="36"/>
      <w:szCs w:val="20"/>
      <w:lang w:val="en-US" w:eastAsia="en-US"/>
    </w:rPr>
  </w:style>
  <w:style w:type="paragraph" w:styleId="945">
    <w:name w:val="Заголовок 2"/>
    <w:basedOn w:val="943"/>
    <w:next w:val="943"/>
    <w:link w:val="943"/>
    <w:qFormat/>
    <w:pPr>
      <w:numPr>
        <w:ilvl w:val="1"/>
        <w:numId w:val="3"/>
      </w:numPr>
      <w:jc w:val="center"/>
      <w:keepNext/>
      <w:spacing w:after="0" w:line="240" w:lineRule="auto"/>
      <w:widowControl w:val="off"/>
      <w:outlineLvl w:val="1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946">
    <w:name w:val="Заголовок 3"/>
    <w:basedOn w:val="943"/>
    <w:next w:val="943"/>
    <w:link w:val="943"/>
    <w:qFormat/>
    <w:pPr>
      <w:numPr>
        <w:ilvl w:val="2"/>
        <w:numId w:val="3"/>
      </w:numPr>
      <w:keepNext/>
      <w:spacing w:before="240" w:after="60" w:line="240" w:lineRule="auto"/>
      <w:widowControl w:val="off"/>
      <w:outlineLvl w:val="2"/>
    </w:pPr>
    <w:rPr>
      <w:rFonts w:ascii="Arial" w:hAnsi="Arial"/>
      <w:b/>
      <w:sz w:val="24"/>
      <w:szCs w:val="20"/>
      <w:lang w:val="en-US" w:eastAsia="en-US"/>
    </w:rPr>
  </w:style>
  <w:style w:type="paragraph" w:styleId="947">
    <w:name w:val="Заголовок 5"/>
    <w:basedOn w:val="943"/>
    <w:next w:val="943"/>
    <w:link w:val="1022"/>
    <w:unhideWhenUsed/>
    <w:qFormat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948">
    <w:name w:val="Заголовок 6"/>
    <w:basedOn w:val="943"/>
    <w:next w:val="943"/>
    <w:link w:val="1024"/>
    <w:qFormat/>
    <w:pPr>
      <w:spacing w:before="240" w:after="60"/>
      <w:outlineLvl w:val="5"/>
    </w:pPr>
    <w:rPr>
      <w:rFonts w:ascii="Times New Roman" w:hAnsi="Times New Roman"/>
      <w:b/>
      <w:bCs/>
      <w:lang w:val="en-US" w:eastAsia="ar-SA"/>
    </w:rPr>
  </w:style>
  <w:style w:type="character" w:styleId="949">
    <w:name w:val="Основной шрифт абзаца"/>
    <w:next w:val="949"/>
    <w:link w:val="943"/>
    <w:semiHidden/>
  </w:style>
  <w:style w:type="table" w:styleId="950">
    <w:name w:val="Обычная таблица"/>
    <w:next w:val="950"/>
    <w:link w:val="943"/>
    <w:semiHidden/>
    <w:tblPr/>
  </w:style>
  <w:style w:type="numbering" w:styleId="951">
    <w:name w:val="Нет списка"/>
    <w:next w:val="951"/>
    <w:link w:val="943"/>
    <w:uiPriority w:val="99"/>
    <w:semiHidden/>
  </w:style>
  <w:style w:type="paragraph" w:styleId="952">
    <w:name w:val="Default"/>
    <w:next w:val="952"/>
    <w:link w:val="943"/>
    <w:rPr>
      <w:rFonts w:ascii="IJLCL E+ Helvetica" w:hAnsi="IJLCL E+ Helvetica" w:cs="IJLCL E+ Helvetica"/>
      <w:color w:val="000000"/>
      <w:sz w:val="24"/>
      <w:szCs w:val="24"/>
      <w:lang w:val="ru-RU" w:eastAsia="ru-RU" w:bidi="ar-SA"/>
    </w:rPr>
  </w:style>
  <w:style w:type="paragraph" w:styleId="953">
    <w:name w:val="Pa20"/>
    <w:basedOn w:val="943"/>
    <w:next w:val="943"/>
    <w:link w:val="943"/>
    <w:pPr>
      <w:spacing w:before="280" w:after="0" w:line="241" w:lineRule="atLeast"/>
    </w:pPr>
    <w:rPr>
      <w:rFonts w:ascii="GaramondC" w:hAnsi="GaramondC"/>
      <w:sz w:val="24"/>
      <w:szCs w:val="24"/>
      <w:lang w:eastAsia="ru-RU"/>
    </w:rPr>
  </w:style>
  <w:style w:type="paragraph" w:styleId="954">
    <w:name w:val="Pa21"/>
    <w:basedOn w:val="943"/>
    <w:next w:val="943"/>
    <w:link w:val="943"/>
    <w:pPr>
      <w:spacing w:before="120" w:after="0" w:line="211" w:lineRule="atLeast"/>
    </w:pPr>
    <w:rPr>
      <w:rFonts w:ascii="GaramondC" w:hAnsi="GaramondC"/>
      <w:sz w:val="24"/>
      <w:szCs w:val="24"/>
      <w:lang w:eastAsia="ru-RU"/>
    </w:rPr>
  </w:style>
  <w:style w:type="character" w:styleId="955">
    <w:name w:val="Гиперссылка"/>
    <w:next w:val="955"/>
    <w:link w:val="943"/>
    <w:uiPriority w:val="99"/>
    <w:rPr>
      <w:rFonts w:cs="Times New Roman"/>
      <w:color w:val="0000ff"/>
      <w:u w:val="single"/>
    </w:rPr>
  </w:style>
  <w:style w:type="paragraph" w:styleId="956">
    <w:name w:val="Основной текст"/>
    <w:basedOn w:val="943"/>
    <w:next w:val="956"/>
    <w:link w:val="957"/>
    <w:pPr>
      <w:spacing w:after="12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styleId="957">
    <w:name w:val="Основной текст Знак"/>
    <w:next w:val="957"/>
    <w:link w:val="956"/>
    <w:rPr>
      <w:rFonts w:cs="Times New Roman"/>
    </w:rPr>
  </w:style>
  <w:style w:type="paragraph" w:styleId="958">
    <w:name w:val="Обычный + 12 пт"/>
    <w:basedOn w:val="943"/>
    <w:next w:val="958"/>
    <w:link w:val="959"/>
    <w:pPr>
      <w:ind w:right="118"/>
      <w:jc w:val="both"/>
      <w:spacing w:after="0" w:line="240" w:lineRule="auto"/>
      <w:shd w:val="clear" w:color="auto" w:fill="ffffff"/>
      <w:tabs>
        <w:tab w:val="left" w:pos="701" w:leader="none"/>
      </w:tabs>
    </w:pPr>
    <w:rPr>
      <w:rFonts w:ascii="Times New Roman" w:hAnsi="Times New Roman"/>
      <w:b/>
      <w:sz w:val="24"/>
      <w:szCs w:val="24"/>
      <w:lang w:eastAsia="ru-RU"/>
    </w:rPr>
  </w:style>
  <w:style w:type="character" w:styleId="959">
    <w:name w:val="Обычный + 12 пт Знак"/>
    <w:next w:val="959"/>
    <w:link w:val="958"/>
    <w:rPr>
      <w:rFonts w:cs="Times New Roman"/>
      <w:b/>
      <w:sz w:val="24"/>
      <w:szCs w:val="24"/>
      <w:lang w:val="ru-RU" w:eastAsia="ru-RU" w:bidi="ar-SA"/>
    </w:rPr>
  </w:style>
  <w:style w:type="paragraph" w:styleId="960">
    <w:name w:val="Основной текст 3"/>
    <w:basedOn w:val="943"/>
    <w:next w:val="960"/>
    <w:link w:val="961"/>
    <w:pPr>
      <w:numPr>
        <w:ilvl w:val="0"/>
        <w:numId w:val="1"/>
      </w:numPr>
      <w:spacing w:after="120" w:line="240" w:lineRule="auto"/>
    </w:pPr>
    <w:rPr>
      <w:rFonts w:ascii="Times New Roman" w:hAnsi="Times New Roman"/>
      <w:sz w:val="16"/>
      <w:szCs w:val="16"/>
      <w:lang w:val="en-US" w:eastAsia="en-US"/>
    </w:rPr>
  </w:style>
  <w:style w:type="character" w:styleId="961">
    <w:name w:val="Основной текст 3 Знак"/>
    <w:next w:val="961"/>
    <w:link w:val="960"/>
    <w:rPr>
      <w:sz w:val="16"/>
      <w:szCs w:val="16"/>
    </w:rPr>
  </w:style>
  <w:style w:type="paragraph" w:styleId="962">
    <w:name w:val="Стиль1"/>
    <w:basedOn w:val="943"/>
    <w:next w:val="962"/>
    <w:link w:val="943"/>
    <w:pPr>
      <w:numPr>
        <w:ilvl w:val="1"/>
        <w:numId w:val="1"/>
      </w:numPr>
      <w:ind w:left="432" w:hanging="432"/>
      <w:keepLines/>
      <w:keepNext/>
      <w:spacing w:after="60" w:line="240" w:lineRule="auto"/>
      <w:widowControl w:val="off"/>
      <w:tabs>
        <w:tab w:val="num" w:pos="432" w:leader="none"/>
      </w:tabs>
      <w:suppressLineNumbers/>
    </w:pPr>
    <w:rPr>
      <w:rFonts w:ascii="Times New Roman" w:hAnsi="Times New Roman"/>
      <w:b/>
      <w:sz w:val="28"/>
      <w:szCs w:val="24"/>
      <w:lang w:eastAsia="ru-RU"/>
    </w:rPr>
  </w:style>
  <w:style w:type="paragraph" w:styleId="963">
    <w:name w:val="ConsPlusNonformat"/>
    <w:next w:val="963"/>
    <w:link w:val="943"/>
    <w:rPr>
      <w:rFonts w:ascii="Courier New" w:hAnsi="Courier New" w:cs="Courier New"/>
      <w:lang w:val="ru-RU" w:eastAsia="en-US" w:bidi="ar-SA"/>
    </w:rPr>
  </w:style>
  <w:style w:type="paragraph" w:styleId="964">
    <w:name w:val="List Paragraph"/>
    <w:basedOn w:val="943"/>
    <w:next w:val="964"/>
    <w:link w:val="943"/>
    <w:pPr>
      <w:ind w:left="720"/>
      <w:spacing w:after="0" w:line="240" w:lineRule="auto"/>
    </w:pPr>
    <w:rPr>
      <w:rFonts w:cs="Calibri"/>
    </w:rPr>
  </w:style>
  <w:style w:type="paragraph" w:styleId="965">
    <w:name w:val="Основной текст с отступом 2"/>
    <w:basedOn w:val="943"/>
    <w:next w:val="965"/>
    <w:link w:val="966"/>
    <w:semiHidden/>
    <w:pPr>
      <w:ind w:left="283"/>
      <w:spacing w:after="120" w:line="480" w:lineRule="auto"/>
    </w:pPr>
    <w:rPr>
      <w:lang w:val="en-US"/>
    </w:rPr>
  </w:style>
  <w:style w:type="character" w:styleId="966">
    <w:name w:val="Основной текст с отступом 2 Знак"/>
    <w:next w:val="966"/>
    <w:link w:val="965"/>
    <w:semiHidden/>
    <w:rPr>
      <w:rFonts w:ascii="Calibri" w:hAnsi="Calibri" w:cs="Times New Roman"/>
      <w:sz w:val="22"/>
      <w:szCs w:val="22"/>
      <w:lang w:val="en-US" w:eastAsia="en-US"/>
    </w:rPr>
  </w:style>
  <w:style w:type="paragraph" w:styleId="967">
    <w:name w:val="Основной текст с отступом"/>
    <w:basedOn w:val="943"/>
    <w:next w:val="967"/>
    <w:link w:val="968"/>
    <w:pPr>
      <w:ind w:left="283"/>
      <w:spacing w:after="120"/>
    </w:pPr>
    <w:rPr>
      <w:lang w:val="en-US"/>
    </w:rPr>
  </w:style>
  <w:style w:type="character" w:styleId="968">
    <w:name w:val="Основной текст с отступом Знак"/>
    <w:next w:val="968"/>
    <w:link w:val="967"/>
    <w:rPr>
      <w:rFonts w:ascii="Calibri" w:hAnsi="Calibri" w:cs="Times New Roman"/>
      <w:sz w:val="22"/>
      <w:szCs w:val="22"/>
      <w:lang w:val="en-US" w:eastAsia="en-US"/>
    </w:rPr>
  </w:style>
  <w:style w:type="paragraph" w:styleId="969">
    <w:name w:val="Название"/>
    <w:basedOn w:val="943"/>
    <w:next w:val="969"/>
    <w:link w:val="970"/>
    <w:uiPriority w:val="99"/>
    <w:qFormat/>
    <w:pPr>
      <w:jc w:val="center"/>
      <w:spacing w:before="240" w:after="60" w:line="240" w:lineRule="auto"/>
      <w:outlineLvl w:val="0"/>
    </w:pPr>
    <w:rPr>
      <w:rFonts w:ascii="Arial" w:hAnsi="Arial"/>
      <w:b/>
      <w:sz w:val="32"/>
      <w:szCs w:val="20"/>
      <w:lang w:val="en-US"/>
    </w:rPr>
  </w:style>
  <w:style w:type="character" w:styleId="970">
    <w:name w:val="Название Знак"/>
    <w:next w:val="970"/>
    <w:link w:val="969"/>
    <w:uiPriority w:val="99"/>
    <w:rPr>
      <w:rFonts w:ascii="Arial" w:hAnsi="Arial" w:cs="Times New Roman"/>
      <w:b/>
      <w:sz w:val="32"/>
      <w:lang w:val="en-US" w:eastAsia="en-US"/>
    </w:rPr>
  </w:style>
  <w:style w:type="paragraph" w:styleId="971">
    <w:name w:val="Normal1"/>
    <w:next w:val="971"/>
    <w:link w:val="943"/>
    <w:rPr>
      <w:rFonts w:ascii="Arial" w:hAnsi="Arial"/>
      <w:lang w:val="ru-RU" w:eastAsia="ru-RU" w:bidi="ar-SA"/>
    </w:rPr>
  </w:style>
  <w:style w:type="paragraph" w:styleId="972">
    <w:name w:val="Style6"/>
    <w:basedOn w:val="943"/>
    <w:next w:val="972"/>
    <w:link w:val="943"/>
    <w:pPr>
      <w:jc w:val="both"/>
      <w:spacing w:after="0" w:line="258" w:lineRule="exact"/>
      <w:widowControl w:val="off"/>
    </w:pPr>
    <w:rPr>
      <w:rFonts w:ascii="Times New Roman" w:hAnsi="Times New Roman"/>
      <w:sz w:val="24"/>
      <w:szCs w:val="24"/>
      <w:lang w:eastAsia="ru-RU"/>
    </w:rPr>
  </w:style>
  <w:style w:type="paragraph" w:styleId="973">
    <w:name w:val="Style8"/>
    <w:basedOn w:val="943"/>
    <w:next w:val="973"/>
    <w:link w:val="943"/>
    <w:pPr>
      <w:spacing w:after="0" w:line="240" w:lineRule="auto"/>
      <w:widowControl w:val="off"/>
    </w:pPr>
    <w:rPr>
      <w:rFonts w:ascii="Times New Roman" w:hAnsi="Times New Roman"/>
      <w:sz w:val="24"/>
      <w:szCs w:val="24"/>
      <w:lang w:eastAsia="ru-RU"/>
    </w:rPr>
  </w:style>
  <w:style w:type="character" w:styleId="974">
    <w:name w:val="Font Style14"/>
    <w:next w:val="974"/>
    <w:link w:val="943"/>
    <w:rPr>
      <w:rFonts w:ascii="Times New Roman" w:hAnsi="Times New Roman" w:cs="Times New Roman"/>
      <w:b/>
      <w:bCs/>
      <w:sz w:val="20"/>
      <w:szCs w:val="20"/>
    </w:rPr>
  </w:style>
  <w:style w:type="character" w:styleId="975">
    <w:name w:val="Font Style15"/>
    <w:next w:val="975"/>
    <w:link w:val="943"/>
    <w:rPr>
      <w:rFonts w:ascii="Times New Roman" w:hAnsi="Times New Roman" w:cs="Times New Roman"/>
      <w:sz w:val="20"/>
      <w:szCs w:val="20"/>
    </w:rPr>
  </w:style>
  <w:style w:type="character" w:styleId="976">
    <w:name w:val="Знак Знак7"/>
    <w:next w:val="976"/>
    <w:link w:val="943"/>
    <w:rPr>
      <w:rFonts w:cs="Times New Roman"/>
    </w:rPr>
  </w:style>
  <w:style w:type="paragraph" w:styleId="977">
    <w:name w:val="Абзац списка1"/>
    <w:basedOn w:val="943"/>
    <w:next w:val="977"/>
    <w:link w:val="943"/>
    <w:pPr>
      <w:contextualSpacing/>
      <w:ind w:left="720"/>
      <w:spacing w:after="0" w:line="240" w:lineRule="auto"/>
    </w:pPr>
    <w:rPr>
      <w:rFonts w:ascii="Times New Roman" w:hAnsi="Times New Roman"/>
      <w:sz w:val="28"/>
    </w:rPr>
  </w:style>
  <w:style w:type="paragraph" w:styleId="978">
    <w:name w:val="Основной текст 2"/>
    <w:basedOn w:val="943"/>
    <w:next w:val="978"/>
    <w:link w:val="979"/>
    <w:pPr>
      <w:spacing w:after="120" w:line="480" w:lineRule="auto"/>
    </w:pPr>
    <w:rPr>
      <w:rFonts w:ascii="Times New Roman" w:hAnsi="Times New Roman"/>
      <w:sz w:val="24"/>
      <w:szCs w:val="20"/>
      <w:lang w:eastAsia="ru-RU"/>
    </w:rPr>
  </w:style>
  <w:style w:type="character" w:styleId="979">
    <w:name w:val="Основной текст 2 Знак"/>
    <w:next w:val="979"/>
    <w:link w:val="978"/>
    <w:rPr>
      <w:rFonts w:eastAsia="Times New Roman"/>
      <w:sz w:val="24"/>
      <w:lang w:val="ru-RU" w:eastAsia="ru-RU"/>
    </w:rPr>
  </w:style>
  <w:style w:type="character" w:styleId="980">
    <w:name w:val="Body Text 2 Char"/>
    <w:next w:val="980"/>
    <w:link w:val="943"/>
    <w:semiHidden/>
    <w:rPr>
      <w:rFonts w:ascii="Calibri" w:hAnsi="Calibri" w:cs="Times New Roman"/>
      <w:lang w:val="en-US" w:eastAsia="en-US"/>
    </w:rPr>
  </w:style>
  <w:style w:type="paragraph" w:styleId="981">
    <w:name w:val="Нижний колонтитул"/>
    <w:basedOn w:val="943"/>
    <w:next w:val="981"/>
    <w:link w:val="982"/>
    <w:pPr>
      <w:tabs>
        <w:tab w:val="center" w:pos="4677" w:leader="none"/>
        <w:tab w:val="right" w:pos="9355" w:leader="none"/>
      </w:tabs>
    </w:pPr>
    <w:rPr>
      <w:sz w:val="20"/>
      <w:szCs w:val="20"/>
      <w:lang w:val="en-US"/>
    </w:rPr>
  </w:style>
  <w:style w:type="character" w:styleId="982">
    <w:name w:val="Нижний колонтитул Знак"/>
    <w:next w:val="982"/>
    <w:link w:val="981"/>
    <w:rPr>
      <w:rFonts w:ascii="Calibri" w:hAnsi="Calibri" w:cs="Times New Roman"/>
      <w:lang w:val="en-US" w:eastAsia="en-US"/>
    </w:rPr>
  </w:style>
  <w:style w:type="character" w:styleId="983">
    <w:name w:val="Номер страницы"/>
    <w:next w:val="983"/>
    <w:link w:val="943"/>
    <w:rPr>
      <w:rFonts w:cs="Times New Roman"/>
    </w:rPr>
  </w:style>
  <w:style w:type="character" w:styleId="984">
    <w:name w:val="Font Style39"/>
    <w:next w:val="984"/>
    <w:link w:val="943"/>
    <w:rPr>
      <w:rFonts w:ascii="Times New Roman" w:hAnsi="Times New Roman" w:cs="Times New Roman"/>
      <w:sz w:val="26"/>
      <w:szCs w:val="26"/>
    </w:rPr>
  </w:style>
  <w:style w:type="table" w:styleId="985">
    <w:name w:val="Сетка таблицы"/>
    <w:basedOn w:val="950"/>
    <w:next w:val="985"/>
    <w:link w:val="943"/>
    <w:uiPriority w:val="59"/>
    <w:pPr>
      <w:widowControl w:val="off"/>
    </w:pPr>
    <w:tblPr/>
  </w:style>
  <w:style w:type="paragraph" w:styleId="986">
    <w:name w:val="Текст выноски"/>
    <w:basedOn w:val="943"/>
    <w:next w:val="986"/>
    <w:link w:val="987"/>
    <w:uiPriority w:val="99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987">
    <w:name w:val="Текст выноски Знак"/>
    <w:next w:val="987"/>
    <w:link w:val="986"/>
    <w:uiPriority w:val="99"/>
    <w:rPr>
      <w:rFonts w:ascii="Tahoma" w:hAnsi="Tahoma" w:cs="Tahoma"/>
      <w:sz w:val="16"/>
      <w:szCs w:val="16"/>
      <w:lang w:eastAsia="en-US"/>
    </w:rPr>
  </w:style>
  <w:style w:type="paragraph" w:styleId="988">
    <w:name w:val="ConsPlusNormal"/>
    <w:next w:val="988"/>
    <w:link w:val="989"/>
    <w:qFormat/>
    <w:rPr>
      <w:sz w:val="24"/>
      <w:szCs w:val="24"/>
      <w:lang w:val="ru-RU" w:eastAsia="ru-RU" w:bidi="ar-SA"/>
    </w:rPr>
  </w:style>
  <w:style w:type="character" w:styleId="989">
    <w:name w:val="ConsPlusNormal Знак"/>
    <w:next w:val="989"/>
    <w:link w:val="988"/>
    <w:rPr>
      <w:sz w:val="24"/>
      <w:szCs w:val="24"/>
      <w:lang w:val="ru-RU" w:eastAsia="ru-RU" w:bidi="ar-SA"/>
    </w:rPr>
  </w:style>
  <w:style w:type="paragraph" w:styleId="990">
    <w:name w:val="prodsize"/>
    <w:basedOn w:val="943"/>
    <w:next w:val="990"/>
    <w:link w:val="9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991">
    <w:name w:val="apple-converted-space"/>
    <w:basedOn w:val="949"/>
    <w:next w:val="991"/>
    <w:link w:val="943"/>
  </w:style>
  <w:style w:type="character" w:styleId="992">
    <w:name w:val="value"/>
    <w:basedOn w:val="949"/>
    <w:next w:val="992"/>
    <w:link w:val="943"/>
  </w:style>
  <w:style w:type="paragraph" w:styleId="993">
    <w:name w:val="prodprops"/>
    <w:basedOn w:val="943"/>
    <w:next w:val="993"/>
    <w:link w:val="9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994">
    <w:name w:val="Базовый"/>
    <w:next w:val="994"/>
    <w:link w:val="943"/>
    <w:pPr>
      <w:widowControl w:val="off"/>
      <w:tabs>
        <w:tab w:val="left" w:pos="706" w:leader="none"/>
      </w:tabs>
    </w:pPr>
    <w:rPr>
      <w:rFonts w:eastAsia="Calibri" w:cs="Tahoma"/>
      <w:color w:val="00000a"/>
      <w:sz w:val="24"/>
      <w:szCs w:val="24"/>
      <w:lang w:val="ru-RU" w:eastAsia="ru-RU" w:bidi="ar-SA"/>
    </w:rPr>
  </w:style>
  <w:style w:type="paragraph" w:styleId="995">
    <w:name w:val="Без интервала"/>
    <w:next w:val="995"/>
    <w:link w:val="996"/>
    <w:uiPriority w:val="99"/>
    <w:qFormat/>
    <w:rPr>
      <w:rFonts w:ascii="Calibri" w:hAnsi="Calibri" w:cs="Calibri"/>
      <w:sz w:val="22"/>
      <w:szCs w:val="22"/>
      <w:lang w:eastAsia="zh-CN" w:bidi="ar-SA"/>
    </w:rPr>
  </w:style>
  <w:style w:type="character" w:styleId="996">
    <w:name w:val="Без интервала Знак"/>
    <w:next w:val="996"/>
    <w:link w:val="995"/>
    <w:uiPriority w:val="99"/>
    <w:rPr>
      <w:rFonts w:ascii="Calibri" w:hAnsi="Calibri" w:cs="Calibri"/>
      <w:sz w:val="22"/>
      <w:szCs w:val="22"/>
      <w:lang w:eastAsia="zh-CN" w:bidi="ar-SA"/>
    </w:rPr>
  </w:style>
  <w:style w:type="paragraph" w:styleId="997">
    <w:name w:val="Обычный (веб)"/>
    <w:basedOn w:val="943"/>
    <w:next w:val="997"/>
    <w:link w:val="9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998">
    <w:name w:val="Строгий"/>
    <w:next w:val="998"/>
    <w:link w:val="943"/>
    <w:qFormat/>
    <w:rPr>
      <w:rFonts w:cs="Times New Roman"/>
      <w:b/>
      <w:bCs/>
    </w:rPr>
  </w:style>
  <w:style w:type="paragraph" w:styleId="999">
    <w:name w:val="Основной текст с отступом 3"/>
    <w:basedOn w:val="943"/>
    <w:next w:val="999"/>
    <w:link w:val="943"/>
    <w:pPr>
      <w:ind w:left="283"/>
      <w:spacing w:after="120" w:line="240" w:lineRule="auto"/>
    </w:pPr>
    <w:rPr>
      <w:rFonts w:ascii="Times New Roman" w:hAnsi="Times New Roman" w:eastAsia="Calibri"/>
      <w:sz w:val="16"/>
      <w:szCs w:val="16"/>
      <w:lang w:val="en-US" w:eastAsia="en-US"/>
    </w:rPr>
  </w:style>
  <w:style w:type="paragraph" w:styleId="1000">
    <w:name w:val="Абзац списка,фото,Рисунок,ТЗ список,Абзац списка литеральный,Абзац списка с маркерами,Medium Grid 1 Accent 2,Цветной список - Акцент 11,Bullet List,FooterText,numbered,Paragraphe de liste1,lp1,List Paragraph1,it_List1,ПС - Нумерованный,перечисление"/>
    <w:basedOn w:val="943"/>
    <w:next w:val="1000"/>
    <w:link w:val="1028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Calibri"/>
      <w:sz w:val="28"/>
      <w:lang w:val="en-US"/>
    </w:rPr>
  </w:style>
  <w:style w:type="paragraph" w:styleId="1001">
    <w:name w:val="Таблицы (моноширинный)"/>
    <w:basedOn w:val="943"/>
    <w:next w:val="943"/>
    <w:link w:val="943"/>
    <w:pPr>
      <w:jc w:val="both"/>
      <w:spacing w:after="0" w:line="240" w:lineRule="auto"/>
      <w:widowControl w:val="off"/>
    </w:pPr>
    <w:rPr>
      <w:rFonts w:ascii="Courier New" w:hAnsi="Courier New"/>
      <w:sz w:val="20"/>
      <w:szCs w:val="20"/>
      <w:lang w:eastAsia="ru-RU"/>
    </w:rPr>
  </w:style>
  <w:style w:type="paragraph" w:styleId="1002">
    <w:name w:val="ConsNormal"/>
    <w:next w:val="1002"/>
    <w:link w:val="1027"/>
    <w:uiPriority w:val="99"/>
    <w:pPr>
      <w:ind w:firstLine="720"/>
      <w:widowControl w:val="off"/>
    </w:pPr>
    <w:rPr>
      <w:rFonts w:ascii="Consultant" w:hAnsi="Consultant"/>
      <w:lang w:val="ru-RU" w:eastAsia="ru-RU" w:bidi="ar-SA"/>
    </w:rPr>
  </w:style>
  <w:style w:type="paragraph" w:styleId="1003">
    <w:name w:val="Normal1"/>
    <w:next w:val="1003"/>
    <w:link w:val="1004"/>
    <w:pPr>
      <w:ind w:firstLine="720"/>
      <w:widowControl w:val="off"/>
    </w:pPr>
    <w:rPr>
      <w:lang w:val="ru-RU" w:eastAsia="ru-RU" w:bidi="ar-SA"/>
    </w:rPr>
  </w:style>
  <w:style w:type="character" w:styleId="1004">
    <w:name w:val="Normal Знак"/>
    <w:next w:val="1004"/>
    <w:link w:val="1003"/>
    <w:rPr>
      <w:lang w:val="ru-RU" w:eastAsia="ru-RU" w:bidi="ar-SA"/>
    </w:rPr>
  </w:style>
  <w:style w:type="character" w:styleId="1005">
    <w:name w:val="Font Style24"/>
    <w:next w:val="1005"/>
    <w:link w:val="943"/>
    <w:rPr>
      <w:rFonts w:ascii="Times New Roman" w:hAnsi="Times New Roman"/>
      <w:sz w:val="22"/>
    </w:rPr>
  </w:style>
  <w:style w:type="paragraph" w:styleId="1006">
    <w:name w:val="ConsPlusTitle"/>
    <w:next w:val="1006"/>
    <w:link w:val="943"/>
    <w:pPr>
      <w:widowControl w:val="off"/>
    </w:pPr>
    <w:rPr>
      <w:b/>
      <w:sz w:val="24"/>
      <w:lang w:val="ru-RU" w:eastAsia="ru-RU" w:bidi="ar-SA"/>
    </w:rPr>
  </w:style>
  <w:style w:type="paragraph" w:styleId="1007">
    <w:name w:val="Основной текст 21"/>
    <w:basedOn w:val="943"/>
    <w:next w:val="1007"/>
    <w:link w:val="943"/>
    <w:pPr>
      <w:spacing w:after="120" w:line="48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1008">
    <w:name w:val="Обычный + по ширине"/>
    <w:basedOn w:val="943"/>
    <w:next w:val="1008"/>
    <w:link w:val="943"/>
    <w:uiPriority w:val="99"/>
    <w:pPr>
      <w:jc w:val="both"/>
      <w:spacing w:after="0" w:line="240" w:lineRule="auto"/>
    </w:pPr>
    <w:rPr>
      <w:rFonts w:ascii="Times New Roman" w:hAnsi="Times New Roman" w:eastAsia="Calibri"/>
      <w:sz w:val="24"/>
      <w:szCs w:val="24"/>
      <w:lang w:eastAsia="ru-RU"/>
    </w:rPr>
  </w:style>
  <w:style w:type="paragraph" w:styleId="1009">
    <w:name w:val="Стандартный HTML"/>
    <w:basedOn w:val="943"/>
    <w:next w:val="1009"/>
    <w:link w:val="943"/>
    <w:pPr>
      <w:jc w:val="both"/>
      <w:spacing w:after="6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  <w:lang w:val="en-US" w:eastAsia="en-US"/>
    </w:rPr>
  </w:style>
  <w:style w:type="character" w:styleId="1010">
    <w:name w:val="Font Style22"/>
    <w:next w:val="1010"/>
    <w:link w:val="943"/>
    <w:rPr>
      <w:rFonts w:ascii="Times New Roman" w:hAnsi="Times New Roman" w:cs="Times New Roman"/>
      <w:sz w:val="22"/>
      <w:szCs w:val="22"/>
    </w:rPr>
  </w:style>
  <w:style w:type="paragraph" w:styleId="1011">
    <w:name w:val="ConsPlusCell"/>
    <w:next w:val="1011"/>
    <w:link w:val="943"/>
    <w:uiPriority w:val="99"/>
    <w:pPr>
      <w:widowControl w:val="off"/>
    </w:pPr>
    <w:rPr>
      <w:rFonts w:ascii="Calibri" w:hAnsi="Calibri" w:cs="Calibri"/>
      <w:sz w:val="22"/>
      <w:szCs w:val="22"/>
      <w:lang w:val="ru-RU" w:eastAsia="ar-SA" w:bidi="ar-SA"/>
    </w:rPr>
  </w:style>
  <w:style w:type="character" w:styleId="1012">
    <w:name w:val="Font Style12"/>
    <w:next w:val="1012"/>
    <w:link w:val="943"/>
    <w:rPr>
      <w:rFonts w:ascii="Times New Roman" w:hAnsi="Times New Roman" w:cs="Times New Roman"/>
      <w:sz w:val="22"/>
      <w:szCs w:val="22"/>
    </w:rPr>
  </w:style>
  <w:style w:type="paragraph" w:styleId="1013">
    <w:name w:val="Основной текст с отступом 31"/>
    <w:basedOn w:val="943"/>
    <w:next w:val="1013"/>
    <w:link w:val="943"/>
    <w:pPr>
      <w:ind w:left="283"/>
      <w:jc w:val="both"/>
      <w:spacing w:after="120" w:line="240" w:lineRule="auto"/>
    </w:pPr>
    <w:rPr>
      <w:rFonts w:ascii="Times New Roman" w:hAnsi="Times New Roman"/>
      <w:sz w:val="16"/>
      <w:szCs w:val="20"/>
      <w:lang w:eastAsia="ar-SA"/>
    </w:rPr>
  </w:style>
  <w:style w:type="character" w:styleId="1014">
    <w:name w:val="Знак примечания"/>
    <w:next w:val="1014"/>
    <w:link w:val="943"/>
    <w:uiPriority w:val="99"/>
    <w:unhideWhenUsed/>
    <w:rPr>
      <w:sz w:val="16"/>
      <w:szCs w:val="16"/>
    </w:rPr>
  </w:style>
  <w:style w:type="character" w:styleId="1015">
    <w:name w:val="Текст примечания Знак"/>
    <w:next w:val="1015"/>
    <w:link w:val="1016"/>
    <w:uiPriority w:val="99"/>
    <w:rPr>
      <w:rFonts w:ascii="Calibri" w:hAnsi="Calibri" w:eastAsia="Calibri"/>
      <w:lang w:eastAsia="en-US"/>
    </w:rPr>
  </w:style>
  <w:style w:type="paragraph" w:styleId="1016">
    <w:name w:val="Текст примечания"/>
    <w:basedOn w:val="943"/>
    <w:next w:val="1016"/>
    <w:link w:val="1015"/>
    <w:uiPriority w:val="99"/>
    <w:unhideWhenUsed/>
    <w:rPr>
      <w:rFonts w:eastAsia="Calibri"/>
      <w:sz w:val="20"/>
      <w:szCs w:val="20"/>
      <w:lang w:val="en-US"/>
    </w:rPr>
  </w:style>
  <w:style w:type="character" w:styleId="1017">
    <w:name w:val="Тема примечания Знак"/>
    <w:next w:val="1017"/>
    <w:link w:val="1018"/>
    <w:uiPriority w:val="99"/>
    <w:rPr>
      <w:rFonts w:ascii="Calibri" w:hAnsi="Calibri" w:eastAsia="Calibri"/>
      <w:b/>
      <w:bCs/>
      <w:lang w:eastAsia="en-US"/>
    </w:rPr>
  </w:style>
  <w:style w:type="paragraph" w:styleId="1018">
    <w:name w:val="Тема примечания"/>
    <w:basedOn w:val="1016"/>
    <w:next w:val="1016"/>
    <w:link w:val="1017"/>
    <w:uiPriority w:val="99"/>
    <w:unhideWhenUsed/>
    <w:rPr>
      <w:b/>
      <w:bCs/>
    </w:rPr>
  </w:style>
  <w:style w:type="character" w:styleId="1019">
    <w:name w:val="Верхний колонтитул Знак"/>
    <w:next w:val="1019"/>
    <w:link w:val="1020"/>
    <w:rPr>
      <w:rFonts w:ascii="Calibri" w:hAnsi="Calibri" w:eastAsia="Calibri"/>
      <w:sz w:val="22"/>
      <w:szCs w:val="22"/>
      <w:lang w:eastAsia="en-US"/>
    </w:rPr>
  </w:style>
  <w:style w:type="paragraph" w:styleId="1020">
    <w:name w:val="Верхний колонтитул"/>
    <w:basedOn w:val="943"/>
    <w:next w:val="1020"/>
    <w:link w:val="1019"/>
    <w:unhideWhenUsed/>
    <w:pPr>
      <w:tabs>
        <w:tab w:val="center" w:pos="4677" w:leader="none"/>
        <w:tab w:val="right" w:pos="9355" w:leader="none"/>
      </w:tabs>
    </w:pPr>
    <w:rPr>
      <w:rFonts w:eastAsia="Calibri"/>
      <w:lang w:val="en-US"/>
    </w:rPr>
  </w:style>
  <w:style w:type="paragraph" w:styleId="1021">
    <w:name w:val="Абзац списка2"/>
    <w:basedOn w:val="943"/>
    <w:next w:val="1021"/>
    <w:link w:val="943"/>
    <w:pPr>
      <w:ind w:left="720"/>
      <w:spacing w:after="0" w:line="240" w:lineRule="auto"/>
    </w:pPr>
    <w:rPr>
      <w:rFonts w:cs="Calibri"/>
    </w:rPr>
  </w:style>
  <w:style w:type="character" w:styleId="1022">
    <w:name w:val="Заголовок 5 Знак"/>
    <w:next w:val="1022"/>
    <w:link w:val="947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character" w:styleId="1023">
    <w:name w:val="Слабое выделение"/>
    <w:next w:val="1023"/>
    <w:link w:val="943"/>
    <w:uiPriority w:val="19"/>
    <w:qFormat/>
    <w:rPr>
      <w:i/>
      <w:iCs/>
      <w:color w:val="808080"/>
    </w:rPr>
  </w:style>
  <w:style w:type="character" w:styleId="1024">
    <w:name w:val="Заголовок 6 Знак"/>
    <w:next w:val="1024"/>
    <w:link w:val="948"/>
    <w:rPr>
      <w:b/>
      <w:bCs/>
      <w:sz w:val="22"/>
      <w:szCs w:val="22"/>
      <w:lang w:eastAsia="ar-SA"/>
    </w:rPr>
  </w:style>
  <w:style w:type="paragraph" w:styleId="1025">
    <w:name w:val="Содержимое таблицы"/>
    <w:basedOn w:val="943"/>
    <w:next w:val="1025"/>
    <w:link w:val="943"/>
    <w:pPr>
      <w:spacing w:after="0" w:line="240" w:lineRule="auto"/>
      <w:widowControl w:val="off"/>
      <w:suppressLineNumbers/>
    </w:pPr>
    <w:rPr>
      <w:rFonts w:ascii="Times New Roman" w:hAnsi="Times New Roman" w:eastAsia="Lucida Sans Unicode" w:cs="Lucida Sans Unicode"/>
      <w:sz w:val="24"/>
      <w:szCs w:val="24"/>
      <w:lang w:eastAsia="ru-RU" w:bidi="ru-RU"/>
    </w:rPr>
  </w:style>
  <w:style w:type="paragraph" w:styleId="1026">
    <w:name w:val="Без интервала1"/>
    <w:next w:val="1026"/>
    <w:link w:val="943"/>
    <w:pPr>
      <w:spacing w:line="100" w:lineRule="atLeast"/>
    </w:pPr>
    <w:rPr>
      <w:rFonts w:ascii="Calibri" w:hAnsi="Calibri" w:eastAsia="Calibri"/>
      <w:sz w:val="22"/>
      <w:szCs w:val="22"/>
      <w:lang w:val="ru-RU" w:eastAsia="ar-SA" w:bidi="ar-SA"/>
    </w:rPr>
  </w:style>
  <w:style w:type="character" w:styleId="1027">
    <w:name w:val="ConsNormal Знак"/>
    <w:next w:val="1027"/>
    <w:link w:val="1002"/>
    <w:uiPriority w:val="99"/>
    <w:rPr>
      <w:rFonts w:ascii="Consultant" w:hAnsi="Consultant"/>
      <w:lang w:val="ru-RU" w:eastAsia="ru-RU" w:bidi="ar-SA"/>
    </w:rPr>
  </w:style>
  <w:style w:type="character" w:styleId="1028">
    <w:name w:val="Абзац списка Знак,фото Знак,Рисунок Знак,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"/>
    <w:next w:val="1028"/>
    <w:link w:val="1000"/>
    <w:uiPriority w:val="34"/>
    <w:qFormat/>
    <w:rPr>
      <w:rFonts w:eastAsia="Calibri"/>
      <w:sz w:val="28"/>
      <w:szCs w:val="22"/>
      <w:lang w:eastAsia="en-US"/>
    </w:rPr>
  </w:style>
  <w:style w:type="character" w:styleId="1029">
    <w:name w:val="apple-style-span"/>
    <w:basedOn w:val="949"/>
    <w:next w:val="1029"/>
    <w:link w:val="943"/>
  </w:style>
  <w:style w:type="character" w:styleId="1030">
    <w:name w:val="Основной текст + 8 pt;Полужирный"/>
    <w:next w:val="1030"/>
    <w:link w:val="943"/>
    <w:rPr>
      <w:rFonts w:ascii="Times New Roman" w:hAnsi="Times New Roman" w:eastAsia="Times New Roman" w:cs="Times New Roman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1031">
    <w:name w:val="Основной текст + Palatino Linotype"/>
    <w:next w:val="1031"/>
    <w:link w:val="943"/>
    <w:rPr>
      <w:rFonts w:ascii="Palatino Linotype" w:hAnsi="Palatino Linotype" w:eastAsia="Palatino Linotype" w:cs="Palatino Linotype"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styleId="1032">
    <w:name w:val="doc__title_important"/>
    <w:next w:val="1032"/>
    <w:link w:val="943"/>
  </w:style>
  <w:style w:type="paragraph" w:styleId="1033">
    <w:name w:val="Пункт"/>
    <w:basedOn w:val="943"/>
    <w:next w:val="1033"/>
    <w:link w:val="943"/>
    <w:pPr>
      <w:ind w:left="1404" w:hanging="504"/>
      <w:jc w:val="both"/>
      <w:spacing w:after="0" w:line="240" w:lineRule="auto"/>
      <w:tabs>
        <w:tab w:val="num" w:pos="1980" w:leader="none"/>
      </w:tabs>
    </w:pPr>
    <w:rPr>
      <w:rFonts w:ascii="Times New Roman" w:hAnsi="Times New Roman" w:eastAsia="Calibri"/>
      <w:sz w:val="24"/>
      <w:szCs w:val="28"/>
      <w:lang w:eastAsia="ru-RU"/>
    </w:rPr>
  </w:style>
  <w:style w:type="character" w:styleId="1034" w:default="1">
    <w:name w:val="Default Paragraph Font"/>
    <w:uiPriority w:val="1"/>
    <w:semiHidden/>
    <w:unhideWhenUsed/>
  </w:style>
  <w:style w:type="numbering" w:styleId="1035" w:default="1">
    <w:name w:val="No List"/>
    <w:uiPriority w:val="99"/>
    <w:semiHidden/>
    <w:unhideWhenUsed/>
  </w:style>
  <w:style w:type="table" w:styleId="103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А Ю</dc:title>
  <dc:creator>ndy</dc:creator>
  <cp:revision>23</cp:revision>
  <dcterms:created xsi:type="dcterms:W3CDTF">2025-05-12T06:35:00Z</dcterms:created>
  <dcterms:modified xsi:type="dcterms:W3CDTF">2026-08-04T03:28:03Z</dcterms:modified>
  <cp:version>786432</cp:version>
</cp:coreProperties>
</file>