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Обоснование начальной (максимальной) цены контракта,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начальных цен единиц товара, работы, услуги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vertAnchor="text" w:horzAnchor="margin" w:leftFromText="180" w:rightFromText="180" w:tblpX="0" w:tblpY="38"/>
        <w:tblW w:w="15442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firstRow="0" w:noVBand="0" w:lastRow="0" w:firstColumn="0" w:lastColumn="0" w:noHBand="0"/>
      </w:tblPr>
      <w:tblGrid>
        <w:gridCol w:w="736"/>
        <w:gridCol w:w="4537"/>
        <w:gridCol w:w="10169"/>
      </w:tblGrid>
      <w:tr>
        <w:trPr>
          <w:trHeight w:val="113" w:hRule="atLeast"/>
        </w:trPr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приложению №1 «Описание объекта закупки и количество».</w:t>
            </w:r>
          </w:p>
        </w:tc>
      </w:tr>
      <w:tr>
        <w:trPr/>
        <w:tc>
          <w:tcPr>
            <w:tcW w:w="5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Используемый метод определения с обоснованием:</w:t>
            </w:r>
          </w:p>
        </w:tc>
        <w:tc>
          <w:tcPr>
            <w:tcW w:w="10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НМЦК иным методом на основании ч.12 ст.22 Федерального закона от 05.04.2013 №44-ФЗ</w:t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Расчет</w:t>
            </w:r>
          </w:p>
        </w:tc>
        <w:tc>
          <w:tcPr>
            <w:tcW w:w="14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формирования НМЦК ГУЗ «УОКЦСВМП» было получено три цены услуг, предлагаемых различными исполнителями:</w:t>
            </w:r>
          </w:p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 xml:space="preserve">1)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№ 1 коммерческое предложение </w:t>
            </w: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 xml:space="preserve"> № 101 от 07.08.2026 г. (Вход. № 749 от 07.08.2026 г. в ответ на исход. № 2722/39-25 от 07.08.2026 г.);</w:t>
            </w:r>
          </w:p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2)   Исполнитель № 2 коммерческое предложение № 125/08-26 от 07.08.2026 г. (Вход. № 758 от 07.08.2026 г. в ответ на исход. № 2720/39-25 от 07.08.2026 г.);</w:t>
            </w:r>
          </w:p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3)  Исполнитель №3 коммерческое предложение № 12  от 10.08.2026 г. (Вход. № 759 от 10.08.2026 г. в ответ на исход. № 2721/39-25 от 07.08.2026 г.);</w:t>
            </w:r>
          </w:p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Применение корректирующих коэффициентов не требуется.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tbl>
            <w:tblPr>
              <w:tblW w:w="14344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firstRow="0" w:noVBand="0" w:lastRow="0" w:firstColumn="0" w:lastColumn="0" w:noHBand="0"/>
            </w:tblPr>
            <w:tblGrid>
              <w:gridCol w:w="345"/>
              <w:gridCol w:w="5775"/>
              <w:gridCol w:w="630"/>
              <w:gridCol w:w="674"/>
              <w:gridCol w:w="1426"/>
              <w:gridCol w:w="1529"/>
              <w:gridCol w:w="1351"/>
              <w:gridCol w:w="1080"/>
              <w:gridCol w:w="1534"/>
            </w:tblGrid>
            <w:tr>
              <w:trPr>
                <w:trHeight w:val="352" w:hRule="atLeast"/>
              </w:trPr>
              <w:tc>
                <w:tcPr>
                  <w:tcW w:w="3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57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услуги</w:t>
                  </w:r>
                </w:p>
              </w:tc>
              <w:tc>
                <w:tcPr>
                  <w:tcW w:w="6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Ед. </w:t>
                    <w:br/>
                    <w:t>изм.</w:t>
                  </w:r>
                </w:p>
              </w:tc>
              <w:tc>
                <w:tcPr>
                  <w:tcW w:w="67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Кол-</w:t>
                    <w:br/>
                    <w:t>во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Исполнитель №1</w:t>
                  </w:r>
                </w:p>
              </w:tc>
              <w:tc>
                <w:tcPr>
                  <w:tcW w:w="1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Исполнитель №2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Исполнитель №3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Средняя цена за ед., руб.</w:t>
                  </w:r>
                </w:p>
              </w:tc>
              <w:tc>
                <w:tcPr>
                  <w:tcW w:w="15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позиции, руб.</w:t>
                  </w:r>
                </w:p>
              </w:tc>
            </w:tr>
            <w:tr>
              <w:trPr>
                <w:trHeight w:val="93" w:hRule="atLeast"/>
              </w:trPr>
              <w:tc>
                <w:tcPr>
                  <w:tcW w:w="34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57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63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67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Цена, руб.</w:t>
                  </w:r>
                </w:p>
              </w:tc>
              <w:tc>
                <w:tcPr>
                  <w:tcW w:w="1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Цена, руб.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Цена, руб.</w:t>
                  </w:r>
                </w:p>
              </w:tc>
              <w:tc>
                <w:tcPr>
                  <w:tcW w:w="108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53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982" w:hRule="atLeast"/>
              </w:trPr>
              <w:tc>
                <w:tcPr>
                  <w:tcW w:w="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both"/>
                    <w:rPr/>
                  </w:pPr>
                  <w:r>
                    <w:rPr>
                      <w:rStyle w:val="Style14"/>
                      <w:rFonts w:ascii="PT Astra Serif" w:hAnsi="PT Astra Serif"/>
                      <w:sz w:val="20"/>
                      <w:szCs w:val="20"/>
                    </w:rPr>
                    <w:t>Проверка сметной документации и  определение вида ремонтных работ (текущий или капитальный): Выполнение работ по ремонту здание стационара по адресу: Российская Федерация, г.Ульяновск ул. Рылеева д.30/30(водосточных систем)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6 750,00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shd w:fill="FFFFFF" w:val="clear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shd w:fill="FFFFFF" w:val="clear"/>
                    </w:rPr>
                    <w:t>11 250,00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6 750,00</w:t>
                  </w:r>
                </w:p>
              </w:tc>
            </w:tr>
            <w:tr>
              <w:trPr>
                <w:trHeight w:val="1060" w:hRule="atLeast"/>
              </w:trPr>
              <w:tc>
                <w:tcPr>
                  <w:tcW w:w="3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5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Проверка сметной документации и  определение вида ремонтных работ (текущий или капитальный): Выполнение работ по ремонту здания главного корпуса по адресу: Российская Федерация г. Ульяновск ул. Корюкина д.28,(водосточных систем)</w:t>
                  </w:r>
                </w:p>
              </w:tc>
              <w:tc>
                <w:tcPr>
                  <w:tcW w:w="63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3 700,00</w:t>
                  </w:r>
                </w:p>
              </w:tc>
              <w:tc>
                <w:tcPr>
                  <w:tcW w:w="13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shd w:fill="FFFFFF" w:val="clear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10 233,33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3 700,00</w:t>
                  </w:r>
                </w:p>
              </w:tc>
            </w:tr>
            <w:tr>
              <w:trPr>
                <w:trHeight w:val="1059" w:hRule="atLeast"/>
              </w:trPr>
              <w:tc>
                <w:tcPr>
                  <w:tcW w:w="3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5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both"/>
                    <w:rPr/>
                  </w:pPr>
                  <w:r>
                    <w:rPr>
                      <w:rStyle w:val="Style14"/>
                      <w:rFonts w:ascii="PT Astra Serif" w:hAnsi="PT Astra Serif"/>
                      <w:sz w:val="20"/>
                      <w:szCs w:val="20"/>
                    </w:rPr>
                    <w:t>П</w:t>
                  </w:r>
                  <w:r>
                    <w:rPr>
                      <w:rStyle w:val="Style14"/>
                      <w:rFonts w:ascii="PT Astra Serif" w:hAnsi="PT Astra Serif"/>
                      <w:sz w:val="20"/>
                      <w:szCs w:val="20"/>
                    </w:rPr>
                    <w:t>роверка сметной документации и  определение вида ремонтных работ (текущий или капитальный): Техническое обслуживание систем вентиляции ГУЗ "УОКЦСВМП" по адресу: г.Ульяновск ул. Рылеева д.30/30, здание главного корпуса</w:t>
                  </w:r>
                </w:p>
              </w:tc>
              <w:tc>
                <w:tcPr>
                  <w:tcW w:w="63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2 900,00</w:t>
                  </w:r>
                </w:p>
              </w:tc>
              <w:tc>
                <w:tcPr>
                  <w:tcW w:w="13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shd w:fill="FFFFFF" w:val="clear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9 966,67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2 900,00</w:t>
                  </w:r>
                </w:p>
              </w:tc>
            </w:tr>
            <w:tr>
              <w:trPr>
                <w:trHeight w:val="999" w:hRule="atLeast"/>
              </w:trPr>
              <w:tc>
                <w:tcPr>
                  <w:tcW w:w="3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5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Проверка сметной документации и  определение вида ремонтных работ (текущий или капитальный): Выполнение огнезащитной обработки деревянных конструкций кровли здание главного корпуса ГУЗ  «УОКЦСВМП» по адресу г. Ульяновск ул. Рылеева 30/30 (чердачное помещение)</w:t>
                  </w:r>
                </w:p>
              </w:tc>
              <w:tc>
                <w:tcPr>
                  <w:tcW w:w="63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2 700,00</w:t>
                  </w:r>
                </w:p>
              </w:tc>
              <w:tc>
                <w:tcPr>
                  <w:tcW w:w="13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  <w:shd w:fill="FFFFFF" w:val="clear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highlight w:val="none"/>
                      <w:shd w:fill="FFFFFF" w:val="clear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9 900,00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2 700,00</w:t>
                  </w:r>
                </w:p>
              </w:tc>
            </w:tr>
            <w:tr>
              <w:trPr>
                <w:trHeight w:val="999" w:hRule="atLeast"/>
              </w:trPr>
              <w:tc>
                <w:tcPr>
                  <w:tcW w:w="3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5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Проверка сметной документации и  определение вида ремонтных работ (текущий или капитальный): Выполнение огнезащитной обработки деревянных конструкций кровли здание стационара ГУЗ  «УОКЦСВМП» по адресу г. Ульяновск ул. Рылеева 30/30 (чердачное помещение)</w:t>
                  </w:r>
                </w:p>
              </w:tc>
              <w:tc>
                <w:tcPr>
                  <w:tcW w:w="63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2 700,00</w:t>
                  </w:r>
                </w:p>
              </w:tc>
              <w:tc>
                <w:tcPr>
                  <w:tcW w:w="13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highlight w:val="none"/>
                      <w:shd w:fill="FFFFFF" w:val="clear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9 900,00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2 700,00</w:t>
                  </w:r>
                </w:p>
              </w:tc>
            </w:tr>
            <w:tr>
              <w:trPr>
                <w:trHeight w:val="999" w:hRule="atLeast"/>
              </w:trPr>
              <w:tc>
                <w:tcPr>
                  <w:tcW w:w="3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5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bidi w:val="0"/>
                    <w:spacing w:lineRule="auto" w:line="240" w:before="0" w:after="0"/>
                    <w:jc w:val="left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0"/>
                      <w:szCs w:val="20"/>
                      <w:u w:val="none"/>
                      <w:em w:val="none"/>
                    </w:rPr>
                    <w:t>Проверка сметной документации и  определение вида ремонтных работ (текущий или капитальный):Выполнение огнезащитной обработки деревянных конструкций кровли здание ГУЗ «УОКЦСВМП» по адресу г. Ульяновск ул. Рылеева 39/1А (чердачное помещение</w:t>
                  </w:r>
                  <w:r>
                    <w:rPr>
                      <w:rFonts w:ascii="PT Astra Serif" w:hAnsi="PT Astra Serif"/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0"/>
                      <w:szCs w:val="20"/>
                      <w:u w:val="none"/>
                      <w:em w:val="none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 w:eastAsia="BatangChe"/>
                      <w:sz w:val="20"/>
                      <w:szCs w:val="20"/>
                    </w:rPr>
                  </w:pPr>
                  <w:r>
                    <w:rPr>
                      <w:rFonts w:eastAsia="BatangChe" w:ascii="Times New Roman" w:hAnsi="Times New Roman"/>
                      <w:sz w:val="20"/>
                      <w:szCs w:val="20"/>
                    </w:rPr>
                    <w:t>усл.ед</w:t>
                  </w:r>
                </w:p>
              </w:tc>
              <w:tc>
                <w:tcPr>
                  <w:tcW w:w="6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52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2 700,00</w:t>
                  </w:r>
                </w:p>
              </w:tc>
              <w:tc>
                <w:tcPr>
                  <w:tcW w:w="135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20 000,00</w:t>
                  </w:r>
                </w:p>
              </w:tc>
              <w:tc>
                <w:tcPr>
                  <w:tcW w:w="108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highlight w:val="none"/>
                      <w:shd w:fill="FFFFFF" w:val="clear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shd w:fill="FFFFFF" w:val="clear"/>
                    </w:rPr>
                    <w:t>9 900,00</w:t>
                  </w:r>
                </w:p>
              </w:tc>
              <w:tc>
                <w:tcPr>
                  <w:tcW w:w="153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2 700,00</w:t>
                  </w:r>
                </w:p>
              </w:tc>
            </w:tr>
            <w:tr>
              <w:trPr>
                <w:trHeight w:val="178" w:hRule="atLeast"/>
              </w:trPr>
              <w:tc>
                <w:tcPr>
                  <w:tcW w:w="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5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4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21 450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120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 xml:space="preserve"> 000,00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  <w:shd w:fill="FFFFFF" w:val="clear"/>
                    </w:rPr>
                    <w:t>61 150,00</w:t>
                  </w:r>
                </w:p>
              </w:tc>
              <w:tc>
                <w:tcPr>
                  <w:tcW w:w="1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Spacing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  <w:lang w:val="ru-RU"/>
                    </w:rPr>
                    <w:t>21 45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  <w:r>
                    <w:rPr>
                      <w:rFonts w:ascii="PT Astra Serif" w:hAnsi="PT Astra Serif"/>
                      <w:b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</w:tbl>
          <w:p>
            <w:pPr>
              <w:pStyle w:val="NoSpacing"/>
              <w:jc w:val="both"/>
              <w:rPr>
                <w:rFonts w:ascii="Times New Roman" w:hAnsi="Times New Roman" w:eastAsia="BatangChe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(анализа рынка) на основании ч.6 ст.22 Федерального закона от 05.04.2013 № 44-ФЗ.  Заказчик не имеет возможности применить, т.к. НМЦК, рассчитанная данным методом, превышает объем финансового обеспечения для осуществления соответствующей закупки. В связи с этим Заказчик для расчета принимает определение НМЦК иным методом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методом минимального ценового предложения, предложенного Исполнителем 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eastAsia="BatangChe"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eastAsia="BatangChe" w:ascii="PT Astra Serif" w:hAnsi="PT Astra Serif"/>
                <w:b/>
                <w:color w:val="000000"/>
                <w:sz w:val="20"/>
                <w:szCs w:val="20"/>
                <w:lang w:val="ru-RU"/>
              </w:rPr>
              <w:t>21 45</w:t>
            </w:r>
            <w:r>
              <w:rPr>
                <w:rFonts w:eastAsia="BatangChe" w:ascii="PT Astra Serif" w:hAnsi="PT Astra Serif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eastAsia="BatangChe" w:ascii="PT Astra Serif" w:hAnsi="PT Astra Serif"/>
                <w:b/>
                <w:color w:val="000000"/>
                <w:sz w:val="20"/>
                <w:szCs w:val="20"/>
              </w:rPr>
              <w:t>,00</w:t>
            </w:r>
            <w:r>
              <w:rPr>
                <w:rFonts w:eastAsia="BatangChe"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BatangChe"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>
        <w:trPr/>
        <w:tc>
          <w:tcPr>
            <w:tcW w:w="15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Дата подготовки обоснования: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11.08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.2026г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</w:tbl>
    <w:p>
      <w:pPr>
        <w:pStyle w:val="Normal"/>
        <w:tabs>
          <w:tab w:val="clear" w:pos="708"/>
          <w:tab w:val="left" w:pos="13438" w:leader="none"/>
        </w:tabs>
        <w:spacing w:lineRule="auto" w:line="240" w:before="0" w:after="0"/>
        <w:ind w:right="3720"/>
        <w:jc w:val="both"/>
        <w:rPr>
          <w:rFonts w:ascii="Times New Roman" w:hAnsi="Times New Roman"/>
          <w:b/>
          <w:bCs/>
          <w:sz w:val="20"/>
          <w:szCs w:val="20"/>
        </w:rPr>
      </w:pPr>
      <w:r/>
      <w:r>
        <w:rPr>
          <w:rFonts w:ascii="Times New Roman" w:hAnsi="Times New Roman"/>
          <w:b/>
          <w:bCs/>
          <w:sz w:val="20"/>
          <w:szCs w:val="20"/>
        </w:rPr>
        <w:t xml:space="preserve">          </w:t>
      </w:r>
      <w:r>
        <w:rPr>
          <w:rFonts w:ascii="Times New Roman" w:hAnsi="Times New Roman"/>
          <w:b/>
          <w:bCs/>
          <w:sz w:val="20"/>
          <w:szCs w:val="20"/>
        </w:rPr>
        <w:t>Руководитель контрактной службы:</w:t>
      </w:r>
    </w:p>
    <w:tbl>
      <w:tblPr>
        <w:tblW w:w="10442" w:type="dxa"/>
        <w:jc w:val="left"/>
        <w:tblInd w:w="567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firstRow="0" w:noVBand="0" w:lastRow="0" w:firstColumn="0" w:lastColumn="0" w:noHBand="0"/>
      </w:tblPr>
      <w:tblGrid>
        <w:gridCol w:w="5221"/>
        <w:gridCol w:w="5221"/>
      </w:tblGrid>
      <w:tr>
        <w:trPr/>
        <w:tc>
          <w:tcPr>
            <w:tcW w:w="522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главного врача по экономическим вопросам</w:t>
            </w:r>
          </w:p>
        </w:tc>
        <w:tc>
          <w:tcPr>
            <w:tcW w:w="522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/Стратонова Е.Н./</w:t>
            </w:r>
          </w:p>
        </w:tc>
      </w:tr>
      <w:tr>
        <w:trPr>
          <w:trHeight w:val="285" w:hRule="atLeast"/>
        </w:trPr>
        <w:tc>
          <w:tcPr>
            <w:tcW w:w="522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22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(подпись/расшифровка подписи)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vanish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Исп.: Сидорова Екатерина, 44-23-29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vanish/>
          <w:sz w:val="20"/>
          <w:szCs w:val="20"/>
        </w:rPr>
        <w:t>Медведчикова А.А, 44-23-29</w:t>
      </w:r>
    </w:p>
    <w:sectPr>
      <w:type w:val="nextPage"/>
      <w:pgSz w:orient="landscape" w:w="16838" w:h="11906"/>
      <w:pgMar w:left="1134" w:right="1134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360"/>
  <w:doNotHyphenateCap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7f4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qFormat/>
    <w:rsid w:val="004f40e4"/>
    <w:rPr>
      <w:rFonts w:ascii="Times New Roman" w:hAnsi="Times New Roman"/>
      <w:sz w:val="28"/>
    </w:rPr>
  </w:style>
  <w:style w:type="character" w:styleId="Style15" w:customStyle="1">
    <w:name w:val="Текст выноски Знак"/>
    <w:link w:val="BalloonText"/>
    <w:uiPriority w:val="99"/>
    <w:qFormat/>
    <w:rsid w:val="00b9064a"/>
    <w:rPr>
      <w:rFonts w:ascii="Segoe UI" w:hAnsi="Segoe UI" w:cs="Segoe UI"/>
      <w:sz w:val="18"/>
      <w:szCs w:val="18"/>
    </w:rPr>
  </w:style>
  <w:style w:type="character" w:styleId="sectioninfo2" w:customStyle="1">
    <w:name w:val="section__info2"/>
    <w:qFormat/>
    <w:rsid w:val="005e63b0"/>
    <w:rPr>
      <w:vanish w:val="false"/>
    </w:rPr>
  </w:style>
  <w:style w:type="character" w:styleId="Hyperlink">
    <w:name w:val="Hyperlink"/>
    <w:rsid w:val="00a923b9"/>
    <w:rPr>
      <w:color w:val="0563C1"/>
      <w:u w:val="single"/>
    </w:rPr>
  </w:style>
  <w:style w:type="character" w:styleId="cardmaininfopurchaselink2" w:customStyle="1">
    <w:name w:val="cardmaininfo__purchaselink2"/>
    <w:basedOn w:val="DefaultParagraphFont"/>
    <w:qFormat/>
    <w:rsid w:val="00bd2382"/>
    <w:rPr>
      <w:b w:val="false"/>
      <w:bCs w:val="false"/>
      <w:color w:val="0065DD"/>
      <w:sz w:val="23"/>
      <w:szCs w:val="23"/>
    </w:rPr>
  </w:style>
  <w:style w:type="character" w:styleId="Strong">
    <w:name w:val="Strong"/>
    <w:qFormat/>
    <w:locked/>
    <w:rsid w:val="00f97132"/>
    <w:rPr>
      <w:b/>
      <w:bCs/>
    </w:rPr>
  </w:style>
  <w:style w:type="character" w:styleId="Style16" w:customStyle="1">
    <w:name w:val="Без интервала Знак"/>
    <w:link w:val="NoSpacing"/>
    <w:uiPriority w:val="1"/>
    <w:qFormat/>
    <w:rsid w:val="00fd2ccb"/>
    <w:rPr>
      <w:sz w:val="22"/>
      <w:szCs w:val="22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4f40e4"/>
    <w:pPr>
      <w:spacing w:lineRule="auto" w:line="240" w:before="0" w:after="0"/>
    </w:pPr>
    <w:rPr>
      <w:rFonts w:ascii="Times New Roman" w:hAnsi="Times New Roman"/>
      <w:sz w:val="28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9" w:customStyle="1">
    <w:name w:val="Знак Знак Знак Знак Знак Знак Знак Знак Знак"/>
    <w:basedOn w:val="Normal"/>
    <w:qFormat/>
    <w:rsid w:val="00751c2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Style16"/>
    <w:uiPriority w:val="1"/>
    <w:qFormat/>
    <w:rsid w:val="0089554f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5"/>
    <w:uiPriority w:val="99"/>
    <w:qFormat/>
    <w:rsid w:val="00b906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LibreOffice/26.2.5.2$Windows_X86_64 LibreOffice_project/cd7284b4cbbfeb507e630c1aac019f4157393acb</Application>
  <AppVersion>15.0000</AppVersion>
  <Pages>2</Pages>
  <Words>508</Words>
  <Characters>3167</Characters>
  <CharactersWithSpaces>3612</CharactersWithSpaces>
  <Paragraphs>93</Paragraphs>
  <Company>ГУЗ УОБ № 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2023-08-03T07:48:00Z</dcterms:created>
  <dc:creator>Алексей</dc:creator>
  <dc:description/>
  <dc:language>ru-RU</dc:language>
  <cp:lastModifiedBy/>
  <cp:lastPrinted>2026-06-16T09:59:58Z</cp:lastPrinted>
  <dcterms:modified xsi:type="dcterms:W3CDTF">2026-08-11T08:24:52Z</dcterms:modified>
  <cp:revision>25</cp:revision>
  <dc:subject/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