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left"/>
        <w:rPr>
          <w:rFonts w:ascii="PT Astra Serif" w:hAnsi="PT Astra Serif"/>
          <w:b/>
          <w:sz w:val="20"/>
          <w:szCs w:val="20"/>
        </w:rPr>
      </w:pPr>
      <w:r>
        <w:rPr>
          <w:rFonts w:ascii="PT Astra Serif" w:hAnsi="PT Astra Serif"/>
          <w:b/>
          <w:sz w:val="20"/>
          <w:szCs w:val="20"/>
        </w:rPr>
        <w:t xml:space="preserve">ИКЗ </w:t>
      </w:r>
    </w:p>
    <w:p>
      <w:pPr>
        <w:pStyle w:val="Normal"/>
        <w:jc w:val="center"/>
        <w:rPr>
          <w:rFonts w:ascii="PT Astra Serif" w:hAnsi="PT Astra Serif"/>
          <w:sz w:val="22"/>
          <w:szCs w:val="22"/>
        </w:rPr>
      </w:pPr>
      <w:r>
        <w:rPr>
          <w:rFonts w:ascii="PT Astra Serif" w:hAnsi="PT Astra Serif"/>
          <w:b/>
          <w:sz w:val="22"/>
          <w:szCs w:val="22"/>
        </w:rPr>
        <w:t xml:space="preserve">Контракт № </w:t>
      </w:r>
    </w:p>
    <w:p>
      <w:pPr>
        <w:pStyle w:val="Normal"/>
        <w:jc w:val="center"/>
        <w:rPr>
          <w:rFonts w:ascii="PT Astra Serif" w:hAnsi="PT Astra Serif"/>
          <w:sz w:val="22"/>
          <w:szCs w:val="22"/>
        </w:rPr>
      </w:pPr>
      <w:r>
        <w:rPr>
          <w:rFonts w:ascii="PT Astra Serif" w:hAnsi="PT Astra Serif"/>
          <w:b/>
          <w:sz w:val="22"/>
          <w:szCs w:val="22"/>
        </w:rPr>
        <w:t xml:space="preserve">на оказание услуг </w:t>
      </w:r>
    </w:p>
    <w:tbl>
      <w:tblPr>
        <w:tblW w:w="9498"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351"/>
        <w:gridCol w:w="5147"/>
      </w:tblGrid>
      <w:tr>
        <w:trPr/>
        <w:tc>
          <w:tcPr>
            <w:tcW w:w="4351" w:type="dxa"/>
            <w:tcBorders/>
          </w:tcPr>
          <w:p>
            <w:pPr>
              <w:pStyle w:val="Normal"/>
              <w:spacing w:lineRule="auto" w:line="276"/>
              <w:rPr>
                <w:rFonts w:ascii="PT Astra Serif" w:hAnsi="PT Astra Serif"/>
                <w:sz w:val="22"/>
                <w:szCs w:val="22"/>
              </w:rPr>
            </w:pPr>
            <w:r>
              <w:rPr>
                <w:rFonts w:ascii="PT Astra Serif" w:hAnsi="PT Astra Serif"/>
                <w:sz w:val="22"/>
                <w:szCs w:val="22"/>
              </w:rPr>
              <w:t>г. Ульяновск</w:t>
            </w:r>
          </w:p>
        </w:tc>
        <w:tc>
          <w:tcPr>
            <w:tcW w:w="5147" w:type="dxa"/>
            <w:tcBorders/>
          </w:tcPr>
          <w:p>
            <w:pPr>
              <w:pStyle w:val="Normal"/>
              <w:spacing w:lineRule="auto" w:line="276"/>
              <w:jc w:val="right"/>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 xml:space="preserve">«___»  </w:t>
            </w:r>
            <w:r>
              <w:rPr>
                <w:rFonts w:ascii="PT Astra Serif" w:hAnsi="PT Astra Serif"/>
                <w:sz w:val="22"/>
                <w:szCs w:val="22"/>
              </w:rPr>
              <w:t>августа</w:t>
            </w:r>
            <w:r>
              <w:rPr>
                <w:rFonts w:ascii="PT Astra Serif" w:hAnsi="PT Astra Serif"/>
                <w:sz w:val="22"/>
                <w:szCs w:val="22"/>
              </w:rPr>
              <w:t xml:space="preserve">  2026 г.</w:t>
            </w:r>
          </w:p>
        </w:tc>
      </w:tr>
    </w:tbl>
    <w:p>
      <w:pPr>
        <w:pStyle w:val="Normal"/>
        <w:jc w:val="both"/>
        <w:rPr>
          <w:rFonts w:ascii="PT Astra Serif" w:hAnsi="PT Astra Serif"/>
          <w:sz w:val="22"/>
          <w:szCs w:val="22"/>
        </w:rPr>
      </w:pPr>
      <w:r>
        <w:rPr>
          <w:rFonts w:ascii="PT Astra Serif" w:hAnsi="PT Astra Serif"/>
          <w:sz w:val="22"/>
          <w:szCs w:val="22"/>
        </w:rPr>
        <w:tab/>
      </w:r>
    </w:p>
    <w:p>
      <w:pPr>
        <w:pStyle w:val="Normal"/>
        <w:jc w:val="both"/>
        <w:rPr>
          <w:rFonts w:ascii="PT Astra Serif" w:hAnsi="PT Astra Serif"/>
          <w:sz w:val="22"/>
          <w:szCs w:val="22"/>
        </w:rPr>
      </w:pPr>
      <w:r>
        <w:rPr>
          <w:rFonts w:cs="Times New Roman" w:ascii="PT Astra Serif" w:hAnsi="PT Astra Serif"/>
          <w:color w:themeColor="text1" w:val="000000"/>
          <w:sz w:val="22"/>
          <w:szCs w:val="22"/>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 Чучкалова»,</w:t>
      </w:r>
      <w:r>
        <w:rPr>
          <w:rFonts w:cs="Times New Roman" w:ascii="PT Astra Serif" w:hAnsi="PT Astra Serif"/>
          <w:b w:val="false"/>
          <w:color w:themeColor="text1" w:val="000000"/>
          <w:sz w:val="22"/>
          <w:szCs w:val="22"/>
        </w:rPr>
        <w:t xml:space="preserve"> именуемое далее «Заказчик», в лице главного врача Беззубенкова Сергея Николаевича, действующего на основании Устава</w:t>
      </w:r>
      <w:r>
        <w:rPr>
          <w:rFonts w:cs="Times New Roman" w:ascii="PT Astra Serif" w:hAnsi="PT Astra Serif"/>
          <w:b w:val="false"/>
          <w:color w:themeColor="text1" w:val="000000"/>
          <w:sz w:val="22"/>
          <w:szCs w:val="22"/>
          <w:lang w:eastAsia="ar-SA"/>
        </w:rPr>
        <w:t>,</w:t>
      </w:r>
      <w:r>
        <w:rPr>
          <w:rFonts w:cs="Times New Roman" w:ascii="PT Astra Serif" w:hAnsi="PT Astra Serif"/>
          <w:b w:val="false"/>
          <w:color w:themeColor="text1" w:val="000000"/>
          <w:sz w:val="22"/>
          <w:szCs w:val="22"/>
        </w:rPr>
        <w:t xml:space="preserve"> с одной стороны,  и ____________________________________________</w:t>
      </w:r>
      <w:r>
        <w:rPr>
          <w:rFonts w:cs="Times New Roman" w:ascii="PT Astra Serif" w:hAnsi="PT Astra Serif"/>
          <w:sz w:val="22"/>
          <w:szCs w:val="22"/>
        </w:rPr>
        <w:t xml:space="preserve">, именуемое в дальнейшем «Исполнитель», </w:t>
      </w:r>
      <w:r>
        <w:rPr>
          <w:rFonts w:cs="Times New Roman" w:ascii="PT Astra Serif" w:hAnsi="PT Astra Serif"/>
          <w:b w:val="false"/>
          <w:sz w:val="22"/>
          <w:szCs w:val="22"/>
        </w:rPr>
        <w:t>в лице _______________________________а, действующего на основании _____________________________________________________________________, с другой стороны</w:t>
      </w:r>
      <w:r>
        <w:rPr>
          <w:rFonts w:cs="Times New Roman" w:ascii="PT Astra Serif" w:hAnsi="PT Astra Serif"/>
          <w:b w:val="false"/>
          <w:color w:themeColor="text1" w:val="000000"/>
          <w:sz w:val="22"/>
          <w:szCs w:val="22"/>
        </w:rPr>
        <w:t>, совместно именуемые «Стороны» и каждый в отдельности «Сто</w:t>
      </w:r>
      <w:bookmarkStart w:id="0" w:name="_GoBack"/>
      <w:bookmarkEnd w:id="0"/>
      <w:r>
        <w:rPr>
          <w:rFonts w:cs="Times New Roman" w:ascii="PT Astra Serif" w:hAnsi="PT Astra Serif"/>
          <w:b w:val="false"/>
          <w:color w:themeColor="text1" w:val="000000"/>
          <w:sz w:val="22"/>
          <w:szCs w:val="22"/>
        </w:rPr>
        <w:t xml:space="preserve">рона», </w:t>
      </w:r>
      <w:r>
        <w:rPr>
          <w:rFonts w:cs="Times New Roman" w:ascii="PT Astra Serif" w:hAnsi="PT Astra Serif"/>
          <w:b w:val="false"/>
          <w:bCs w:val="false"/>
          <w:color w:themeColor="text1" w:val="000000"/>
          <w:sz w:val="22"/>
          <w:szCs w:val="22"/>
        </w:rPr>
        <w:t xml:space="preserve">в соответствии с п.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закупочной сессии на ЕАТ, объявленной Извещением от </w:t>
      </w:r>
      <w:r>
        <w:rPr>
          <w:rFonts w:cs="Times New Roman" w:ascii="PT Astra Serif" w:hAnsi="PT Astra Serif"/>
          <w:b/>
          <w:bCs/>
          <w:color w:themeColor="text1" w:val="000000"/>
          <w:sz w:val="22"/>
          <w:szCs w:val="22"/>
        </w:rPr>
        <w:t>«____» _____ 2026г.</w:t>
      </w:r>
      <w:r>
        <w:rPr>
          <w:rFonts w:cs="Times New Roman" w:ascii="PT Astra Serif" w:hAnsi="PT Astra Serif"/>
          <w:b w:val="false"/>
          <w:bCs w:val="false"/>
          <w:color w:themeColor="text1" w:val="000000"/>
          <w:sz w:val="22"/>
          <w:szCs w:val="22"/>
        </w:rPr>
        <w:t xml:space="preserve"> № </w:t>
      </w:r>
      <w:r>
        <w:rPr>
          <w:rFonts w:cs="Times New Roman" w:ascii="PT Astra Serif" w:hAnsi="PT Astra Serif"/>
          <w:b/>
          <w:bCs w:val="false"/>
          <w:color w:themeColor="text1" w:val="000000"/>
          <w:sz w:val="22"/>
          <w:szCs w:val="22"/>
        </w:rPr>
        <w:t>_________________________</w:t>
      </w:r>
      <w:r>
        <w:rPr>
          <w:rFonts w:cs="Times New Roman" w:ascii="PT Astra Serif" w:hAnsi="PT Astra Serif"/>
          <w:b w:val="false"/>
          <w:bCs w:val="false"/>
          <w:color w:themeColor="text1" w:val="000000"/>
          <w:sz w:val="22"/>
          <w:szCs w:val="22"/>
        </w:rPr>
        <w:t>, на основании протокола от</w:t>
      </w:r>
      <w:r>
        <w:rPr>
          <w:rFonts w:cs="Times New Roman" w:ascii="PT Astra Serif" w:hAnsi="PT Astra Serif"/>
          <w:b/>
          <w:bCs/>
          <w:color w:themeColor="text1" w:val="000000"/>
          <w:sz w:val="22"/>
          <w:szCs w:val="22"/>
        </w:rPr>
        <w:t xml:space="preserve"> «___» ______________ 2026 г. № ___________________</w:t>
      </w:r>
      <w:r>
        <w:rPr>
          <w:rFonts w:cs="Times New Roman" w:ascii="PT Astra Serif" w:hAnsi="PT Astra Serif"/>
          <w:b w:val="false"/>
          <w:bCs w:val="false"/>
          <w:color w:themeColor="text1" w:val="000000"/>
          <w:sz w:val="22"/>
          <w:szCs w:val="22"/>
        </w:rPr>
        <w:t>, заключили настоящий Контракт о нижеследующем:</w:t>
      </w:r>
    </w:p>
    <w:p>
      <w:pPr>
        <w:pStyle w:val="Normal"/>
        <w:jc w:val="center"/>
        <w:rPr>
          <w:rFonts w:ascii="PT Astra Serif" w:hAnsi="PT Astra Serif"/>
          <w:sz w:val="22"/>
          <w:szCs w:val="22"/>
        </w:rPr>
      </w:pPr>
      <w:r>
        <w:rPr>
          <w:rFonts w:ascii="PT Astra Serif" w:hAnsi="PT Astra Serif"/>
          <w:b/>
          <w:sz w:val="22"/>
          <w:szCs w:val="22"/>
        </w:rPr>
        <w:t>1</w:t>
      </w:r>
      <w:r>
        <w:rPr>
          <w:rFonts w:ascii="PT Astra Serif" w:hAnsi="PT Astra Serif"/>
          <w:sz w:val="22"/>
          <w:szCs w:val="22"/>
        </w:rPr>
        <w:t>.</w:t>
      </w:r>
      <w:r>
        <w:rPr>
          <w:rFonts w:ascii="PT Astra Serif" w:hAnsi="PT Astra Serif"/>
          <w:b/>
          <w:sz w:val="22"/>
          <w:szCs w:val="22"/>
        </w:rPr>
        <w:t>Предмет контракта</w:t>
      </w:r>
    </w:p>
    <w:p>
      <w:pPr>
        <w:pStyle w:val="BodyText3"/>
        <w:spacing w:before="0" w:after="0"/>
        <w:jc w:val="both"/>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 xml:space="preserve">1.1. Исполнитель принимает на себя обязательство оказать Заказчику услуги </w:t>
      </w:r>
      <w:r>
        <w:rPr>
          <w:rFonts w:ascii="PT Astra Serif" w:hAnsi="PT Astra Serif"/>
          <w:b/>
          <w:i/>
          <w:sz w:val="22"/>
          <w:szCs w:val="22"/>
        </w:rPr>
        <w:t xml:space="preserve">по проверке сметной документации и  определение вида ремонтных работ (текущий или капитальный): </w:t>
      </w:r>
    </w:p>
    <w:p>
      <w:pPr>
        <w:pStyle w:val="BodyText3"/>
        <w:spacing w:before="0" w:after="0"/>
        <w:jc w:val="both"/>
        <w:rPr>
          <w:rFonts w:ascii="PT Astra Serif" w:hAnsi="PT Astra Serif"/>
          <w:sz w:val="22"/>
          <w:szCs w:val="22"/>
        </w:rPr>
      </w:pPr>
      <w:r>
        <w:rPr>
          <w:rFonts w:ascii="PT Astra Serif" w:hAnsi="PT Astra Serif"/>
          <w:b/>
          <w:i/>
          <w:sz w:val="22"/>
          <w:szCs w:val="22"/>
        </w:rPr>
        <w:t>- Выполнение работ по ремонту здание стационара по адресу: Российская Федерация, г.Ульяновск ул. Рылеева д.30/30(водосточных систем);</w:t>
      </w:r>
    </w:p>
    <w:p>
      <w:pPr>
        <w:pStyle w:val="BodyText3"/>
        <w:spacing w:before="0" w:after="0"/>
        <w:jc w:val="both"/>
        <w:rPr>
          <w:rFonts w:ascii="PT Astra Serif" w:hAnsi="PT Astra Serif"/>
          <w:sz w:val="22"/>
          <w:szCs w:val="22"/>
        </w:rPr>
      </w:pPr>
      <w:r>
        <w:rPr>
          <w:rFonts w:ascii="PT Astra Serif" w:hAnsi="PT Astra Serif"/>
          <w:b/>
          <w:i/>
          <w:sz w:val="22"/>
          <w:szCs w:val="22"/>
        </w:rPr>
        <w:t>- Выполнение работ по ремонту здания главного корпуса по адресу: Российская Федерация г. Ульяновск ул. Корюкина д.28,(водосточных систем);</w:t>
      </w:r>
    </w:p>
    <w:p>
      <w:pPr>
        <w:pStyle w:val="BodyText3"/>
        <w:spacing w:before="0" w:after="0"/>
        <w:jc w:val="both"/>
        <w:rPr>
          <w:rFonts w:ascii="PT Astra Serif" w:hAnsi="PT Astra Serif"/>
          <w:sz w:val="22"/>
          <w:szCs w:val="22"/>
        </w:rPr>
      </w:pPr>
      <w:r>
        <w:rPr>
          <w:rFonts w:ascii="PT Astra Serif" w:hAnsi="PT Astra Serif"/>
          <w:b/>
          <w:i/>
          <w:sz w:val="22"/>
          <w:szCs w:val="22"/>
        </w:rPr>
        <w:t>- Техническое обслуживание систем вентиляции ГУЗ "УОКЦСВМП" по адресу: г.Ульяновск ул. Рылеева д.30/30, здание главного корпуса;</w:t>
      </w:r>
    </w:p>
    <w:p>
      <w:pPr>
        <w:pStyle w:val="BodyText3"/>
        <w:spacing w:before="0" w:after="0"/>
        <w:jc w:val="both"/>
        <w:rPr>
          <w:rFonts w:ascii="PT Astra Serif" w:hAnsi="PT Astra Serif"/>
          <w:sz w:val="22"/>
          <w:szCs w:val="22"/>
        </w:rPr>
      </w:pPr>
      <w:r>
        <w:rPr>
          <w:rFonts w:ascii="PT Astra Serif" w:hAnsi="PT Astra Serif"/>
          <w:b/>
          <w:i/>
          <w:sz w:val="22"/>
          <w:szCs w:val="22"/>
        </w:rPr>
        <w:t>- Выполнение огнезащитной обработки деревянных конструкций кровли здание главного корпуса ГУЗ  «УОКЦСВМП» по адресу г. Ульяновск ул. Рылеева 30/30 (чердачное помещение);</w:t>
      </w:r>
    </w:p>
    <w:p>
      <w:pPr>
        <w:pStyle w:val="BodyText3"/>
        <w:spacing w:before="0" w:after="0"/>
        <w:jc w:val="both"/>
        <w:rPr>
          <w:rFonts w:ascii="PT Astra Serif" w:hAnsi="PT Astra Serif"/>
          <w:sz w:val="22"/>
          <w:szCs w:val="22"/>
        </w:rPr>
      </w:pPr>
      <w:r>
        <w:rPr>
          <w:rFonts w:ascii="PT Astra Serif" w:hAnsi="PT Astra Serif"/>
          <w:b/>
          <w:i/>
          <w:sz w:val="22"/>
          <w:szCs w:val="22"/>
        </w:rPr>
        <w:t>- Выполнение огнезащитной обработки деревянных конструкций кровли здание стационара ГУЗ  «УОКЦСВМП» по адресу г. Ульяновск ул. Рылеева 30/30 (чердачное помещение);</w:t>
      </w:r>
    </w:p>
    <w:p>
      <w:pPr>
        <w:pStyle w:val="BodyText3"/>
        <w:spacing w:before="0" w:after="0"/>
        <w:jc w:val="both"/>
        <w:rPr>
          <w:rFonts w:ascii="PT Astra Serif" w:hAnsi="PT Astra Serif"/>
          <w:sz w:val="22"/>
          <w:szCs w:val="22"/>
        </w:rPr>
      </w:pPr>
      <w:r>
        <w:rPr>
          <w:rFonts w:ascii="PT Astra Serif" w:hAnsi="PT Astra Serif"/>
          <w:b/>
          <w:i/>
          <w:sz w:val="22"/>
          <w:szCs w:val="22"/>
        </w:rPr>
        <w:t>- Выполнение огнезащитной обработки деревянных конструкций кровли здание ГУЗ «УОКЦСВМП» по адресу г. Ульяновск ул. Рылеева 39/1А (чердачное помещение)</w:t>
      </w:r>
    </w:p>
    <w:p>
      <w:pPr>
        <w:pStyle w:val="Normal"/>
        <w:jc w:val="both"/>
        <w:rPr>
          <w:rFonts w:ascii="PT Astra Serif" w:hAnsi="PT Astra Serif"/>
          <w:sz w:val="22"/>
          <w:szCs w:val="22"/>
        </w:rPr>
      </w:pPr>
      <w:r>
        <w:rPr>
          <w:rFonts w:ascii="PT Astra Serif" w:hAnsi="PT Astra Serif"/>
          <w:sz w:val="22"/>
          <w:szCs w:val="22"/>
        </w:rPr>
        <w:t xml:space="preserve">1.2. </w:t>
      </w:r>
      <w:r>
        <w:rPr>
          <w:rFonts w:ascii="PT Astra Serif" w:hAnsi="PT Astra Serif"/>
          <w:b/>
          <w:sz w:val="22"/>
          <w:szCs w:val="22"/>
        </w:rPr>
        <w:t>Срок оказания услуг:</w:t>
      </w:r>
      <w:r>
        <w:rPr>
          <w:rFonts w:ascii="PT Astra Serif" w:hAnsi="PT Astra Serif"/>
          <w:sz w:val="22"/>
          <w:szCs w:val="22"/>
        </w:rPr>
        <w:t xml:space="preserve"> в течение </w:t>
      </w:r>
      <w:r>
        <w:rPr>
          <w:rFonts w:ascii="PT Astra Serif" w:hAnsi="PT Astra Serif"/>
          <w:b/>
          <w:sz w:val="22"/>
          <w:szCs w:val="22"/>
        </w:rPr>
        <w:t>10 (десяти) рабочих дней</w:t>
      </w:r>
      <w:r>
        <w:rPr>
          <w:rFonts w:ascii="PT Astra Serif" w:hAnsi="PT Astra Serif"/>
          <w:sz w:val="22"/>
          <w:szCs w:val="22"/>
        </w:rPr>
        <w:t xml:space="preserve"> с момента заключения контракта.</w:t>
      </w:r>
    </w:p>
    <w:p>
      <w:pPr>
        <w:pStyle w:val="Normal"/>
        <w:ind w:hanging="0" w:left="0" w:right="0"/>
        <w:jc w:val="both"/>
        <w:rPr>
          <w:rFonts w:ascii="PT Astra Serif" w:hAnsi="PT Astra Serif"/>
          <w:sz w:val="22"/>
          <w:szCs w:val="22"/>
        </w:rPr>
      </w:pPr>
      <w:r>
        <w:rPr>
          <w:rFonts w:cs="PT Astra Serif;Cambria" w:ascii="PT Astra Serif" w:hAnsi="PT Astra Serif"/>
          <w:color w:val="000000"/>
          <w:sz w:val="22"/>
          <w:szCs w:val="22"/>
        </w:rPr>
        <w:t>1.3. 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от 05.04.2013 № 44-ФЗ:</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участник закупки – юридическое лицо,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участник закупки не является офшорной компанией;</w:t>
      </w:r>
    </w:p>
    <w:p>
      <w:pPr>
        <w:pStyle w:val="Normal"/>
        <w:ind w:firstLine="567" w:right="0"/>
        <w:jc w:val="both"/>
        <w:rPr>
          <w:rFonts w:ascii="PT Astra Serif" w:hAnsi="PT Astra Serif" w:cs="PT Astra Serif;Cambria"/>
          <w:color w:val="000000"/>
          <w:sz w:val="22"/>
          <w:szCs w:val="22"/>
        </w:rPr>
      </w:pPr>
      <w:r>
        <w:rPr>
          <w:rFonts w:cs="PT Astra Serif;Cambria" w:ascii="PT Astra Serif" w:hAnsi="PT Astra Serif"/>
          <w:color w:val="000000"/>
          <w:sz w:val="22"/>
          <w:szCs w:val="22"/>
        </w:rPr>
        <w:t>- отсутствие у участника закупки ограничений для участия в закупках, установленных законодательством Российской Федерации.</w:t>
      </w:r>
    </w:p>
    <w:p>
      <w:pPr>
        <w:pStyle w:val="Normal"/>
        <w:tabs>
          <w:tab w:val="clear" w:pos="708"/>
          <w:tab w:val="left" w:pos="709" w:leader="none"/>
        </w:tabs>
        <w:ind w:left="57"/>
        <w:jc w:val="center"/>
        <w:rPr>
          <w:rFonts w:ascii="PT Astra Serif" w:hAnsi="PT Astra Serif"/>
          <w:sz w:val="22"/>
          <w:szCs w:val="22"/>
        </w:rPr>
      </w:pPr>
      <w:r>
        <w:rPr>
          <w:rFonts w:ascii="PT Astra Serif" w:hAnsi="PT Astra Serif"/>
          <w:b/>
          <w:sz w:val="22"/>
          <w:szCs w:val="22"/>
        </w:rPr>
        <w:t>2. Права и обязанности сторон</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2.1. Обязанности Заказчика.</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2.1.1. Заказчик обязуется после получения контракта на проведение негосударственной экспертизы  вернуть подписанный экземпляр Исполнителю в течение </w:t>
      </w:r>
      <w:r>
        <w:rPr>
          <w:rFonts w:ascii="PT Astra Serif" w:hAnsi="PT Astra Serif"/>
          <w:b/>
          <w:bCs/>
          <w:sz w:val="22"/>
          <w:szCs w:val="22"/>
        </w:rPr>
        <w:t>10 (десяти) рабочих дней с даты приема документов на рассмотрение</w:t>
      </w:r>
      <w:r>
        <w:rPr>
          <w:rFonts w:ascii="PT Astra Serif" w:hAnsi="PT Astra Serif"/>
          <w:sz w:val="22"/>
          <w:szCs w:val="22"/>
        </w:rPr>
        <w:t xml:space="preserve">.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2.1.2. Оплатить Исполнителю оказанные услуги в размере и в сроки, установленные настоящим Контрактом.</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2.2.  Обязанности Исполнителя.</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2.2.1. Исполнитель обязуется составить заключение в установленном порядке, в котором указывает результаты негосударственной экспертизы и иную необходимую информацию и выдать Заказчику Заключение в 2 экземплярах по каждому объекту.</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2.2.2. Выдача заключения негосударственной экспертизы осуществляется на руки Заказчику в течение 10 (десяти) календарных дней после составления или путем направления заказного письма.</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2.2.3 Исполнитель обязуется соответствовать требованиям, установленным ч.1 ст.31 Закона 44-ФЗ.</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2.2.4. Исполнитель обязуется предоставить Заказчику лицензию на проведение негосударственной экспертизы или иной документ, подтверждающий аккредитацию на право проведения негосударственной экспертизы проектной документации.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2.3. Права Заказчика.</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2.3.1. В случае утраты заключения о негосударственной экспертизы Заказчик вправе получить у Исполнителя дубликат.</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2.4. Права Исполнителя.</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2.4.1. При выявлении в сметной документации в процессе проведения проверки сметной документации недостатков (отсутствие (неполнота) сведений, описаний, расчетов, чертежей, схем и т.п.) Исполнитель незамедлительно уведомляет Заказчика о выявленных недостатках и устанавливает при необходимости срок для их устранения. </w:t>
      </w:r>
    </w:p>
    <w:p>
      <w:pPr>
        <w:pStyle w:val="Normal"/>
        <w:tabs>
          <w:tab w:val="clear" w:pos="708"/>
          <w:tab w:val="left" w:pos="709" w:leader="none"/>
        </w:tabs>
        <w:ind w:left="57"/>
        <w:jc w:val="both"/>
        <w:rPr>
          <w:rFonts w:ascii="PT Astra Serif" w:hAnsi="PT Astra Serif"/>
          <w:sz w:val="22"/>
          <w:szCs w:val="22"/>
        </w:rPr>
      </w:pPr>
      <w:r>
        <w:rPr>
          <w:rFonts w:ascii="PT Astra Serif" w:hAnsi="PT Astra Serif"/>
          <w:sz w:val="22"/>
          <w:szCs w:val="22"/>
        </w:rPr>
        <w:t>В случае если выявленные недостатки невозможно устранить в процессе экспертизы или Заказчик в установленный срок их не устранил, Исполнитель вправе отказаться от дальнейшего проведения экспертизы и поставить вопрос о досрочном расторжении контракта, о чем письменно уведомит Заказчика с указанием мотивов принятого решения.</w:t>
      </w:r>
    </w:p>
    <w:p>
      <w:pPr>
        <w:pStyle w:val="Normal"/>
        <w:tabs>
          <w:tab w:val="clear" w:pos="708"/>
          <w:tab w:val="left" w:pos="709" w:leader="none"/>
        </w:tabs>
        <w:jc w:val="both"/>
        <w:rPr/>
      </w:pPr>
      <w:r>
        <w:rPr>
          <w:rFonts w:ascii="PT Astra Serif" w:hAnsi="PT Astra Serif"/>
          <w:sz w:val="22"/>
          <w:szCs w:val="22"/>
        </w:rPr>
        <w:t xml:space="preserve">После устранения недостатков проверка осуществляется в </w:t>
      </w:r>
      <w:hyperlink r:id="rId2">
        <w:r>
          <w:rPr>
            <w:rStyle w:val="Hyperlink"/>
            <w:rFonts w:ascii="PT Astra Serif" w:hAnsi="PT Astra Serif"/>
            <w:sz w:val="22"/>
            <w:szCs w:val="22"/>
          </w:rPr>
          <w:t>порядке</w:t>
        </w:r>
      </w:hyperlink>
      <w:r>
        <w:rPr>
          <w:rFonts w:ascii="PT Astra Serif" w:hAnsi="PT Astra Serif"/>
          <w:sz w:val="22"/>
          <w:szCs w:val="22"/>
        </w:rPr>
        <w:t>, предусмотренном действующим законодательством РФ.</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sz w:val="22"/>
          <w:szCs w:val="22"/>
        </w:rPr>
        <w:t>2.4.2. Исполнитель вправе привлекать на договорной основе к проведению проверки сметной документации иные организации, а также специалистов.</w:t>
      </w:r>
    </w:p>
    <w:p>
      <w:pPr>
        <w:pStyle w:val="Normal"/>
        <w:tabs>
          <w:tab w:val="clear" w:pos="708"/>
          <w:tab w:val="left" w:pos="709" w:leader="none"/>
        </w:tabs>
        <w:jc w:val="center"/>
        <w:rPr>
          <w:rFonts w:ascii="PT Astra Serif" w:hAnsi="PT Astra Serif"/>
          <w:sz w:val="22"/>
          <w:szCs w:val="22"/>
        </w:rPr>
      </w:pPr>
      <w:r>
        <w:rPr>
          <w:rFonts w:ascii="PT Astra Serif" w:hAnsi="PT Astra Serif"/>
          <w:b/>
          <w:sz w:val="22"/>
          <w:szCs w:val="22"/>
        </w:rPr>
        <w:t>3.Стоимость услуг и порядок расчетов</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sz w:val="22"/>
          <w:szCs w:val="22"/>
        </w:rPr>
        <w:t xml:space="preserve">3.1. </w:t>
      </w:r>
      <w:r>
        <w:rPr>
          <w:rFonts w:ascii="PT Astra Serif" w:hAnsi="PT Astra Serif"/>
          <w:b/>
          <w:bCs/>
          <w:sz w:val="22"/>
          <w:szCs w:val="22"/>
        </w:rPr>
        <w:t xml:space="preserve"> Цена Контракта, составляет _____ руб. (_____) _____ коп., включая НДС _____ руб. (_____)_____ коп. (в случае, если поставщик/</w:t>
      </w:r>
      <w:r>
        <w:rPr>
          <w:rFonts w:ascii="PT Astra Serif" w:hAnsi="PT Astra Serif"/>
          <w:b/>
          <w:bCs/>
          <w:sz w:val="22"/>
          <w:szCs w:val="22"/>
          <w:lang w:val="ru-RU"/>
        </w:rPr>
        <w:t xml:space="preserve"> </w:t>
      </w:r>
      <w:r>
        <w:rPr>
          <w:rFonts w:ascii="PT Astra Serif" w:hAnsi="PT Astra Serif"/>
          <w:b/>
          <w:bCs/>
          <w:sz w:val="22"/>
          <w:szCs w:val="22"/>
          <w:lang w:val="en-US"/>
        </w:rPr>
        <w:t>испол</w:t>
      </w:r>
      <w:r>
        <w:rPr>
          <w:rFonts w:ascii="PT Astra Serif" w:hAnsi="PT Astra Serif"/>
          <w:b/>
          <w:bCs/>
          <w:sz w:val="22"/>
          <w:szCs w:val="22"/>
          <w:lang w:val="ru-RU"/>
        </w:rPr>
        <w:t xml:space="preserve">нитель </w:t>
      </w:r>
      <w:r>
        <w:rPr>
          <w:rFonts w:ascii="PT Astra Serif" w:hAnsi="PT Astra Serif"/>
          <w:b/>
          <w:bCs/>
          <w:sz w:val="22"/>
          <w:szCs w:val="22"/>
        </w:rPr>
        <w:t>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b w:val="false"/>
          <w:bCs w:val="false"/>
          <w:i/>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b w:val="false"/>
          <w:bCs w:val="false"/>
          <w:sz w:val="22"/>
          <w:szCs w:val="22"/>
        </w:rPr>
        <w:t>Стоимость оказываемых услуг является твердой и не может изменяться в процессе исполнения контракта.</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sz w:val="22"/>
          <w:szCs w:val="22"/>
        </w:rPr>
        <w:t xml:space="preserve">3.2. Оплата за оказанные услуги осуществляется </w:t>
      </w:r>
      <w:r>
        <w:rPr>
          <w:rFonts w:ascii="PT Astra Serif" w:hAnsi="PT Astra Serif"/>
          <w:b/>
          <w:sz w:val="22"/>
          <w:szCs w:val="22"/>
        </w:rPr>
        <w:t>в течение 7 (семи) рабочих дней со дня подписания Заказчиком документов, подтверждающих факт приемки услуг (акт оказанных услуг).</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sz w:val="22"/>
          <w:szCs w:val="22"/>
        </w:rPr>
        <w:t>3.3. Оплата за оказанные услуги осуществляется Заказчиком по безналичному расчёту платежными поручениями путем перечисления денежных средств на расчетный счет «Исполнителя».</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3.4. Источник финансирования: </w:t>
      </w:r>
      <w:r>
        <w:rPr>
          <w:rFonts w:ascii="PT Astra Serif" w:hAnsi="PT Astra Serif"/>
          <w:b/>
          <w:sz w:val="22"/>
          <w:szCs w:val="22"/>
        </w:rPr>
        <w:t>средства от предпринимательской и иной приносящей доход деятельности на 2026 г.</w:t>
      </w:r>
    </w:p>
    <w:p>
      <w:pPr>
        <w:pStyle w:val="Normal"/>
        <w:tabs>
          <w:tab w:val="clear" w:pos="708"/>
          <w:tab w:val="left" w:pos="709" w:leader="none"/>
        </w:tabs>
        <w:ind w:firstLine="794" w:left="57"/>
        <w:jc w:val="center"/>
        <w:rPr>
          <w:rFonts w:ascii="PT Astra Serif" w:hAnsi="PT Astra Serif"/>
          <w:sz w:val="22"/>
          <w:szCs w:val="22"/>
        </w:rPr>
      </w:pPr>
      <w:r>
        <w:rPr>
          <w:rFonts w:ascii="PT Astra Serif" w:hAnsi="PT Astra Serif"/>
          <w:b/>
          <w:sz w:val="22"/>
          <w:szCs w:val="22"/>
        </w:rPr>
        <w:t>4. Порядок приемки услуг</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4.1. Качество оказываемых услуг должно соответствовать требованиям нормативной документации, установленными действующим законодательством РФ.</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4.2. Заказчик в течение 5 (пяти) рабочих дней с момента окончания услуг Исполнителем в установленном порядке, с участием Исполнителя рассмотреть и принять выполненные услуги, подписать акт оказанных услуг, а при обнаружении отступлений от контракта, ухудшающих результаты работ, или иных недостатков в работе составить двухсторонний акт с перечнем выявленных недостатков, необходимых доработок и сроком их устранения.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4.3. Для проверки соответствия услуг, выполненных Исполнителем, в части его соответствия условиям контракта, Заказчик проводит экспертизу. Экспертиза проводится Заказчиком своими силами или силами привлеченных специалистов. При получении заключения экспертизы о несоответствии работ качеству, эффективности и безопасности принятому для данного вида работ, расходы, связанные с ее проведением, возмещаются Исполнителем в бесспорном порядке в полном объеме. В случае проведения экспертизы Исполнитель обязан предоставить всю необходимую документацию для её проведения.</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4.4. По итогам подписания Акта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4.5.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4.6.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 xml:space="preserve">4.7. 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для подписания в срок, указанный в п. 5.3.2. настоящего Договора. Вместе с Актом приёмки (ф. 0510452) Заказчиком в адрес Исполнителя направляется претензия с указанием условий и сроков исправления выявленных недостатков. </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4.8.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4.9.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 Расчеты за оказанные Услуги производятся в форме безналичного расчета, путем перечисления денежных средств со счета Заказчика на расчетный счет Исполнителя в течение 7 рабочих дней с даты подписания Заказчиком Акта приёмки (ф.0510452)</w:t>
      </w:r>
    </w:p>
    <w:p>
      <w:pPr>
        <w:pStyle w:val="Normal"/>
        <w:tabs>
          <w:tab w:val="clear" w:pos="708"/>
          <w:tab w:val="left" w:pos="709" w:leader="none"/>
        </w:tabs>
        <w:ind w:firstLine="794" w:left="57"/>
        <w:jc w:val="both"/>
        <w:rPr>
          <w:rFonts w:ascii="PT Astra Serif" w:hAnsi="PT Astra Serif"/>
          <w:sz w:val="22"/>
          <w:szCs w:val="22"/>
        </w:rPr>
      </w:pPr>
      <w:r>
        <w:rPr>
          <w:rFonts w:ascii="PT Astra Serif" w:hAnsi="PT Astra Serif"/>
          <w:sz w:val="22"/>
          <w:szCs w:val="22"/>
        </w:rPr>
        <w:t>4.10. При возникновении между Заказчиком и Исполнителем спора по поводу недостатков результатов отдельного этапа исполнения Договора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Исполнителя условий Договора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tabs>
          <w:tab w:val="clear" w:pos="708"/>
          <w:tab w:val="left" w:pos="709" w:leader="none"/>
        </w:tabs>
        <w:ind w:firstLine="794" w:left="57"/>
        <w:jc w:val="center"/>
        <w:rPr>
          <w:rFonts w:ascii="PT Astra Serif" w:hAnsi="PT Astra Serif"/>
          <w:sz w:val="22"/>
          <w:szCs w:val="22"/>
        </w:rPr>
      </w:pPr>
      <w:r>
        <w:rPr>
          <w:rFonts w:ascii="PT Astra Serif" w:hAnsi="PT Astra Serif"/>
          <w:b/>
          <w:sz w:val="22"/>
          <w:szCs w:val="22"/>
        </w:rPr>
        <w:t>5. Срок действия контракта</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sz w:val="22"/>
          <w:szCs w:val="22"/>
        </w:rPr>
        <w:t xml:space="preserve">5.1. Настоящий контракт вступает в силу </w:t>
      </w:r>
      <w:r>
        <w:rPr>
          <w:rFonts w:ascii="PT Astra Serif" w:hAnsi="PT Astra Serif"/>
          <w:b/>
          <w:sz w:val="22"/>
          <w:szCs w:val="22"/>
        </w:rPr>
        <w:t>с момента заключения контракта и действует по 31 декабря 2026 года</w:t>
      </w:r>
      <w:r>
        <w:rPr>
          <w:rFonts w:ascii="PT Astra Serif" w:hAnsi="PT Astra Serif"/>
          <w:sz w:val="22"/>
          <w:szCs w:val="22"/>
        </w:rPr>
        <w:t>, а в части взятых на себя сторонами контракта обязательств - до полного их исполнения.</w:t>
      </w:r>
      <w:r>
        <w:rPr>
          <w:rFonts w:ascii="PT Astra Serif" w:hAnsi="PT Astra Serif"/>
          <w:b/>
          <w:sz w:val="22"/>
          <w:szCs w:val="22"/>
        </w:rPr>
        <w:t xml:space="preserve"> </w:t>
      </w:r>
    </w:p>
    <w:p>
      <w:pPr>
        <w:pStyle w:val="Normal"/>
        <w:tabs>
          <w:tab w:val="clear" w:pos="708"/>
          <w:tab w:val="left" w:pos="709" w:leader="none"/>
        </w:tabs>
        <w:ind w:firstLine="794"/>
        <w:jc w:val="both"/>
        <w:rPr>
          <w:rFonts w:ascii="PT Astra Serif" w:hAnsi="PT Astra Serif"/>
          <w:sz w:val="22"/>
          <w:szCs w:val="22"/>
        </w:rPr>
      </w:pPr>
      <w:r>
        <w:rPr>
          <w:rFonts w:ascii="PT Astra Serif" w:hAnsi="PT Astra Serif"/>
          <w:sz w:val="22"/>
          <w:szCs w:val="22"/>
        </w:rPr>
        <w:t>5.1.</w:t>
      </w:r>
      <w:r>
        <w:rPr>
          <w:rFonts w:ascii="PT Astra Serif" w:hAnsi="PT Astra Serif"/>
          <w:b/>
          <w:sz w:val="22"/>
          <w:szCs w:val="22"/>
        </w:rPr>
        <w:t xml:space="preserve"> </w:t>
      </w:r>
      <w:r>
        <w:rPr>
          <w:rFonts w:ascii="PT Astra Serif" w:hAnsi="PT Astra Serif"/>
          <w:sz w:val="22"/>
          <w:szCs w:val="22"/>
        </w:rPr>
        <w:t>Изменение, дополнение, расторжение контракта оформляется в письменном виде и подписывается полномочными представителями сторон.</w:t>
      </w:r>
    </w:p>
    <w:p>
      <w:pPr>
        <w:pStyle w:val="Normal"/>
        <w:ind w:firstLine="794"/>
        <w:jc w:val="center"/>
        <w:rPr>
          <w:rFonts w:ascii="PT Astra Serif" w:hAnsi="PT Astra Serif"/>
          <w:sz w:val="22"/>
          <w:szCs w:val="22"/>
        </w:rPr>
      </w:pPr>
      <w:r>
        <w:rPr>
          <w:rFonts w:ascii="PT Astra Serif" w:hAnsi="PT Astra Serif"/>
          <w:b/>
          <w:sz w:val="22"/>
          <w:szCs w:val="22"/>
        </w:rPr>
        <w:t>6. Ответственность сторон</w:t>
      </w:r>
    </w:p>
    <w:p>
      <w:pPr>
        <w:pStyle w:val="NoSpacing"/>
        <w:ind w:firstLine="794"/>
        <w:jc w:val="both"/>
        <w:rPr>
          <w:rFonts w:ascii="PT Astra Serif" w:hAnsi="PT Astra Serif"/>
          <w:sz w:val="22"/>
          <w:szCs w:val="22"/>
        </w:rPr>
      </w:pPr>
      <w:r>
        <w:rPr>
          <w:rFonts w:ascii="PT Astra Serif" w:hAnsi="PT Astra Serif"/>
          <w:sz w:val="22"/>
          <w:szCs w:val="22"/>
        </w:rPr>
        <w:t>6.1.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Spacing"/>
        <w:ind w:firstLine="794"/>
        <w:jc w:val="both"/>
        <w:rPr>
          <w:rFonts w:ascii="PT Astra Serif" w:hAnsi="PT Astra Serif"/>
          <w:sz w:val="22"/>
          <w:szCs w:val="22"/>
        </w:rPr>
      </w:pPr>
      <w:r>
        <w:rPr>
          <w:rFonts w:ascii="PT Astra Serif" w:hAnsi="PT Astra Serif"/>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Spacing"/>
        <w:ind w:firstLine="794"/>
        <w:jc w:val="both"/>
        <w:rPr>
          <w:rFonts w:ascii="PT Astra Serif" w:hAnsi="PT Astra Serif"/>
          <w:sz w:val="22"/>
          <w:szCs w:val="22"/>
        </w:rPr>
      </w:pPr>
      <w:r>
        <w:rPr>
          <w:rFonts w:ascii="PT Astra Serif" w:hAnsi="PT Astra Serif"/>
          <w:sz w:val="22"/>
          <w:szCs w:val="22"/>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Spacing"/>
        <w:ind w:firstLine="794"/>
        <w:jc w:val="both"/>
        <w:rPr>
          <w:rFonts w:ascii="PT Astra Serif" w:hAnsi="PT Astra Serif"/>
          <w:sz w:val="22"/>
          <w:szCs w:val="22"/>
        </w:rPr>
      </w:pPr>
      <w:r>
        <w:rPr>
          <w:rFonts w:ascii="PT Astra Serif" w:hAnsi="PT Astra Serif"/>
          <w:sz w:val="22"/>
          <w:szCs w:val="22"/>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Spacing"/>
        <w:ind w:firstLine="794"/>
        <w:jc w:val="both"/>
        <w:rPr>
          <w:rFonts w:ascii="PT Astra Serif" w:hAnsi="PT Astra Serif"/>
          <w:sz w:val="22"/>
          <w:szCs w:val="22"/>
        </w:rPr>
      </w:pPr>
      <w:r>
        <w:rPr>
          <w:rFonts w:ascii="PT Astra Serif" w:hAnsi="PT Astra Serif"/>
          <w:sz w:val="22"/>
          <w:szCs w:val="22"/>
        </w:rPr>
        <w:t>а) 1000 рублей, если цена контракта не превышает 3 млн. рублей (включительно);</w:t>
      </w:r>
    </w:p>
    <w:p>
      <w:pPr>
        <w:pStyle w:val="NoSpacing"/>
        <w:ind w:firstLine="794"/>
        <w:jc w:val="both"/>
        <w:rPr>
          <w:rFonts w:ascii="PT Astra Serif" w:hAnsi="PT Astra Serif"/>
          <w:sz w:val="22"/>
          <w:szCs w:val="22"/>
        </w:rPr>
      </w:pPr>
      <w:r>
        <w:rPr>
          <w:rFonts w:ascii="PT Astra Serif" w:hAnsi="PT Astra Serif"/>
          <w:sz w:val="22"/>
          <w:szCs w:val="22"/>
        </w:rPr>
        <w:t>б) 5000 рублей, если цена контракта составляет от 3 млн. рублей до 50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в) 10000 рублей, если цена контракта составляет от 50 млн. рублей до 100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г) 100000 рублей, если цена контракта превышает 100 млн. рублей.</w:t>
      </w:r>
    </w:p>
    <w:p>
      <w:pPr>
        <w:pStyle w:val="NoSpacing"/>
        <w:ind w:firstLine="851"/>
        <w:jc w:val="both"/>
        <w:rPr>
          <w:rFonts w:ascii="PT Astra Serif" w:hAnsi="PT Astra Serif"/>
          <w:sz w:val="22"/>
          <w:szCs w:val="22"/>
        </w:rPr>
      </w:pPr>
      <w:r>
        <w:rPr>
          <w:rFonts w:ascii="PT Astra Serif" w:hAnsi="PT Astra Serif"/>
          <w:sz w:val="22"/>
          <w:szCs w:val="22"/>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Spacing"/>
        <w:ind w:firstLine="851"/>
        <w:jc w:val="both"/>
        <w:rPr>
          <w:rFonts w:ascii="PT Astra Serif" w:hAnsi="PT Astra Serif"/>
          <w:sz w:val="22"/>
          <w:szCs w:val="22"/>
        </w:rPr>
      </w:pPr>
      <w:r>
        <w:rPr>
          <w:rFonts w:ascii="PT Astra Serif" w:hAnsi="PT Astra Serif"/>
          <w:sz w:val="22"/>
          <w:szCs w:val="22"/>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851"/>
        <w:jc w:val="both"/>
        <w:rPr>
          <w:rFonts w:ascii="PT Astra Serif" w:hAnsi="PT Astra Serif"/>
          <w:sz w:val="22"/>
          <w:szCs w:val="22"/>
        </w:rPr>
      </w:pPr>
      <w:r>
        <w:rPr>
          <w:rFonts w:ascii="PT Astra Serif" w:hAnsi="PT Astra Serif"/>
          <w:sz w:val="22"/>
          <w:szCs w:val="22"/>
        </w:rPr>
        <w:t xml:space="preserve">6.3.1. </w:t>
      </w:r>
      <w:r>
        <w:rPr>
          <w:rFonts w:eastAsia="Calibri" w:ascii="PT Astra Serif" w:hAnsi="PT Astra Serif"/>
          <w:sz w:val="22"/>
          <w:szCs w:val="22"/>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pPr>
        <w:pStyle w:val="NoSpacing"/>
        <w:ind w:firstLine="851"/>
        <w:jc w:val="both"/>
        <w:rPr>
          <w:rFonts w:ascii="PT Astra Serif" w:hAnsi="PT Astra Serif"/>
          <w:sz w:val="22"/>
          <w:szCs w:val="22"/>
        </w:rPr>
      </w:pPr>
      <w:r>
        <w:rPr>
          <w:rFonts w:ascii="PT Astra Serif" w:hAnsi="PT Astra Serif"/>
          <w:sz w:val="22"/>
          <w:szCs w:val="22"/>
        </w:rPr>
        <w:t xml:space="preserve">6.3.2.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Spacing"/>
        <w:ind w:firstLine="851"/>
        <w:jc w:val="both"/>
        <w:rPr>
          <w:rFonts w:ascii="PT Astra Serif" w:hAnsi="PT Astra Serif"/>
          <w:sz w:val="22"/>
          <w:szCs w:val="22"/>
        </w:rPr>
      </w:pPr>
      <w:r>
        <w:rPr>
          <w:rFonts w:ascii="PT Astra Serif" w:hAnsi="PT Astra Serif"/>
          <w:sz w:val="22"/>
          <w:szCs w:val="22"/>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Spacing"/>
        <w:ind w:firstLine="851"/>
        <w:jc w:val="both"/>
        <w:rPr>
          <w:rFonts w:ascii="PT Astra Serif" w:hAnsi="PT Astra Serif"/>
          <w:sz w:val="22"/>
          <w:szCs w:val="22"/>
        </w:rPr>
      </w:pPr>
      <w:r>
        <w:rPr>
          <w:rFonts w:ascii="PT Astra Serif" w:hAnsi="PT Astra Serif"/>
          <w:sz w:val="22"/>
          <w:szCs w:val="22"/>
        </w:rPr>
        <w:t>а) в случае, если цена контракта не превышает начальную (максимальную) цену контракта:</w:t>
      </w:r>
    </w:p>
    <w:p>
      <w:pPr>
        <w:pStyle w:val="NoSpacing"/>
        <w:ind w:firstLine="851"/>
        <w:jc w:val="both"/>
        <w:rPr>
          <w:rFonts w:ascii="PT Astra Serif" w:hAnsi="PT Astra Serif"/>
          <w:sz w:val="22"/>
          <w:szCs w:val="22"/>
        </w:rPr>
      </w:pPr>
      <w:r>
        <w:rPr>
          <w:rFonts w:ascii="PT Astra Serif" w:hAnsi="PT Astra Serif"/>
          <w:sz w:val="22"/>
          <w:szCs w:val="22"/>
        </w:rPr>
        <w:t>10 процентов начальной (максимальной) цены контракта, если цена контракта не превышает 3 млн. рублей;</w:t>
      </w:r>
    </w:p>
    <w:p>
      <w:pPr>
        <w:pStyle w:val="NoSpacing"/>
        <w:ind w:firstLine="851"/>
        <w:jc w:val="both"/>
        <w:rPr>
          <w:rFonts w:ascii="PT Astra Serif" w:hAnsi="PT Astra Serif"/>
          <w:sz w:val="22"/>
          <w:szCs w:val="22"/>
        </w:rPr>
      </w:pPr>
      <w:r>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б) в случае, если цена контракта превышает начальную (максимальную) цену контракта:</w:t>
      </w:r>
    </w:p>
    <w:p>
      <w:pPr>
        <w:pStyle w:val="NoSpacing"/>
        <w:ind w:firstLine="851"/>
        <w:jc w:val="both"/>
        <w:rPr>
          <w:rFonts w:ascii="PT Astra Serif" w:hAnsi="PT Astra Serif"/>
          <w:sz w:val="22"/>
          <w:szCs w:val="22"/>
        </w:rPr>
      </w:pPr>
      <w:r>
        <w:rPr>
          <w:rFonts w:ascii="PT Astra Serif" w:hAnsi="PT Astra Serif"/>
          <w:sz w:val="22"/>
          <w:szCs w:val="22"/>
        </w:rPr>
        <w:t>10 процентов цены контракта, если цена контракта не превышает 3 млн. рублей;</w:t>
      </w:r>
    </w:p>
    <w:p>
      <w:pPr>
        <w:pStyle w:val="NoSpacing"/>
        <w:ind w:firstLine="851"/>
        <w:jc w:val="both"/>
        <w:rPr>
          <w:rFonts w:ascii="PT Astra Serif" w:hAnsi="PT Astra Serif"/>
          <w:sz w:val="22"/>
          <w:szCs w:val="22"/>
        </w:rPr>
      </w:pPr>
      <w:r>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Spacing"/>
        <w:ind w:firstLine="851"/>
        <w:jc w:val="both"/>
        <w:rPr>
          <w:rFonts w:ascii="PT Astra Serif" w:hAnsi="PT Astra Serif"/>
          <w:sz w:val="22"/>
          <w:szCs w:val="22"/>
        </w:rPr>
      </w:pPr>
      <w:r>
        <w:rPr>
          <w:rFonts w:ascii="PT Astra Serif" w:hAnsi="PT Astra Serif"/>
          <w:sz w:val="22"/>
          <w:szCs w:val="22"/>
        </w:rPr>
        <w:t>а) 1000 рублей, если цена контракта не превышает 3 млн. рублей;</w:t>
      </w:r>
    </w:p>
    <w:p>
      <w:pPr>
        <w:pStyle w:val="NoSpacing"/>
        <w:ind w:firstLine="851"/>
        <w:jc w:val="both"/>
        <w:rPr>
          <w:rFonts w:ascii="PT Astra Serif" w:hAnsi="PT Astra Serif"/>
          <w:sz w:val="22"/>
          <w:szCs w:val="22"/>
        </w:rPr>
      </w:pPr>
      <w:r>
        <w:rPr>
          <w:rFonts w:ascii="PT Astra Serif" w:hAnsi="PT Astra Serif"/>
          <w:sz w:val="22"/>
          <w:szCs w:val="22"/>
        </w:rPr>
        <w:t>б) 5000 рублей, если цена контракта составляет от 3 млн. рублей до 50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в) 10000 рублей, если цена контракта составляет от 50 млн. рублей до 100 млн. рублей (включительно);</w:t>
      </w:r>
    </w:p>
    <w:p>
      <w:pPr>
        <w:pStyle w:val="NoSpacing"/>
        <w:ind w:firstLine="851"/>
        <w:jc w:val="both"/>
        <w:rPr>
          <w:rFonts w:ascii="PT Astra Serif" w:hAnsi="PT Astra Serif"/>
          <w:sz w:val="22"/>
          <w:szCs w:val="22"/>
        </w:rPr>
      </w:pPr>
      <w:r>
        <w:rPr>
          <w:rFonts w:ascii="PT Astra Serif" w:hAnsi="PT Astra Serif"/>
          <w:sz w:val="22"/>
          <w:szCs w:val="22"/>
        </w:rPr>
        <w:t>г) 100000 рублей, если цена контракта превышает 100 млн. рублей.</w:t>
      </w:r>
    </w:p>
    <w:p>
      <w:pPr>
        <w:pStyle w:val="NoSpacing"/>
        <w:ind w:firstLine="851"/>
        <w:jc w:val="both"/>
        <w:rPr>
          <w:rFonts w:ascii="PT Astra Serif" w:hAnsi="PT Astra Serif"/>
          <w:sz w:val="22"/>
          <w:szCs w:val="22"/>
        </w:rPr>
      </w:pPr>
      <w:r>
        <w:rPr>
          <w:rFonts w:ascii="PT Astra Serif" w:hAnsi="PT Astra Serif"/>
          <w:sz w:val="22"/>
          <w:szCs w:val="22"/>
        </w:rPr>
        <w:t>6.3.5.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Spacing"/>
        <w:ind w:firstLine="851"/>
        <w:jc w:val="both"/>
        <w:rPr>
          <w:rFonts w:ascii="PT Astra Serif" w:hAnsi="PT Astra Serif"/>
          <w:sz w:val="22"/>
          <w:szCs w:val="22"/>
        </w:rPr>
      </w:pPr>
      <w:r>
        <w:rPr>
          <w:rFonts w:ascii="PT Astra Serif" w:hAnsi="PT Astra Serif"/>
          <w:sz w:val="22"/>
          <w:szCs w:val="22"/>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709" w:leader="none"/>
        </w:tabs>
        <w:ind w:firstLine="851" w:left="-57"/>
        <w:jc w:val="center"/>
        <w:rPr>
          <w:rFonts w:ascii="PT Astra Serif" w:hAnsi="PT Astra Serif"/>
          <w:sz w:val="22"/>
          <w:szCs w:val="22"/>
        </w:rPr>
      </w:pPr>
      <w:r>
        <w:rPr>
          <w:rFonts w:ascii="PT Astra Serif" w:hAnsi="PT Astra Serif"/>
          <w:b/>
          <w:sz w:val="22"/>
          <w:szCs w:val="22"/>
        </w:rPr>
        <w:t>7. Порядок разрешения споров</w:t>
      </w:r>
    </w:p>
    <w:p>
      <w:pPr>
        <w:pStyle w:val="Normal"/>
        <w:tabs>
          <w:tab w:val="clear" w:pos="708"/>
          <w:tab w:val="left" w:pos="57" w:leader="none"/>
        </w:tabs>
        <w:ind w:firstLine="851" w:left="57"/>
        <w:jc w:val="both"/>
        <w:rPr>
          <w:rFonts w:ascii="PT Astra Serif" w:hAnsi="PT Astra Serif"/>
          <w:sz w:val="22"/>
          <w:szCs w:val="22"/>
        </w:rPr>
      </w:pPr>
      <w:r>
        <w:rPr>
          <w:rFonts w:ascii="PT Astra Serif" w:hAnsi="PT Astra Serif"/>
          <w:sz w:val="22"/>
          <w:szCs w:val="22"/>
        </w:rPr>
        <w:t>7.1. Споры, возникающие из исполнения, неисполнения или ненадлежащего исполнения настоящего контракта, а также из толкования и применения его положений, разрешаются путем переговоров между сторонами.</w:t>
      </w:r>
    </w:p>
    <w:p>
      <w:pPr>
        <w:pStyle w:val="Normal"/>
        <w:tabs>
          <w:tab w:val="clear" w:pos="708"/>
          <w:tab w:val="left" w:pos="57" w:leader="none"/>
        </w:tabs>
        <w:ind w:firstLine="794" w:left="57"/>
        <w:jc w:val="both"/>
        <w:rPr>
          <w:rFonts w:ascii="PT Astra Serif" w:hAnsi="PT Astra Serif"/>
          <w:sz w:val="22"/>
          <w:szCs w:val="22"/>
        </w:rPr>
      </w:pPr>
      <w:r>
        <w:rPr>
          <w:rFonts w:ascii="PT Astra Serif" w:hAnsi="PT Astra Serif"/>
          <w:sz w:val="22"/>
          <w:szCs w:val="22"/>
        </w:rPr>
        <w:t>7.2. В случае невозможности достичь согласия путем переговоров, разрешение споров производится Арбитражным судом Ульяновской области в соответствии с действующим законодательством РФ.</w:t>
      </w:r>
    </w:p>
    <w:p>
      <w:pPr>
        <w:pStyle w:val="Normal"/>
        <w:jc w:val="center"/>
        <w:rPr>
          <w:rFonts w:ascii="PT Astra Serif" w:hAnsi="PT Astra Serif"/>
          <w:sz w:val="22"/>
          <w:szCs w:val="22"/>
        </w:rPr>
      </w:pPr>
      <w:r>
        <w:rPr>
          <w:rFonts w:ascii="PT Astra Serif" w:hAnsi="PT Astra Serif"/>
          <w:b/>
          <w:sz w:val="22"/>
          <w:szCs w:val="22"/>
        </w:rPr>
        <w:t>8. Прочие условия</w:t>
      </w:r>
    </w:p>
    <w:p>
      <w:pPr>
        <w:pStyle w:val="Normal"/>
        <w:ind w:firstLine="993"/>
        <w:jc w:val="both"/>
        <w:rPr>
          <w:rFonts w:ascii="PT Astra Serif" w:hAnsi="PT Astra Serif"/>
          <w:sz w:val="22"/>
          <w:szCs w:val="22"/>
        </w:rPr>
      </w:pPr>
      <w:r>
        <w:rPr>
          <w:rFonts w:ascii="PT Astra Serif" w:hAnsi="PT Astra Serif"/>
          <w:sz w:val="22"/>
          <w:szCs w:val="22"/>
        </w:rPr>
        <w:t>8.1. Контракт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ind w:firstLine="993"/>
        <w:jc w:val="both"/>
        <w:rPr>
          <w:rFonts w:ascii="PT Astra Serif" w:hAnsi="PT Astra Serif"/>
          <w:sz w:val="22"/>
          <w:szCs w:val="22"/>
        </w:rPr>
      </w:pPr>
      <w:r>
        <w:rPr>
          <w:rFonts w:ascii="PT Astra Serif" w:hAnsi="PT Astra Serif"/>
          <w:sz w:val="22"/>
          <w:szCs w:val="22"/>
        </w:rPr>
        <w:t>Заказчик и Поставщик (Исполнитель, Подрядчик) вправе обмениваться документами, предусмотренными контрактом, посредством электронного документооборота с использованием электронной подписи через оператора электронного документооборота (ЭДО).</w:t>
      </w:r>
    </w:p>
    <w:p>
      <w:pPr>
        <w:pStyle w:val="Normal"/>
        <w:ind w:firstLine="993"/>
        <w:jc w:val="both"/>
        <w:rPr>
          <w:rFonts w:ascii="PT Astra Serif" w:hAnsi="PT Astra Serif"/>
          <w:sz w:val="22"/>
          <w:szCs w:val="22"/>
        </w:rPr>
      </w:pPr>
      <w:r>
        <w:rPr>
          <w:rFonts w:ascii="PT Astra Serif" w:hAnsi="PT Astra Serif"/>
          <w:sz w:val="22"/>
          <w:szCs w:val="22"/>
        </w:rPr>
        <w:t>8.2.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ind w:firstLine="993"/>
        <w:jc w:val="both"/>
        <w:rPr>
          <w:rFonts w:ascii="PT Astra Serif" w:hAnsi="PT Astra Serif"/>
          <w:sz w:val="22"/>
          <w:szCs w:val="22"/>
        </w:rPr>
      </w:pPr>
      <w:r>
        <w:rPr>
          <w:rFonts w:ascii="PT Astra Serif" w:hAnsi="PT Astra Serif"/>
          <w:sz w:val="22"/>
          <w:szCs w:val="22"/>
        </w:rPr>
        <w:t>8.3. Настоящий контракт вступает в силу с момента подписания и действует по 31.12.2026 г., а в части гарантийных обязательств, обязательств по возмещению убытков и выплате неустойки (штрафов, пеней) - до полного их исполнения Сторонами.</w:t>
      </w:r>
    </w:p>
    <w:p>
      <w:pPr>
        <w:pStyle w:val="Normal"/>
        <w:ind w:firstLine="993"/>
        <w:jc w:val="both"/>
        <w:rPr>
          <w:rFonts w:ascii="PT Astra Serif" w:hAnsi="PT Astra Serif"/>
          <w:sz w:val="22"/>
          <w:szCs w:val="22"/>
        </w:rPr>
      </w:pPr>
      <w:r>
        <w:rPr>
          <w:rFonts w:ascii="PT Astra Serif" w:hAnsi="PT Astra Serif"/>
          <w:sz w:val="22"/>
          <w:szCs w:val="22"/>
        </w:rPr>
        <w:t xml:space="preserve">8.3.1. Дата начала исполнения контракта с даты подписания контракта. </w:t>
      </w:r>
    </w:p>
    <w:p>
      <w:pPr>
        <w:pStyle w:val="Normal"/>
        <w:ind w:firstLine="993"/>
        <w:jc w:val="both"/>
        <w:rPr>
          <w:rFonts w:ascii="PT Astra Serif" w:hAnsi="PT Astra Serif"/>
          <w:sz w:val="22"/>
          <w:szCs w:val="22"/>
        </w:rPr>
      </w:pPr>
      <w:r>
        <w:rPr>
          <w:rFonts w:ascii="PT Astra Serif" w:hAnsi="PT Astra Serif"/>
          <w:sz w:val="22"/>
          <w:szCs w:val="22"/>
        </w:rPr>
        <w:t xml:space="preserve">8.3.2. Дата окончания исполнения контракта – </w:t>
      </w:r>
      <w:r>
        <w:rPr>
          <w:rFonts w:ascii="PT Astra Serif" w:hAnsi="PT Astra Serif"/>
          <w:b/>
          <w:bCs/>
          <w:sz w:val="22"/>
          <w:szCs w:val="22"/>
        </w:rPr>
        <w:t>31.12.2026 г.</w:t>
      </w:r>
    </w:p>
    <w:p>
      <w:pPr>
        <w:pStyle w:val="Normal"/>
        <w:ind w:firstLine="993"/>
        <w:jc w:val="both"/>
        <w:rPr>
          <w:rFonts w:ascii="PT Astra Serif" w:hAnsi="PT Astra Serif"/>
          <w:sz w:val="22"/>
          <w:szCs w:val="22"/>
        </w:rPr>
      </w:pPr>
      <w:r>
        <w:rPr>
          <w:rFonts w:ascii="PT Astra Serif" w:hAnsi="PT Astra Serif"/>
          <w:sz w:val="22"/>
          <w:szCs w:val="22"/>
        </w:rPr>
        <w:t>8.4. Окончание срока действия Контракта не освобождает Стороны от ответственности за его нарушение.</w:t>
      </w:r>
    </w:p>
    <w:p>
      <w:pPr>
        <w:pStyle w:val="Normal"/>
        <w:ind w:firstLine="993"/>
        <w:jc w:val="both"/>
        <w:rPr>
          <w:rFonts w:ascii="PT Astra Serif" w:hAnsi="PT Astra Serif"/>
          <w:sz w:val="22"/>
          <w:szCs w:val="22"/>
        </w:rPr>
      </w:pPr>
      <w:r>
        <w:rPr>
          <w:rFonts w:ascii="PT Astra Serif" w:hAnsi="PT Astra Serif"/>
          <w:sz w:val="22"/>
          <w:szCs w:val="22"/>
        </w:rPr>
        <w:t>8.5.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ind w:firstLine="993"/>
        <w:jc w:val="both"/>
        <w:rPr>
          <w:rFonts w:ascii="PT Astra Serif" w:hAnsi="PT Astra Serif"/>
          <w:sz w:val="22"/>
          <w:szCs w:val="22"/>
        </w:rPr>
      </w:pPr>
      <w:r>
        <w:rPr>
          <w:rFonts w:ascii="PT Astra Serif" w:hAnsi="PT Astra Serif"/>
          <w:sz w:val="22"/>
          <w:szCs w:val="22"/>
        </w:rPr>
        <w:t>8.6. В случае,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pPr>
        <w:pStyle w:val="Normal"/>
        <w:ind w:firstLine="993"/>
        <w:jc w:val="both"/>
        <w:rPr>
          <w:rFonts w:ascii="PT Astra Serif" w:hAnsi="PT Astra Serif"/>
          <w:sz w:val="22"/>
          <w:szCs w:val="22"/>
        </w:rPr>
      </w:pPr>
      <w:r>
        <w:rPr>
          <w:rFonts w:ascii="PT Astra Serif" w:hAnsi="PT Astra Serif"/>
          <w:sz w:val="22"/>
          <w:szCs w:val="22"/>
        </w:rPr>
        <w:t>8.7.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pPr>
        <w:pStyle w:val="Normal"/>
        <w:ind w:firstLine="993"/>
        <w:jc w:val="both"/>
        <w:rPr>
          <w:rFonts w:ascii="PT Astra Serif" w:hAnsi="PT Astra Serif"/>
          <w:sz w:val="22"/>
          <w:szCs w:val="22"/>
        </w:rPr>
      </w:pPr>
      <w:r>
        <w:rPr>
          <w:rFonts w:ascii="PT Astra Serif" w:hAnsi="PT Astra Serif"/>
          <w:sz w:val="22"/>
          <w:szCs w:val="22"/>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pPr>
        <w:pStyle w:val="Normal"/>
        <w:ind w:firstLine="993"/>
        <w:jc w:val="both"/>
        <w:rPr>
          <w:rFonts w:ascii="PT Astra Serif" w:hAnsi="PT Astra Serif"/>
          <w:sz w:val="22"/>
          <w:szCs w:val="22"/>
        </w:rPr>
      </w:pPr>
      <w:r>
        <w:rPr>
          <w:rFonts w:ascii="PT Astra Serif" w:hAnsi="PT Astra Serif"/>
          <w:sz w:val="22"/>
          <w:szCs w:val="22"/>
        </w:rPr>
        <w:t>8.8. Во всем, что не предусмотрено настоящим Контрактом, стороны руководствуются действующим законодательством Российской Федерации.</w:t>
      </w:r>
    </w:p>
    <w:p>
      <w:pPr>
        <w:pStyle w:val="Normal"/>
        <w:ind w:firstLine="993"/>
        <w:jc w:val="both"/>
        <w:rPr>
          <w:rFonts w:ascii="PT Astra Serif" w:hAnsi="PT Astra Serif"/>
          <w:sz w:val="22"/>
          <w:szCs w:val="22"/>
        </w:rPr>
      </w:pPr>
      <w:r>
        <w:rPr>
          <w:rFonts w:ascii="PT Astra Serif" w:hAnsi="PT Astra Serif"/>
          <w:sz w:val="22"/>
          <w:szCs w:val="22"/>
        </w:rPr>
        <w:t xml:space="preserve">8.9. Приложения, указанные в настоящем Контракте, являются его неотъемлемой частью: </w:t>
      </w:r>
    </w:p>
    <w:p>
      <w:pPr>
        <w:pStyle w:val="Normal"/>
        <w:ind w:firstLine="993"/>
        <w:jc w:val="both"/>
        <w:rPr>
          <w:rFonts w:ascii="PT Astra Serif" w:hAnsi="PT Astra Serif"/>
          <w:sz w:val="22"/>
          <w:szCs w:val="22"/>
        </w:rPr>
      </w:pPr>
      <w:r>
        <w:rPr>
          <w:rFonts w:ascii="PT Astra Serif" w:hAnsi="PT Astra Serif"/>
          <w:sz w:val="22"/>
          <w:szCs w:val="22"/>
        </w:rPr>
        <w:t>приложение № 1 – Спецификация.</w:t>
      </w:r>
    </w:p>
    <w:p>
      <w:pPr>
        <w:pStyle w:val="BodyText"/>
        <w:jc w:val="center"/>
        <w:rPr>
          <w:rFonts w:ascii="PT Astra Serif" w:hAnsi="PT Astra Serif"/>
          <w:sz w:val="22"/>
          <w:szCs w:val="22"/>
        </w:rPr>
      </w:pPr>
      <w:r>
        <w:rPr>
          <w:rFonts w:ascii="PT Astra Serif" w:hAnsi="PT Astra Serif"/>
          <w:b/>
          <w:sz w:val="22"/>
          <w:szCs w:val="22"/>
        </w:rPr>
        <w:t>9. Юридические адреса и реквизиты сторон</w:t>
      </w:r>
    </w:p>
    <w:tbl>
      <w:tblPr>
        <w:tblW w:w="9690" w:type="dxa"/>
        <w:jc w:val="left"/>
        <w:tblInd w:w="108" w:type="dxa"/>
        <w:tblLayout w:type="fixed"/>
        <w:tblCellMar>
          <w:top w:w="0" w:type="dxa"/>
          <w:left w:w="108" w:type="dxa"/>
          <w:bottom w:w="0" w:type="dxa"/>
          <w:right w:w="108" w:type="dxa"/>
        </w:tblCellMar>
        <w:tblLook w:val="01e0" w:firstRow="1" w:noVBand="0" w:lastRow="1" w:firstColumn="1" w:lastColumn="1" w:noHBand="0"/>
      </w:tblPr>
      <w:tblGrid>
        <w:gridCol w:w="4588"/>
        <w:gridCol w:w="5102"/>
      </w:tblGrid>
      <w:tr>
        <w:trPr>
          <w:trHeight w:val="5306" w:hRule="atLeast"/>
        </w:trPr>
        <w:tc>
          <w:tcPr>
            <w:tcW w:w="4588" w:type="dxa"/>
            <w:tcBorders/>
          </w:tcPr>
          <w:p>
            <w:pPr>
              <w:pStyle w:val="Normal"/>
              <w:snapToGrid w:val="false"/>
              <w:spacing w:lineRule="auto" w:line="276"/>
              <w:jc w:val="both"/>
              <w:rPr>
                <w:rFonts w:ascii="PT Astra Serif" w:hAnsi="PT Astra Serif"/>
                <w:sz w:val="22"/>
                <w:szCs w:val="22"/>
              </w:rPr>
            </w:pPr>
            <w:r>
              <w:rPr>
                <w:rFonts w:ascii="PT Astra Serif" w:hAnsi="PT Astra Serif"/>
                <w:b/>
                <w:bCs/>
                <w:sz w:val="22"/>
                <w:szCs w:val="22"/>
              </w:rPr>
              <w:t>Исполнитель:</w:t>
            </w:r>
          </w:p>
          <w:p>
            <w:pPr>
              <w:pStyle w:val="Normal"/>
              <w:snapToGrid w:val="false"/>
              <w:spacing w:lineRule="auto" w:line="276"/>
              <w:jc w:val="both"/>
              <w:rPr>
                <w:rFonts w:ascii="PT Astra Serif" w:hAnsi="PT Astra Serif"/>
                <w:sz w:val="22"/>
                <w:szCs w:val="22"/>
              </w:rPr>
            </w:pPr>
            <w:r>
              <w:rPr>
                <w:rFonts w:ascii="PT Astra Serif" w:hAnsi="PT Astra Serif"/>
                <w:sz w:val="22"/>
                <w:szCs w:val="22"/>
              </w:rPr>
            </w:r>
          </w:p>
        </w:tc>
        <w:tc>
          <w:tcPr>
            <w:tcW w:w="5102" w:type="dxa"/>
            <w:tcBorders/>
          </w:tcPr>
          <w:p>
            <w:pPr>
              <w:pStyle w:val="Normal"/>
              <w:tabs>
                <w:tab w:val="clear" w:pos="708"/>
                <w:tab w:val="left" w:pos="1725" w:leader="none"/>
              </w:tabs>
              <w:spacing w:lineRule="auto" w:line="276"/>
              <w:jc w:val="both"/>
              <w:rPr>
                <w:rFonts w:ascii="PT Astra Serif" w:hAnsi="PT Astra Serif"/>
                <w:sz w:val="22"/>
                <w:szCs w:val="22"/>
              </w:rPr>
            </w:pPr>
            <w:r>
              <w:rPr>
                <w:rFonts w:ascii="PT Astra Serif" w:hAnsi="PT Astra Serif"/>
                <w:b/>
                <w:bCs/>
                <w:sz w:val="22"/>
                <w:szCs w:val="22"/>
              </w:rPr>
              <w:t>Заказчик:</w:t>
            </w:r>
          </w:p>
          <w:p>
            <w:pPr>
              <w:pStyle w:val="BodyTextIndent"/>
              <w:spacing w:before="0" w:after="0"/>
              <w:ind w:left="0" w:right="1"/>
              <w:jc w:val="both"/>
              <w:rPr>
                <w:rFonts w:ascii="PT Astra Serif" w:hAnsi="PT Astra Serif"/>
                <w:b/>
                <w:bCs/>
                <w:sz w:val="22"/>
                <w:szCs w:val="22"/>
              </w:rPr>
            </w:pPr>
            <w:r>
              <w:rPr>
                <w:rFonts w:ascii="PT Astra Serif" w:hAnsi="PT Astra Serif"/>
                <w:b/>
                <w:bCs/>
                <w:sz w:val="22"/>
                <w:szCs w:val="22"/>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Е.М.Чучкалова»</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432063, г. Ульяновск, ул. Корюкина, 28</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ИНН 7325101759 КПП 732501001</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Министерство финансов Ульяновской области</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 xml:space="preserve">(ГУЗ «УОКЦСВМП», лицевой счет </w:t>
            </w:r>
            <w:r>
              <w:rPr>
                <w:rFonts w:ascii="PT Astra Serif" w:hAnsi="PT Astra Serif"/>
                <w:b/>
                <w:bCs/>
                <w:sz w:val="22"/>
                <w:szCs w:val="22"/>
              </w:rPr>
              <w:t>20261136В73)</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казначейский счет 03224643730000006801</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ОКЦ № 5 ВВГУ Банка России //УФК по Ульяновской</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области г. Ульяновск</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Банковский счет 40102810645370000061</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БИК 017308101</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ОГРН 1117325000341</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ОКПО 87778136</w:t>
            </w:r>
          </w:p>
          <w:p>
            <w:pPr>
              <w:pStyle w:val="BodyTextIndent"/>
              <w:spacing w:before="0" w:after="0"/>
              <w:ind w:left="0" w:right="1"/>
              <w:jc w:val="both"/>
              <w:rPr>
                <w:rFonts w:ascii="PT Astra Serif" w:hAnsi="PT Astra Serif"/>
                <w:b w:val="false"/>
                <w:bCs w:val="false"/>
                <w:sz w:val="22"/>
                <w:szCs w:val="22"/>
              </w:rPr>
            </w:pPr>
            <w:r>
              <w:rPr>
                <w:rFonts w:ascii="PT Astra Serif" w:hAnsi="PT Astra Serif"/>
                <w:b w:val="false"/>
                <w:bCs w:val="false"/>
                <w:sz w:val="22"/>
                <w:szCs w:val="22"/>
              </w:rPr>
              <w:t>тел. (8422) 44-23-29</w:t>
            </w:r>
          </w:p>
          <w:p>
            <w:pPr>
              <w:pStyle w:val="BodyTextIndent"/>
              <w:spacing w:before="0" w:after="0"/>
              <w:ind w:left="0" w:right="1"/>
              <w:jc w:val="both"/>
              <w:rPr>
                <w:rFonts w:ascii="PT Astra Serif" w:hAnsi="PT Astra Serif"/>
                <w:b/>
                <w:bCs/>
                <w:sz w:val="22"/>
                <w:szCs w:val="22"/>
              </w:rPr>
            </w:pPr>
            <w:r>
              <w:rPr>
                <w:rFonts w:ascii="PT Astra Serif" w:hAnsi="PT Astra Serif"/>
                <w:b/>
                <w:bCs/>
                <w:sz w:val="22"/>
                <w:szCs w:val="22"/>
              </w:rPr>
              <w:t>Главный врач ГУЗ «УОКЦСВМП»</w:t>
            </w:r>
          </w:p>
          <w:p>
            <w:pPr>
              <w:pStyle w:val="BodyTextIndent"/>
              <w:spacing w:before="0" w:after="0"/>
              <w:ind w:left="0" w:right="1"/>
              <w:jc w:val="both"/>
              <w:rPr>
                <w:rFonts w:ascii="PT Astra Serif" w:hAnsi="PT Astra Serif"/>
                <w:b/>
                <w:bCs/>
                <w:sz w:val="22"/>
                <w:szCs w:val="22"/>
              </w:rPr>
            </w:pPr>
            <w:r>
              <w:rPr>
                <w:rFonts w:ascii="PT Astra Serif" w:hAnsi="PT Astra Serif"/>
                <w:b/>
                <w:bCs/>
                <w:sz w:val="22"/>
                <w:szCs w:val="22"/>
              </w:rPr>
            </w:r>
          </w:p>
          <w:p>
            <w:pPr>
              <w:pStyle w:val="BodyTextIndent"/>
              <w:spacing w:before="0" w:after="0"/>
              <w:ind w:left="0" w:right="1"/>
              <w:jc w:val="both"/>
              <w:rPr>
                <w:rFonts w:ascii="PT Astra Serif" w:hAnsi="PT Astra Serif"/>
                <w:b/>
                <w:bCs/>
                <w:sz w:val="22"/>
                <w:szCs w:val="22"/>
              </w:rPr>
            </w:pPr>
            <w:r>
              <w:rPr>
                <w:rFonts w:ascii="PT Astra Serif" w:hAnsi="PT Astra Serif"/>
                <w:b/>
                <w:bCs/>
                <w:sz w:val="22"/>
                <w:szCs w:val="22"/>
              </w:rPr>
              <w:t>________________ С.Н. Беззубёнков</w:t>
            </w:r>
          </w:p>
          <w:p>
            <w:pPr>
              <w:pStyle w:val="BodyTextIndent"/>
              <w:spacing w:before="0" w:after="0"/>
              <w:ind w:left="0" w:right="1"/>
              <w:jc w:val="both"/>
              <w:rPr>
                <w:rFonts w:ascii="PT Astra Serif" w:hAnsi="PT Astra Serif"/>
                <w:sz w:val="22"/>
                <w:szCs w:val="22"/>
              </w:rPr>
            </w:pPr>
            <w:r>
              <w:rPr>
                <w:rFonts w:ascii="PT Astra Serif" w:hAnsi="PT Astra Serif"/>
                <w:b/>
                <w:bCs/>
                <w:sz w:val="22"/>
                <w:szCs w:val="22"/>
              </w:rPr>
              <w:t>м.п.</w:t>
            </w:r>
          </w:p>
        </w:tc>
      </w:tr>
    </w:tbl>
    <w:p>
      <w:pPr>
        <w:pStyle w:val="Normal"/>
        <w:jc w:val="right"/>
        <w:rPr>
          <w:rFonts w:ascii="PT Astra Serif" w:hAnsi="PT Astra Serif"/>
          <w:sz w:val="22"/>
          <w:szCs w:val="22"/>
        </w:rPr>
      </w:pPr>
      <w:r>
        <w:br w:type="page"/>
      </w:r>
      <w:r>
        <w:rPr>
          <w:rFonts w:ascii="PT Astra Serif" w:hAnsi="PT Astra Serif"/>
          <w:sz w:val="22"/>
          <w:szCs w:val="22"/>
        </w:rPr>
        <w:t>Приложение №1</w:t>
      </w:r>
    </w:p>
    <w:p>
      <w:pPr>
        <w:pStyle w:val="Normal"/>
        <w:jc w:val="right"/>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к контракту № _______________от «_____»</w:t>
      </w:r>
      <w:r>
        <w:rPr>
          <w:rFonts w:ascii="PT Astra Serif" w:hAnsi="PT Astra Serif"/>
          <w:sz w:val="22"/>
          <w:szCs w:val="22"/>
          <w:lang w:val="ru-RU"/>
        </w:rPr>
        <w:t xml:space="preserve"> </w:t>
      </w:r>
      <w:r>
        <w:rPr>
          <w:rFonts w:ascii="PT Astra Serif" w:hAnsi="PT Astra Serif"/>
          <w:sz w:val="22"/>
          <w:szCs w:val="22"/>
          <w:lang w:val="ru-RU"/>
        </w:rPr>
        <w:t>августа</w:t>
      </w:r>
      <w:r>
        <w:rPr>
          <w:rFonts w:ascii="PT Astra Serif" w:hAnsi="PT Astra Serif"/>
          <w:sz w:val="22"/>
          <w:szCs w:val="22"/>
          <w:lang w:val="ru-RU"/>
        </w:rPr>
        <w:t xml:space="preserve"> </w:t>
      </w:r>
      <w:r>
        <w:rPr>
          <w:rFonts w:ascii="PT Astra Serif" w:hAnsi="PT Astra Serif"/>
          <w:sz w:val="22"/>
          <w:szCs w:val="22"/>
        </w:rPr>
        <w:t>2026 г.</w:t>
      </w:r>
    </w:p>
    <w:p>
      <w:pPr>
        <w:pStyle w:val="Normal"/>
        <w:jc w:val="right"/>
        <w:rPr>
          <w:rFonts w:ascii="PT Astra Serif" w:hAnsi="PT Astra Serif"/>
          <w:b/>
          <w:sz w:val="22"/>
          <w:szCs w:val="22"/>
        </w:rPr>
      </w:pPr>
      <w:r>
        <w:rPr>
          <w:rFonts w:ascii="PT Astra Serif" w:hAnsi="PT Astra Serif"/>
          <w:b/>
          <w:sz w:val="22"/>
          <w:szCs w:val="22"/>
        </w:rPr>
      </w:r>
    </w:p>
    <w:p>
      <w:pPr>
        <w:pStyle w:val="Normal"/>
        <w:jc w:val="center"/>
        <w:rPr>
          <w:rFonts w:ascii="PT Astra Serif" w:hAnsi="PT Astra Serif"/>
          <w:sz w:val="22"/>
          <w:szCs w:val="22"/>
        </w:rPr>
      </w:pPr>
      <w:r>
        <w:rPr>
          <w:rFonts w:ascii="PT Astra Serif" w:hAnsi="PT Astra Serif"/>
          <w:b/>
          <w:sz w:val="22"/>
          <w:szCs w:val="22"/>
        </w:rPr>
        <w:t>СПЕЦИФИКАЦИЯ</w:t>
      </w:r>
    </w:p>
    <w:p>
      <w:pPr>
        <w:pStyle w:val="Normal"/>
        <w:jc w:val="center"/>
        <w:rPr>
          <w:rFonts w:ascii="PT Astra Serif" w:hAnsi="PT Astra Serif"/>
          <w:b/>
          <w:sz w:val="22"/>
          <w:szCs w:val="22"/>
        </w:rPr>
      </w:pPr>
      <w:r>
        <w:rPr>
          <w:rFonts w:ascii="PT Astra Serif" w:hAnsi="PT Astra Serif"/>
          <w:b/>
          <w:sz w:val="22"/>
          <w:szCs w:val="22"/>
        </w:rPr>
      </w:r>
    </w:p>
    <w:tbl>
      <w:tblPr>
        <w:tblW w:w="9975" w:type="dxa"/>
        <w:jc w:val="left"/>
        <w:tblInd w:w="0" w:type="dxa"/>
        <w:tblLayout w:type="fixed"/>
        <w:tblCellMar>
          <w:top w:w="0" w:type="dxa"/>
          <w:left w:w="108" w:type="dxa"/>
          <w:bottom w:w="0" w:type="dxa"/>
          <w:right w:w="108" w:type="dxa"/>
        </w:tblCellMar>
        <w:tblLook w:val="01e0" w:firstRow="1" w:noVBand="0" w:lastRow="1" w:firstColumn="1" w:lastColumn="1" w:noHBand="0"/>
      </w:tblPr>
      <w:tblGrid>
        <w:gridCol w:w="675"/>
        <w:gridCol w:w="4755"/>
        <w:gridCol w:w="1140"/>
        <w:gridCol w:w="675"/>
        <w:gridCol w:w="1590"/>
        <w:gridCol w:w="1140"/>
      </w:tblGrid>
      <w:tr>
        <w:trPr>
          <w:trHeight w:val="675"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п/п</w:t>
            </w:r>
          </w:p>
        </w:tc>
        <w:tc>
          <w:tcPr>
            <w:tcW w:w="47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Наименование услуги</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Ед. изм.</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Кол-во</w:t>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Цена единицы услуги, руб.</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Сумма, руб.</w:t>
            </w:r>
          </w:p>
        </w:tc>
      </w:tr>
      <w:tr>
        <w:trPr>
          <w:trHeight w:val="20"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4755" w:type="dxa"/>
            <w:tcBorders>
              <w:top w:val="single" w:sz="4" w:space="0" w:color="000000"/>
              <w:left w:val="single" w:sz="4" w:space="0" w:color="000000"/>
              <w:bottom w:val="single" w:sz="4" w:space="0" w:color="000000"/>
            </w:tcBorders>
            <w:vAlign w:val="center"/>
          </w:tcPr>
          <w:p>
            <w:pPr>
              <w:pStyle w:val="NoSpacing"/>
              <w:jc w:val="both"/>
              <w:rPr/>
            </w:pPr>
            <w:r>
              <w:rPr>
                <w:rStyle w:val="Style14"/>
                <w:rFonts w:ascii="PT Astra Serif" w:hAnsi="PT Astra Serif"/>
                <w:sz w:val="20"/>
                <w:szCs w:val="20"/>
              </w:rPr>
              <w:t>Проверка сметной документации и  определение вида ремонтных работ (текущий или капитальный): Выполнение работ по ремонту здание стационара по адресу: Российская Федерация, г. Ульяновск ул. Рылеева д.30/30(водосточных систем)</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6 750,00</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6 750,00</w:t>
            </w:r>
          </w:p>
        </w:tc>
      </w:tr>
      <w:tr>
        <w:trPr>
          <w:trHeight w:val="20" w:hRule="atLeast"/>
        </w:trPr>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2</w:t>
            </w:r>
          </w:p>
        </w:tc>
        <w:tc>
          <w:tcPr>
            <w:tcW w:w="4755" w:type="dxa"/>
            <w:tcBorders>
              <w:left w:val="single" w:sz="4" w:space="0" w:color="000000"/>
              <w:bottom w:val="single" w:sz="4" w:space="0" w:color="000000"/>
            </w:tcBorders>
            <w:vAlign w:val="center"/>
          </w:tcPr>
          <w:p>
            <w:pPr>
              <w:pStyle w:val="NoSpacing"/>
              <w:jc w:val="both"/>
              <w:rPr>
                <w:rFonts w:ascii="PT Astra Serif" w:hAnsi="PT Astra Serif"/>
                <w:sz w:val="20"/>
                <w:szCs w:val="20"/>
              </w:rPr>
            </w:pPr>
            <w:r>
              <w:rPr>
                <w:rFonts w:ascii="PT Astra Serif" w:hAnsi="PT Astra Serif"/>
                <w:sz w:val="20"/>
                <w:szCs w:val="20"/>
              </w:rPr>
              <w:t>Проверка сметной документации и  определение вида ремонтных работ (текущий или капитальный): Выполнение работ по ремонту здания главного корпуса по адресу: Российская Федерация г. Ульяновск ул. Корюкина д.28,(водосточных систем)</w:t>
            </w:r>
          </w:p>
        </w:tc>
        <w:tc>
          <w:tcPr>
            <w:tcW w:w="1140"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159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3 700,00</w:t>
            </w:r>
          </w:p>
        </w:tc>
        <w:tc>
          <w:tcPr>
            <w:tcW w:w="114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3 700,00</w:t>
            </w:r>
          </w:p>
        </w:tc>
      </w:tr>
      <w:tr>
        <w:trPr>
          <w:trHeight w:val="20" w:hRule="atLeast"/>
        </w:trPr>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3</w:t>
            </w:r>
          </w:p>
        </w:tc>
        <w:tc>
          <w:tcPr>
            <w:tcW w:w="4755" w:type="dxa"/>
            <w:tcBorders>
              <w:left w:val="single" w:sz="4" w:space="0" w:color="000000"/>
              <w:bottom w:val="single" w:sz="4" w:space="0" w:color="000000"/>
            </w:tcBorders>
            <w:vAlign w:val="center"/>
          </w:tcPr>
          <w:p>
            <w:pPr>
              <w:pStyle w:val="NoSpacing"/>
              <w:jc w:val="both"/>
              <w:rPr/>
            </w:pPr>
            <w:r>
              <w:rPr>
                <w:rStyle w:val="Style14"/>
                <w:rFonts w:ascii="PT Astra Serif" w:hAnsi="PT Astra Serif"/>
                <w:sz w:val="20"/>
                <w:szCs w:val="20"/>
              </w:rPr>
              <w:t>Проверка сметной документации и  определение вида ремонтных работ (текущий или капитальный): Техническое обслуживание систем вентиляции ГУЗ "УОКЦСВМП" по адресу: г.Ульяновск ул. Рылеева д.30/30, здание главного корпуса</w:t>
            </w:r>
          </w:p>
        </w:tc>
        <w:tc>
          <w:tcPr>
            <w:tcW w:w="1140"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159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2 900,00</w:t>
            </w:r>
          </w:p>
        </w:tc>
        <w:tc>
          <w:tcPr>
            <w:tcW w:w="114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2 900,00</w:t>
            </w:r>
          </w:p>
        </w:tc>
      </w:tr>
      <w:tr>
        <w:trPr>
          <w:trHeight w:val="20" w:hRule="atLeast"/>
        </w:trPr>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4</w:t>
            </w:r>
          </w:p>
        </w:tc>
        <w:tc>
          <w:tcPr>
            <w:tcW w:w="4755" w:type="dxa"/>
            <w:tcBorders>
              <w:left w:val="single" w:sz="4" w:space="0" w:color="000000"/>
              <w:bottom w:val="single" w:sz="4" w:space="0" w:color="000000"/>
            </w:tcBorders>
            <w:vAlign w:val="center"/>
          </w:tcPr>
          <w:p>
            <w:pPr>
              <w:pStyle w:val="NoSpacing"/>
              <w:jc w:val="both"/>
              <w:rPr>
                <w:rFonts w:ascii="PT Astra Serif" w:hAnsi="PT Astra Serif"/>
                <w:sz w:val="20"/>
                <w:szCs w:val="20"/>
              </w:rPr>
            </w:pPr>
            <w:r>
              <w:rPr>
                <w:rFonts w:ascii="PT Astra Serif" w:hAnsi="PT Astra Serif"/>
                <w:sz w:val="20"/>
                <w:szCs w:val="20"/>
              </w:rPr>
              <w:t>Проверка сметной документации и  определение вида ремонтных работ (текущий или капитальный): Выполнение огнезащитной обработки деревянных конструкций кровли здание главного корпуса ГУЗ  «УОКЦСВМП» по адресу г. Ульяновск ул. Рылеева 30/30 (чердачное помещение)</w:t>
            </w:r>
          </w:p>
        </w:tc>
        <w:tc>
          <w:tcPr>
            <w:tcW w:w="1140"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159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2 700,00</w:t>
            </w:r>
          </w:p>
        </w:tc>
        <w:tc>
          <w:tcPr>
            <w:tcW w:w="114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2 700,00</w:t>
            </w:r>
          </w:p>
        </w:tc>
      </w:tr>
      <w:tr>
        <w:trPr>
          <w:trHeight w:val="20" w:hRule="atLeast"/>
        </w:trPr>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5</w:t>
            </w:r>
          </w:p>
        </w:tc>
        <w:tc>
          <w:tcPr>
            <w:tcW w:w="4755" w:type="dxa"/>
            <w:tcBorders>
              <w:left w:val="single" w:sz="4" w:space="0" w:color="000000"/>
              <w:bottom w:val="single" w:sz="4" w:space="0" w:color="000000"/>
            </w:tcBorders>
            <w:vAlign w:val="center"/>
          </w:tcPr>
          <w:p>
            <w:pPr>
              <w:pStyle w:val="NoSpacing"/>
              <w:jc w:val="both"/>
              <w:rPr>
                <w:rFonts w:ascii="PT Astra Serif" w:hAnsi="PT Astra Serif"/>
                <w:sz w:val="20"/>
                <w:szCs w:val="20"/>
              </w:rPr>
            </w:pPr>
            <w:r>
              <w:rPr>
                <w:rFonts w:ascii="PT Astra Serif" w:hAnsi="PT Astra Serif"/>
                <w:sz w:val="20"/>
                <w:szCs w:val="20"/>
              </w:rPr>
              <w:t>Проверка сметной документации и  определение вида ремонтных работ (текущий или капитальный): Выполнение огнезащитной обработки деревянных конструкций кровли здание стационара ГУЗ  «УОКЦСВМП» по адресу г. Ульяновск ул. Рылеева 30/30 (чердачное помещение)</w:t>
            </w:r>
          </w:p>
        </w:tc>
        <w:tc>
          <w:tcPr>
            <w:tcW w:w="1140"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159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2 700,00</w:t>
            </w:r>
          </w:p>
        </w:tc>
        <w:tc>
          <w:tcPr>
            <w:tcW w:w="114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2 700,00</w:t>
            </w:r>
          </w:p>
        </w:tc>
      </w:tr>
      <w:tr>
        <w:trPr>
          <w:trHeight w:val="20" w:hRule="atLeast"/>
        </w:trPr>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6</w:t>
            </w:r>
          </w:p>
        </w:tc>
        <w:tc>
          <w:tcPr>
            <w:tcW w:w="4755" w:type="dxa"/>
            <w:tcBorders>
              <w:left w:val="single" w:sz="4" w:space="0" w:color="000000"/>
              <w:bottom w:val="single" w:sz="4" w:space="0" w:color="000000"/>
            </w:tcBorders>
            <w:vAlign w:val="center"/>
          </w:tcPr>
          <w:p>
            <w:pPr>
              <w:pStyle w:val="Normal"/>
              <w:bidi w:val="0"/>
              <w:spacing w:lineRule="auto" w:line="240" w:before="0" w:after="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Проверка сметной документации и  определение вида ремонтных работ (текущий или капитальный):Выполнение огнезащитной обработки деревянных конструкций кровли здание ГУЗ «УОКЦСВМП» по адресу г. Ульяновск ул. Рылеева 39/1А (чердачное помещение)</w:t>
            </w:r>
          </w:p>
        </w:tc>
        <w:tc>
          <w:tcPr>
            <w:tcW w:w="1140"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1</w:t>
            </w:r>
          </w:p>
        </w:tc>
        <w:tc>
          <w:tcPr>
            <w:tcW w:w="159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2 700,00</w:t>
            </w:r>
          </w:p>
        </w:tc>
        <w:tc>
          <w:tcPr>
            <w:tcW w:w="1140" w:type="dxa"/>
            <w:tcBorders>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lang w:val="ru-RU"/>
              </w:rPr>
            </w:pPr>
            <w:r>
              <w:rPr>
                <w:rFonts w:ascii="PT Astra Serif" w:hAnsi="PT Astra Serif"/>
                <w:sz w:val="20"/>
                <w:szCs w:val="20"/>
                <w:lang w:val="ru-RU"/>
              </w:rPr>
              <w:t>2 700,00</w:t>
            </w:r>
          </w:p>
        </w:tc>
      </w:tr>
      <w:tr>
        <w:trPr>
          <w:trHeight w:val="20"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r>
          </w:p>
        </w:tc>
        <w:tc>
          <w:tcPr>
            <w:tcW w:w="4755" w:type="dxa"/>
            <w:tcBorders>
              <w:top w:val="single" w:sz="4" w:space="0" w:color="000000"/>
              <w:left w:val="single" w:sz="4" w:space="0" w:color="000000"/>
              <w:bottom w:val="single" w:sz="4" w:space="0" w:color="000000"/>
            </w:tcBorders>
            <w:vAlign w:val="center"/>
          </w:tcPr>
          <w:p>
            <w:pPr>
              <w:pStyle w:val="BodyText3"/>
              <w:spacing w:before="0" w:after="0"/>
              <w:jc w:val="center"/>
              <w:rPr>
                <w:rFonts w:ascii="PT Astra Serif" w:hAnsi="PT Astra Serif"/>
                <w:sz w:val="22"/>
                <w:szCs w:val="22"/>
              </w:rPr>
            </w:pPr>
            <w:r>
              <w:rPr>
                <w:rFonts w:ascii="PT Astra Serif" w:hAnsi="PT Astra Serif"/>
                <w:sz w:val="22"/>
                <w:szCs w:val="22"/>
              </w:rPr>
              <w:t>Итого</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Условная единица</w:t>
            </w:r>
          </w:p>
        </w:tc>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2"/>
                <w:szCs w:val="22"/>
              </w:rPr>
            </w:pPr>
            <w:r>
              <w:rPr>
                <w:rFonts w:ascii="PT Astra Serif" w:hAnsi="PT Astra Serif"/>
                <w:sz w:val="22"/>
                <w:szCs w:val="22"/>
              </w:rPr>
              <w:t>6</w:t>
            </w:r>
          </w:p>
        </w:tc>
        <w:tc>
          <w:tcPr>
            <w:tcW w:w="159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rPr>
            </w:pPr>
            <w:r>
              <w:rPr>
                <w:b/>
                <w:color w:val="000000"/>
                <w:sz w:val="20"/>
                <w:szCs w:val="20"/>
                <w:lang w:val="ru-RU"/>
              </w:rPr>
              <w:t>21 45</w:t>
            </w:r>
            <w:r>
              <w:rPr>
                <w:b/>
                <w:color w:val="000000"/>
                <w:sz w:val="20"/>
                <w:szCs w:val="20"/>
                <w:lang w:val="en-US"/>
              </w:rPr>
              <w:t>0</w:t>
            </w:r>
            <w:r>
              <w:rPr>
                <w:b/>
                <w:color w:val="000000"/>
                <w:sz w:val="20"/>
                <w:szCs w:val="20"/>
              </w:rPr>
              <w:t>,00</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PT Astra Serif" w:hAnsi="PT Astra Serif"/>
                <w:sz w:val="20"/>
                <w:szCs w:val="20"/>
              </w:rPr>
            </w:pPr>
            <w:r>
              <w:rPr>
                <w:b/>
                <w:color w:val="000000"/>
                <w:sz w:val="20"/>
                <w:szCs w:val="20"/>
                <w:lang w:val="ru-RU"/>
              </w:rPr>
              <w:t>21 45</w:t>
            </w:r>
            <w:r>
              <w:rPr>
                <w:b/>
                <w:color w:val="000000"/>
                <w:sz w:val="20"/>
                <w:szCs w:val="20"/>
                <w:lang w:val="en-US"/>
              </w:rPr>
              <w:t>0</w:t>
            </w:r>
            <w:r>
              <w:rPr>
                <w:b/>
                <w:color w:val="000000"/>
                <w:sz w:val="20"/>
                <w:szCs w:val="20"/>
              </w:rPr>
              <w:t>,00</w:t>
            </w:r>
          </w:p>
        </w:tc>
      </w:tr>
    </w:tbl>
    <w:p>
      <w:pPr>
        <w:pStyle w:val="Normal"/>
        <w:rPr>
          <w:rFonts w:ascii="PT Astra Serif" w:hAnsi="PT Astra Serif"/>
          <w:sz w:val="22"/>
          <w:szCs w:val="22"/>
        </w:rPr>
      </w:pPr>
      <w:r>
        <w:rPr>
          <w:rFonts w:ascii="PT Astra Serif" w:hAnsi="PT Astra Serif"/>
          <w:sz w:val="22"/>
          <w:szCs w:val="22"/>
        </w:rPr>
        <w:t xml:space="preserve">Итого: </w:t>
      </w:r>
    </w:p>
    <w:p>
      <w:pPr>
        <w:pStyle w:val="Normal"/>
        <w:rPr>
          <w:highlight w:val="none"/>
          <w:shd w:fill="FFFFFF" w:val="clear"/>
        </w:rPr>
      </w:pPr>
      <w:r>
        <w:rPr>
          <w:rFonts w:ascii="PT Astra Serif" w:hAnsi="PT Astra Serif"/>
          <w:sz w:val="22"/>
          <w:szCs w:val="22"/>
          <w:shd w:fill="FFFFFF" w:val="clear"/>
        </w:rPr>
        <w:t>Приложение :</w:t>
      </w:r>
    </w:p>
    <w:p>
      <w:pPr>
        <w:pStyle w:val="Normal"/>
        <w:rPr>
          <w:highlight w:val="none"/>
          <w:shd w:fill="FFFFFF" w:val="clear"/>
        </w:rPr>
      </w:pPr>
      <w:r>
        <w:rPr>
          <w:rFonts w:ascii="PT Astra Serif" w:hAnsi="PT Astra Serif"/>
          <w:b w:val="false"/>
          <w:bCs w:val="false"/>
          <w:sz w:val="22"/>
          <w:szCs w:val="22"/>
          <w:shd w:fill="FFFFFF" w:val="clear"/>
          <w:lang w:val="ru-RU"/>
        </w:rPr>
        <w:t>1.</w:t>
      </w:r>
      <w:r>
        <w:rPr>
          <w:rFonts w:ascii="PT Astra Serif" w:hAnsi="PT Astra Serif"/>
          <w:b w:val="false"/>
          <w:bCs w:val="false"/>
          <w:sz w:val="22"/>
          <w:szCs w:val="22"/>
          <w:shd w:fill="FFFFFF" w:val="clear"/>
          <w:lang w:val="en-US"/>
        </w:rPr>
        <w:t>) Ведомость объемов работ ЛРВ-1</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en-US"/>
        </w:rPr>
        <w:t>;</w:t>
      </w:r>
    </w:p>
    <w:p>
      <w:pPr>
        <w:pStyle w:val="Normal"/>
        <w:rPr>
          <w:highlight w:val="none"/>
          <w:shd w:fill="FFFFFF" w:val="clear"/>
        </w:rPr>
      </w:pPr>
      <w:r>
        <w:rPr>
          <w:rFonts w:ascii="PT Astra Serif" w:hAnsi="PT Astra Serif"/>
          <w:b w:val="false"/>
          <w:bCs w:val="false"/>
          <w:i w:val="false"/>
          <w:strike w:val="false"/>
          <w:dstrike w:val="false"/>
          <w:outline w:val="false"/>
          <w:shadow w:val="false"/>
          <w:color w:val="000000"/>
          <w:sz w:val="22"/>
          <w:szCs w:val="22"/>
          <w:u w:val="none"/>
          <w:shd w:fill="FFFFFF" w:val="clear"/>
          <w:em w:val="none"/>
          <w:lang w:val="ru-RU"/>
        </w:rPr>
        <w:t>1.2.</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ru-RU"/>
        </w:rPr>
        <w:t>) Локальный сметный расчет (смета) № ЛС-02-01-01Н2;</w:t>
      </w:r>
    </w:p>
    <w:p>
      <w:pPr>
        <w:pStyle w:val="Normal"/>
        <w:rPr>
          <w:highlight w:val="none"/>
          <w:shd w:fill="FFFFFF" w:val="clear"/>
        </w:rPr>
      </w:pPr>
      <w:r>
        <w:rPr>
          <w:rFonts w:ascii="PT Astra Serif" w:hAnsi="PT Astra Serif"/>
          <w:b w:val="false"/>
          <w:bCs w:val="false"/>
          <w:sz w:val="22"/>
          <w:szCs w:val="22"/>
          <w:shd w:fill="FFFFFF" w:val="clear"/>
          <w:lang w:val="ru-RU"/>
        </w:rPr>
        <w:t>2.</w:t>
      </w:r>
      <w:r>
        <w:rPr>
          <w:rFonts w:ascii="PT Astra Serif" w:hAnsi="PT Astra Serif"/>
          <w:b w:val="false"/>
          <w:bCs w:val="false"/>
          <w:sz w:val="22"/>
          <w:szCs w:val="22"/>
          <w:shd w:fill="FFFFFF" w:val="clear"/>
          <w:lang w:val="en-US"/>
        </w:rPr>
        <w:t xml:space="preserve">) </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en-US"/>
        </w:rPr>
        <w:t>Ведомость объемов работ ЛРВ-</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ru-RU"/>
        </w:rPr>
        <w:t>1</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en-US"/>
        </w:rPr>
        <w:t>;</w:t>
      </w:r>
    </w:p>
    <w:p>
      <w:pPr>
        <w:pStyle w:val="Normal"/>
        <w:rPr>
          <w:highlight w:val="none"/>
          <w:shd w:fill="FFFFFF" w:val="clear"/>
        </w:rPr>
      </w:pPr>
      <w:r>
        <w:rPr>
          <w:rFonts w:ascii="PT Astra Serif" w:hAnsi="PT Astra Serif"/>
          <w:b w:val="false"/>
          <w:bCs w:val="false"/>
          <w:sz w:val="22"/>
          <w:szCs w:val="22"/>
          <w:shd w:fill="FFFFFF" w:val="clear"/>
          <w:lang w:val="ru-RU"/>
        </w:rPr>
        <w:t>2.1</w:t>
      </w:r>
      <w:r>
        <w:rPr>
          <w:rFonts w:ascii="PT Astra Serif" w:hAnsi="PT Astra Serif"/>
          <w:b w:val="false"/>
          <w:bCs w:val="false"/>
          <w:sz w:val="22"/>
          <w:szCs w:val="22"/>
          <w:shd w:fill="FFFFFF" w:val="clear"/>
          <w:lang w:val="en-US"/>
        </w:rPr>
        <w:t xml:space="preserve">) </w:t>
      </w:r>
      <w:r>
        <w:rPr>
          <w:rFonts w:ascii="PT Astra Serif" w:hAnsi="PT Astra Serif"/>
          <w:b w:val="false"/>
          <w:bCs w:val="false"/>
          <w:sz w:val="22"/>
          <w:szCs w:val="22"/>
          <w:shd w:fill="FFFFFF" w:val="clear"/>
          <w:lang w:val="ru-RU"/>
        </w:rPr>
        <w:t>Локальный сметный расчет (смета)</w:t>
      </w:r>
      <w:r>
        <w:rPr>
          <w:rFonts w:ascii="PT Astra Serif" w:hAnsi="PT Astra Serif"/>
          <w:b w:val="false"/>
          <w:bCs w:val="false"/>
          <w:sz w:val="22"/>
          <w:szCs w:val="22"/>
          <w:shd w:fill="FFFFFF" w:val="clear"/>
          <w:lang w:val="en-US"/>
        </w:rPr>
        <w:t xml:space="preserve"> № ЛС-02-01-01</w:t>
      </w:r>
      <w:r>
        <w:rPr>
          <w:rFonts w:ascii="PT Astra Serif" w:hAnsi="PT Astra Serif"/>
          <w:b w:val="false"/>
          <w:bCs w:val="false"/>
          <w:sz w:val="22"/>
          <w:szCs w:val="22"/>
          <w:shd w:fill="FFFFFF" w:val="clear"/>
          <w:lang w:val="en-US"/>
        </w:rPr>
        <w:t>;</w:t>
      </w:r>
    </w:p>
    <w:p>
      <w:pPr>
        <w:pStyle w:val="Normal"/>
        <w:rPr>
          <w:highlight w:val="none"/>
          <w:shd w:fill="FFFFFF" w:val="clear"/>
        </w:rPr>
      </w:pPr>
      <w:r>
        <w:rPr>
          <w:rFonts w:ascii="PT Astra Serif" w:hAnsi="PT Astra Serif"/>
          <w:sz w:val="22"/>
          <w:szCs w:val="22"/>
          <w:shd w:fill="FFFFFF" w:val="clear"/>
          <w:lang w:val="ru-RU"/>
        </w:rPr>
        <w:t>3.</w:t>
      </w:r>
      <w:r>
        <w:rPr>
          <w:rFonts w:ascii="PT Astra Serif" w:hAnsi="PT Astra Serif"/>
          <w:sz w:val="22"/>
          <w:szCs w:val="22"/>
          <w:shd w:fill="FFFFFF" w:val="clear"/>
          <w:lang w:val="en-US"/>
        </w:rPr>
        <w:t xml:space="preserve">) </w:t>
      </w:r>
      <w:r>
        <w:rPr>
          <w:rFonts w:ascii="PT Astra Serif" w:hAnsi="PT Astra Serif"/>
          <w:b w:val="false"/>
          <w:bCs w:val="false"/>
          <w:sz w:val="22"/>
          <w:szCs w:val="22"/>
          <w:shd w:fill="FFFFFF" w:val="clear"/>
          <w:lang w:val="en-US"/>
        </w:rPr>
        <w:t xml:space="preserve">Ведомость объемов работ </w:t>
      </w:r>
      <w:r>
        <w:rPr>
          <w:rFonts w:ascii="PT Astra Serif" w:hAnsi="PT Astra Serif"/>
          <w:b w:val="false"/>
          <w:bCs w:val="false"/>
          <w:i w:val="false"/>
          <w:strike w:val="false"/>
          <w:dstrike w:val="false"/>
          <w:outline w:val="false"/>
          <w:shadow w:val="false"/>
          <w:color w:val="000000"/>
          <w:sz w:val="22"/>
          <w:szCs w:val="22"/>
          <w:u w:val="none"/>
          <w:shd w:fill="FFFFFF" w:val="clear"/>
          <w:em w:val="none"/>
        </w:rPr>
        <w:t>ЛРВ-</w:t>
      </w:r>
      <w:r>
        <w:rPr>
          <w:rFonts w:ascii="PT Astra Serif" w:hAnsi="PT Astra Serif"/>
          <w:b w:val="false"/>
          <w:bCs w:val="false"/>
          <w:i w:val="false"/>
          <w:strike w:val="false"/>
          <w:dstrike w:val="false"/>
          <w:outline w:val="false"/>
          <w:shadow w:val="false"/>
          <w:color w:val="000000"/>
          <w:sz w:val="22"/>
          <w:szCs w:val="22"/>
          <w:u w:val="none"/>
          <w:shd w:fill="FFFFFF" w:val="clear"/>
          <w:em w:val="none"/>
        </w:rPr>
        <w:t>1</w:t>
      </w:r>
      <w:r>
        <w:rPr>
          <w:rFonts w:ascii="PT Astra Serif" w:hAnsi="PT Astra Serif"/>
          <w:b w:val="false"/>
          <w:bCs w:val="false"/>
          <w:i w:val="false"/>
          <w:strike w:val="false"/>
          <w:dstrike w:val="false"/>
          <w:outline w:val="false"/>
          <w:shadow w:val="false"/>
          <w:color w:val="000000"/>
          <w:sz w:val="22"/>
          <w:szCs w:val="22"/>
          <w:u w:val="none"/>
          <w:shd w:fill="FFFFFF" w:val="clear"/>
          <w:em w:val="none"/>
        </w:rPr>
        <w:t>;</w:t>
      </w:r>
    </w:p>
    <w:p>
      <w:pPr>
        <w:pStyle w:val="Normal"/>
        <w:rPr>
          <w:highlight w:val="none"/>
          <w:shd w:fill="FFFFFF" w:val="clear"/>
        </w:rPr>
      </w:pPr>
      <w:r>
        <w:rPr>
          <w:rFonts w:ascii="PT Astra Serif" w:hAnsi="PT Astra Serif"/>
          <w:b w:val="false"/>
          <w:bCs w:val="false"/>
          <w:sz w:val="22"/>
          <w:szCs w:val="22"/>
          <w:shd w:fill="FFFFFF" w:val="clear"/>
          <w:lang w:val="ru-RU"/>
        </w:rPr>
        <w:t>3.1</w:t>
      </w:r>
      <w:r>
        <w:rPr>
          <w:rFonts w:ascii="PT Astra Serif" w:hAnsi="PT Astra Serif"/>
          <w:b w:val="false"/>
          <w:bCs w:val="false"/>
          <w:sz w:val="22"/>
          <w:szCs w:val="22"/>
          <w:shd w:fill="FFFFFF" w:val="clear"/>
          <w:lang w:val="en-US"/>
        </w:rPr>
        <w:t xml:space="preserve">) </w:t>
      </w:r>
      <w:r>
        <w:rPr>
          <w:rFonts w:ascii="PT Astra Serif" w:hAnsi="PT Astra Serif"/>
          <w:b w:val="false"/>
          <w:bCs w:val="false"/>
          <w:sz w:val="22"/>
          <w:szCs w:val="22"/>
          <w:shd w:fill="FFFFFF" w:val="clear"/>
        </w:rPr>
        <w:t>Локальный сметный расчет (смета)</w:t>
      </w:r>
      <w:r>
        <w:rPr>
          <w:rFonts w:ascii="PT Astra Serif" w:hAnsi="PT Astra Serif"/>
          <w:b w:val="false"/>
          <w:bCs w:val="false"/>
          <w:sz w:val="22"/>
          <w:szCs w:val="22"/>
          <w:shd w:fill="FFFFFF" w:val="clear"/>
          <w:lang w:val="en-US"/>
        </w:rPr>
        <w:t xml:space="preserve"> № ЛС-02-01-01Н9</w:t>
      </w:r>
      <w:r>
        <w:rPr>
          <w:rFonts w:ascii="PT Astra Serif" w:hAnsi="PT Astra Serif"/>
          <w:b w:val="false"/>
          <w:bCs w:val="false"/>
          <w:sz w:val="22"/>
          <w:szCs w:val="22"/>
          <w:shd w:fill="FFFFFF" w:val="clear"/>
        </w:rPr>
        <w:t>;</w:t>
      </w:r>
    </w:p>
    <w:p>
      <w:pPr>
        <w:pStyle w:val="Normal"/>
        <w:rPr>
          <w:highlight w:val="none"/>
          <w:shd w:fill="FFFFFF" w:val="clear"/>
        </w:rPr>
      </w:pPr>
      <w:r>
        <w:rPr>
          <w:rFonts w:ascii="PT Astra Serif" w:hAnsi="PT Astra Serif"/>
          <w:b w:val="false"/>
          <w:bCs w:val="false"/>
          <w:sz w:val="22"/>
          <w:szCs w:val="22"/>
          <w:shd w:fill="FFFFFF" w:val="clear"/>
          <w:lang w:val="ru-RU"/>
        </w:rPr>
        <w:t>4.</w:t>
      </w:r>
      <w:r>
        <w:rPr>
          <w:rFonts w:ascii="PT Astra Serif" w:hAnsi="PT Astra Serif"/>
          <w:b w:val="false"/>
          <w:bCs w:val="false"/>
          <w:sz w:val="22"/>
          <w:szCs w:val="22"/>
          <w:shd w:fill="FFFFFF" w:val="clear"/>
          <w:lang w:val="en-US"/>
        </w:rPr>
        <w:t xml:space="preserve">) Ведомость объемов работ </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en-US"/>
        </w:rPr>
        <w:t>ЛРВ-</w:t>
      </w:r>
      <w:r>
        <w:rPr>
          <w:rFonts w:ascii="PT Astra Serif" w:hAnsi="PT Astra Serif"/>
          <w:b w:val="false"/>
          <w:bCs w:val="false"/>
          <w:i w:val="false"/>
          <w:strike w:val="false"/>
          <w:dstrike w:val="false"/>
          <w:outline w:val="false"/>
          <w:shadow w:val="false"/>
          <w:color w:val="000000"/>
          <w:sz w:val="22"/>
          <w:szCs w:val="22"/>
          <w:u w:val="none"/>
          <w:shd w:fill="FFFFFF" w:val="clear"/>
          <w:em w:val="none"/>
          <w:lang w:val="ru-RU"/>
        </w:rPr>
        <w:t>2</w:t>
      </w:r>
      <w:r>
        <w:rPr>
          <w:rFonts w:ascii="PT Astra Serif" w:hAnsi="PT Astra Serif"/>
          <w:b w:val="false"/>
          <w:bCs w:val="false"/>
          <w:sz w:val="22"/>
          <w:szCs w:val="22"/>
          <w:shd w:fill="FFFFFF" w:val="clear"/>
          <w:lang w:val="ru-RU"/>
        </w:rPr>
        <w:t>;</w:t>
      </w:r>
    </w:p>
    <w:p>
      <w:pPr>
        <w:pStyle w:val="Normal"/>
        <w:rPr>
          <w:highlight w:val="none"/>
          <w:shd w:fill="FFFFFF" w:val="clear"/>
        </w:rPr>
      </w:pPr>
      <w:r>
        <w:rPr>
          <w:rFonts w:ascii="PT Astra Serif" w:hAnsi="PT Astra Serif"/>
          <w:b w:val="false"/>
          <w:bCs w:val="false"/>
          <w:sz w:val="22"/>
          <w:szCs w:val="22"/>
          <w:shd w:fill="FFFFFF" w:val="clear"/>
          <w:lang w:val="ru-RU"/>
        </w:rPr>
        <w:t>4.1</w:t>
      </w:r>
      <w:r>
        <w:rPr>
          <w:rFonts w:ascii="PT Astra Serif" w:hAnsi="PT Astra Serif"/>
          <w:b w:val="false"/>
          <w:bCs w:val="false"/>
          <w:sz w:val="22"/>
          <w:szCs w:val="22"/>
          <w:shd w:fill="FFFFFF" w:val="clear"/>
          <w:lang w:val="en-US"/>
        </w:rPr>
        <w:t xml:space="preserve">) </w:t>
      </w:r>
      <w:r>
        <w:rPr>
          <w:rFonts w:ascii="PT Astra Serif" w:hAnsi="PT Astra Serif"/>
          <w:b w:val="false"/>
          <w:bCs w:val="false"/>
          <w:sz w:val="22"/>
          <w:szCs w:val="22"/>
          <w:shd w:fill="FFFFFF" w:val="clear"/>
          <w:lang w:val="ru-RU"/>
        </w:rPr>
        <w:t>Локальный сметный расчет (смета)</w:t>
      </w:r>
      <w:r>
        <w:rPr>
          <w:rFonts w:ascii="PT Astra Serif" w:hAnsi="PT Astra Serif"/>
          <w:b w:val="false"/>
          <w:bCs w:val="false"/>
          <w:sz w:val="22"/>
          <w:szCs w:val="22"/>
          <w:shd w:fill="FFFFFF" w:val="clear"/>
          <w:lang w:val="en-US"/>
        </w:rPr>
        <w:t xml:space="preserve"> № ЛС-02-01-02. </w:t>
      </w:r>
    </w:p>
    <w:p>
      <w:pPr>
        <w:pStyle w:val="Normal"/>
        <w:rPr>
          <w:highlight w:val="none"/>
          <w:shd w:fill="FFFFFF" w:val="clear"/>
        </w:rPr>
      </w:pPr>
      <w:r>
        <w:rPr>
          <w:rFonts w:ascii="PT Astra Serif" w:hAnsi="PT Astra Serif"/>
          <w:b w:val="false"/>
          <w:bCs w:val="false"/>
          <w:sz w:val="22"/>
          <w:szCs w:val="22"/>
          <w:shd w:fill="FFFFFF" w:val="clear"/>
          <w:lang w:val="ru-RU"/>
        </w:rPr>
        <w:t>5.</w:t>
      </w:r>
      <w:r>
        <w:rPr>
          <w:rFonts w:ascii="PT Astra Serif" w:hAnsi="PT Astra Serif"/>
          <w:b w:val="false"/>
          <w:bCs w:val="false"/>
          <w:sz w:val="22"/>
          <w:szCs w:val="22"/>
          <w:shd w:fill="FFFFFF" w:val="clear"/>
          <w:lang w:val="en-US"/>
        </w:rPr>
        <w:t>) Ведомость объемов работ ЛРВ-1</w:t>
      </w:r>
      <w:r>
        <w:rPr>
          <w:rFonts w:ascii="PT Astra Serif" w:hAnsi="PT Astra Serif"/>
          <w:b w:val="false"/>
          <w:bCs w:val="false"/>
          <w:sz w:val="22"/>
          <w:szCs w:val="22"/>
          <w:shd w:fill="FFFFFF" w:val="clear"/>
          <w:lang w:val="ru-RU"/>
        </w:rPr>
        <w:t>;</w:t>
      </w:r>
    </w:p>
    <w:p>
      <w:pPr>
        <w:pStyle w:val="Normal"/>
        <w:rPr>
          <w:highlight w:val="none"/>
          <w:shd w:fill="FFFFFF" w:val="clear"/>
        </w:rPr>
      </w:pPr>
      <w:r>
        <w:rPr>
          <w:sz w:val="22"/>
          <w:szCs w:val="22"/>
          <w:shd w:fill="FFFFFF" w:val="clear"/>
          <w:lang w:val="ru-RU"/>
        </w:rPr>
        <w:t>5.1</w:t>
      </w:r>
      <w:r>
        <w:rPr>
          <w:sz w:val="22"/>
          <w:szCs w:val="22"/>
          <w:shd w:fill="FFFFFF" w:val="clear"/>
        </w:rPr>
        <w:t xml:space="preserve">) </w:t>
      </w:r>
      <w:r>
        <w:rPr>
          <w:sz w:val="22"/>
          <w:szCs w:val="22"/>
          <w:shd w:fill="FFFFFF" w:val="clear"/>
          <w:lang w:val="ru-RU"/>
        </w:rPr>
        <w:t>Локальный сметный расчет (смета)</w:t>
      </w:r>
      <w:r>
        <w:rPr>
          <w:sz w:val="22"/>
          <w:szCs w:val="22"/>
          <w:shd w:fill="FFFFFF" w:val="clear"/>
        </w:rPr>
        <w:t xml:space="preserve"> № ЛС-02-01-01</w:t>
      </w:r>
      <w:r>
        <w:rPr>
          <w:sz w:val="22"/>
          <w:szCs w:val="22"/>
          <w:shd w:fill="FFFFFF" w:val="clear"/>
        </w:rPr>
        <w:t>;</w:t>
      </w:r>
    </w:p>
    <w:p>
      <w:pPr>
        <w:pStyle w:val="Normal"/>
        <w:rPr>
          <w:highlight w:val="none"/>
          <w:shd w:fill="FFFFFF" w:val="clear"/>
        </w:rPr>
      </w:pPr>
      <w:r>
        <w:rPr>
          <w:rFonts w:ascii="PT Astra Serif" w:hAnsi="PT Astra Serif"/>
          <w:b w:val="false"/>
          <w:bCs w:val="false"/>
          <w:sz w:val="22"/>
          <w:szCs w:val="22"/>
          <w:shd w:fill="FFFFFF" w:val="clear"/>
          <w:lang w:val="ru-RU"/>
        </w:rPr>
        <w:t>6.</w:t>
      </w:r>
      <w:r>
        <w:rPr>
          <w:rFonts w:ascii="PT Astra Serif" w:hAnsi="PT Astra Serif"/>
          <w:b w:val="false"/>
          <w:bCs w:val="false"/>
          <w:sz w:val="22"/>
          <w:szCs w:val="22"/>
          <w:shd w:fill="FFFFFF" w:val="clear"/>
          <w:lang w:val="en-US"/>
        </w:rPr>
        <w:t>) Ведомость объемов работ ЛРВ-3</w:t>
      </w:r>
      <w:r>
        <w:rPr>
          <w:rFonts w:ascii="PT Astra Serif" w:hAnsi="PT Astra Serif"/>
          <w:b w:val="false"/>
          <w:bCs w:val="false"/>
          <w:sz w:val="22"/>
          <w:szCs w:val="22"/>
          <w:shd w:fill="FFFFFF" w:val="clear"/>
          <w:lang w:val="ru-RU"/>
        </w:rPr>
        <w:t>;</w:t>
      </w:r>
    </w:p>
    <w:p>
      <w:pPr>
        <w:pStyle w:val="Normal"/>
        <w:rPr>
          <w:highlight w:val="none"/>
          <w:shd w:fill="FFFFFF" w:val="clear"/>
        </w:rPr>
      </w:pPr>
      <w:r>
        <w:rPr>
          <w:sz w:val="22"/>
          <w:szCs w:val="22"/>
          <w:shd w:fill="FFFFFF" w:val="clear"/>
          <w:lang w:val="ru-RU"/>
        </w:rPr>
        <w:t>6.1</w:t>
      </w:r>
      <w:r>
        <w:rPr>
          <w:sz w:val="22"/>
          <w:szCs w:val="22"/>
          <w:shd w:fill="FFFFFF" w:val="clear"/>
        </w:rPr>
        <w:t xml:space="preserve">) </w:t>
      </w:r>
      <w:r>
        <w:rPr>
          <w:sz w:val="22"/>
          <w:szCs w:val="22"/>
          <w:shd w:fill="FFFFFF" w:val="clear"/>
          <w:lang w:val="ru-RU"/>
        </w:rPr>
        <w:t>Локальный сметный расчет (смета)</w:t>
      </w:r>
      <w:r>
        <w:rPr>
          <w:sz w:val="22"/>
          <w:szCs w:val="22"/>
          <w:shd w:fill="FFFFFF" w:val="clear"/>
        </w:rPr>
        <w:t xml:space="preserve"> № ЛС-02-01-03. </w:t>
      </w:r>
    </w:p>
    <w:tbl>
      <w:tblPr>
        <w:tblW w:w="9795" w:type="dxa"/>
        <w:jc w:val="left"/>
        <w:tblInd w:w="108" w:type="dxa"/>
        <w:tblLayout w:type="fixed"/>
        <w:tblCellMar>
          <w:top w:w="0" w:type="dxa"/>
          <w:left w:w="108" w:type="dxa"/>
          <w:bottom w:w="0" w:type="dxa"/>
          <w:right w:w="108" w:type="dxa"/>
        </w:tblCellMar>
        <w:tblLook w:val="01e0" w:firstRow="1" w:noVBand="0" w:lastRow="1" w:firstColumn="1" w:lastColumn="1" w:noHBand="0"/>
      </w:tblPr>
      <w:tblGrid>
        <w:gridCol w:w="5145"/>
        <w:gridCol w:w="4650"/>
      </w:tblGrid>
      <w:tr>
        <w:trPr>
          <w:trHeight w:val="1470" w:hRule="atLeast"/>
        </w:trPr>
        <w:tc>
          <w:tcPr>
            <w:tcW w:w="5145" w:type="dxa"/>
            <w:tcBorders/>
          </w:tcPr>
          <w:p>
            <w:pPr>
              <w:pStyle w:val="Normal"/>
              <w:snapToGrid w:val="false"/>
              <w:spacing w:lineRule="auto" w:line="276"/>
              <w:jc w:val="both"/>
              <w:rPr>
                <w:rFonts w:ascii="PT Astra Serif" w:hAnsi="PT Astra Serif"/>
                <w:sz w:val="22"/>
                <w:szCs w:val="22"/>
              </w:rPr>
            </w:pPr>
            <w:r>
              <w:rPr>
                <w:rFonts w:ascii="PT Astra Serif" w:hAnsi="PT Astra Serif"/>
                <w:bCs/>
                <w:sz w:val="22"/>
                <w:szCs w:val="22"/>
              </w:rPr>
              <w:t>Исполнитель:</w:t>
            </w:r>
          </w:p>
          <w:p>
            <w:pPr>
              <w:pStyle w:val="Normal"/>
              <w:snapToGrid w:val="false"/>
              <w:spacing w:lineRule="auto" w:line="276"/>
              <w:jc w:val="both"/>
              <w:rPr>
                <w:rFonts w:ascii="PT Astra Serif" w:hAnsi="PT Astra Serif"/>
                <w:bCs/>
                <w:sz w:val="22"/>
                <w:szCs w:val="22"/>
              </w:rPr>
            </w:pPr>
            <w:r>
              <w:rPr>
                <w:rFonts w:ascii="PT Astra Serif" w:hAnsi="PT Astra Serif"/>
                <w:bCs/>
                <w:sz w:val="22"/>
                <w:szCs w:val="22"/>
              </w:rPr>
            </w:r>
          </w:p>
          <w:p>
            <w:pPr>
              <w:pStyle w:val="Normal"/>
              <w:snapToGrid w:val="false"/>
              <w:spacing w:lineRule="auto" w:line="276"/>
              <w:jc w:val="both"/>
              <w:rPr>
                <w:rFonts w:ascii="PT Astra Serif" w:hAnsi="PT Astra Serif"/>
                <w:sz w:val="22"/>
                <w:szCs w:val="22"/>
              </w:rPr>
            </w:pPr>
            <w:r>
              <w:rPr>
                <w:rFonts w:ascii="PT Astra Serif" w:hAnsi="PT Astra Serif"/>
                <w:bCs/>
                <w:sz w:val="22"/>
                <w:szCs w:val="22"/>
              </w:rPr>
              <w:t>_____________________  /_____/</w:t>
            </w:r>
          </w:p>
          <w:p>
            <w:pPr>
              <w:pStyle w:val="BodyText"/>
              <w:jc w:val="both"/>
              <w:rPr>
                <w:rFonts w:ascii="PT Astra Serif" w:hAnsi="PT Astra Serif"/>
                <w:sz w:val="22"/>
                <w:szCs w:val="22"/>
              </w:rPr>
            </w:pPr>
            <w:r>
              <w:rPr>
                <w:rFonts w:ascii="PT Astra Serif" w:hAnsi="PT Astra Serif"/>
                <w:sz w:val="22"/>
                <w:szCs w:val="22"/>
              </w:rPr>
              <w:t>м.п.</w:t>
            </w:r>
          </w:p>
        </w:tc>
        <w:tc>
          <w:tcPr>
            <w:tcW w:w="4650" w:type="dxa"/>
            <w:tcBorders/>
          </w:tcPr>
          <w:p>
            <w:pPr>
              <w:pStyle w:val="Normal"/>
              <w:tabs>
                <w:tab w:val="clear" w:pos="708"/>
                <w:tab w:val="left" w:pos="1725" w:leader="none"/>
              </w:tabs>
              <w:spacing w:lineRule="auto" w:line="276"/>
              <w:jc w:val="both"/>
              <w:rPr>
                <w:rFonts w:ascii="PT Astra Serif" w:hAnsi="PT Astra Serif"/>
                <w:sz w:val="22"/>
                <w:szCs w:val="22"/>
              </w:rPr>
            </w:pPr>
            <w:r>
              <w:rPr>
                <w:rFonts w:ascii="PT Astra Serif" w:hAnsi="PT Astra Serif"/>
                <w:bCs/>
                <w:sz w:val="22"/>
                <w:szCs w:val="22"/>
              </w:rPr>
              <w:t>Заказчик:</w:t>
            </w:r>
          </w:p>
          <w:p>
            <w:pPr>
              <w:pStyle w:val="BodyTextIndent"/>
              <w:ind w:left="0" w:right="1"/>
              <w:jc w:val="both"/>
              <w:rPr>
                <w:rFonts w:ascii="PT Astra Serif" w:hAnsi="PT Astra Serif"/>
                <w:sz w:val="22"/>
                <w:szCs w:val="22"/>
              </w:rPr>
            </w:pPr>
            <w:r>
              <w:rPr>
                <w:rFonts w:ascii="PT Astra Serif" w:hAnsi="PT Astra Serif"/>
                <w:bCs/>
                <w:sz w:val="22"/>
                <w:szCs w:val="22"/>
              </w:rPr>
              <w:t>Главный врач ГУЗ «УОКЦСВМП»</w:t>
            </w:r>
          </w:p>
          <w:p>
            <w:pPr>
              <w:pStyle w:val="Normal"/>
              <w:ind w:right="1"/>
              <w:rPr>
                <w:rFonts w:ascii="PT Astra Serif" w:hAnsi="PT Astra Serif"/>
                <w:sz w:val="22"/>
                <w:szCs w:val="22"/>
              </w:rPr>
            </w:pPr>
            <w:r>
              <w:rPr>
                <w:rFonts w:ascii="PT Astra Serif" w:hAnsi="PT Astra Serif"/>
                <w:b/>
                <w:bCs/>
                <w:sz w:val="22"/>
                <w:szCs w:val="22"/>
              </w:rPr>
              <w:t>________________</w:t>
            </w:r>
            <w:r>
              <w:rPr>
                <w:rFonts w:ascii="PT Astra Serif" w:hAnsi="PT Astra Serif"/>
                <w:b w:val="false"/>
                <w:bCs w:val="false"/>
                <w:sz w:val="22"/>
                <w:szCs w:val="22"/>
              </w:rPr>
              <w:t xml:space="preserve"> С.Н. Беззубенков</w:t>
            </w:r>
          </w:p>
          <w:p>
            <w:pPr>
              <w:pStyle w:val="Normal"/>
              <w:ind w:right="1"/>
              <w:rPr>
                <w:rFonts w:ascii="PT Astra Serif" w:hAnsi="PT Astra Serif"/>
                <w:sz w:val="22"/>
                <w:szCs w:val="22"/>
              </w:rPr>
            </w:pPr>
            <w:r>
              <w:rPr>
                <w:rFonts w:ascii="PT Astra Serif" w:hAnsi="PT Astra Serif"/>
                <w:sz w:val="22"/>
                <w:szCs w:val="22"/>
              </w:rPr>
              <w:t>м.п.</w:t>
            </w:r>
          </w:p>
          <w:p>
            <w:pPr>
              <w:pStyle w:val="user2"/>
              <w:tabs>
                <w:tab w:val="clear" w:pos="708"/>
                <w:tab w:val="center" w:pos="529" w:leader="none"/>
              </w:tabs>
              <w:snapToGrid w:val="false"/>
              <w:ind w:left="-3402"/>
              <w:rPr>
                <w:rFonts w:ascii="PT Astra Serif" w:hAnsi="PT Astra Serif"/>
                <w:sz w:val="22"/>
                <w:szCs w:val="22"/>
              </w:rPr>
            </w:pPr>
            <w:r>
              <w:rPr>
                <w:rFonts w:ascii="PT Astra Serif" w:hAnsi="PT Astra Serif"/>
                <w:sz w:val="22"/>
                <w:szCs w:val="22"/>
              </w:rPr>
              <w:t>м.п</w:t>
            </w:r>
          </w:p>
        </w:tc>
      </w:tr>
    </w:tbl>
    <w:p>
      <w:pPr>
        <w:pStyle w:val="Normal"/>
        <w:rPr>
          <w:rFonts w:ascii="PT Astra Serif" w:hAnsi="PT Astra Serif"/>
          <w:sz w:val="22"/>
          <w:szCs w:val="22"/>
        </w:rPr>
      </w:pPr>
      <w:r>
        <w:rPr>
          <w:rFonts w:ascii="PT Astra Serif" w:hAnsi="PT Astra Serif"/>
          <w:sz w:val="20"/>
          <w:szCs w:val="20"/>
        </w:rPr>
      </w:r>
    </w:p>
    <w:sectPr>
      <w:type w:val="nextPage"/>
      <w:pgSz w:w="11906" w:h="16838"/>
      <w:pgMar w:left="1701" w:right="707" w:gutter="0" w:header="0" w:top="993" w:footer="0" w:bottom="54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swiss"/>
    <w:pitch w:val="variable"/>
  </w:font>
  <w:font w:name="Cambria">
    <w:charset w:val="cc"/>
    <w:family w:val="roman"/>
    <w:pitch w:val="variable"/>
  </w:font>
  <w:font w:name="Arial">
    <w:charset w:val="cc"/>
    <w:family w:val="swiss"/>
    <w:pitch w:val="variable"/>
  </w:font>
  <w:font w:name="Liberation Sans">
    <w:altName w:val="Arial"/>
    <w:charset w:val="cc"/>
    <w:family w:val="swiss"/>
    <w:pitch w:val="variable"/>
  </w:font>
  <w:font w:name="PT Astra Serif">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2ce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unhideWhenUsed/>
    <w:qFormat/>
    <w:rPr/>
  </w:style>
  <w:style w:type="character" w:styleId="Style14" w:customStyle="1">
    <w:name w:val="Основной текст Знак"/>
    <w:basedOn w:val="DefaultParagraphFont"/>
    <w:qFormat/>
    <w:rsid w:val="00df2ce1"/>
    <w:rPr>
      <w:rFonts w:ascii="Times New Roman" w:hAnsi="Times New Roman" w:eastAsia="Times New Roman" w:cs="Times New Roman"/>
      <w:color w:val="000000"/>
      <w:sz w:val="24"/>
      <w:szCs w:val="20"/>
      <w:lang w:eastAsia="ru-RU"/>
    </w:rPr>
  </w:style>
  <w:style w:type="character" w:styleId="3" w:customStyle="1">
    <w:name w:val="Основной текст 3 Знак"/>
    <w:basedOn w:val="DefaultParagraphFont"/>
    <w:link w:val="BodyText3"/>
    <w:uiPriority w:val="99"/>
    <w:qFormat/>
    <w:rsid w:val="00df2ce1"/>
    <w:rPr>
      <w:rFonts w:ascii="Times New Roman" w:hAnsi="Times New Roman" w:eastAsia="Times New Roman" w:cs="Times New Roman"/>
      <w:sz w:val="16"/>
      <w:szCs w:val="16"/>
      <w:lang w:eastAsia="ru-RU"/>
    </w:rPr>
  </w:style>
  <w:style w:type="character" w:styleId="Hyperlink">
    <w:name w:val="Hyperlink"/>
    <w:basedOn w:val="DefaultParagraphFont"/>
    <w:rsid w:val="0074465c"/>
    <w:rPr>
      <w:color w:val="0000FF"/>
      <w:u w:val="single"/>
    </w:rPr>
  </w:style>
  <w:style w:type="character" w:styleId="Style15" w:customStyle="1">
    <w:name w:val="Текст выноски Знак"/>
    <w:basedOn w:val="DefaultParagraphFont"/>
    <w:link w:val="BalloonText"/>
    <w:uiPriority w:val="99"/>
    <w:semiHidden/>
    <w:qFormat/>
    <w:rsid w:val="0075164e"/>
    <w:rPr>
      <w:rFonts w:ascii="Segoe UI" w:hAnsi="Segoe UI" w:eastAsia="Times New Roman" w:cs="Segoe UI"/>
      <w:sz w:val="18"/>
      <w:szCs w:val="18"/>
      <w:lang w:eastAsia="ru-RU"/>
    </w:rPr>
  </w:style>
  <w:style w:type="character" w:styleId="Style16" w:customStyle="1">
    <w:name w:val="Основной текст с отступом Знак"/>
    <w:basedOn w:val="DefaultParagraphFont"/>
    <w:qFormat/>
    <w:rsid w:val="002133fa"/>
    <w:rPr>
      <w:rFonts w:ascii="Times New Roman" w:hAnsi="Times New Roman" w:eastAsia="Times New Roman" w:cs="Times New Roman"/>
      <w:sz w:val="24"/>
      <w:szCs w:val="24"/>
      <w:lang w:eastAsia="ar-SA"/>
    </w:rPr>
  </w:style>
  <w:style w:type="character" w:styleId="Style17" w:customStyle="1">
    <w:name w:val="Название Знак"/>
    <w:qFormat/>
    <w:rsid w:val="00633051"/>
    <w:rPr>
      <w:b/>
      <w:bCs/>
      <w:sz w:val="32"/>
      <w:szCs w:val="24"/>
    </w:rPr>
  </w:style>
  <w:style w:type="character" w:styleId="Style18" w:customStyle="1">
    <w:name w:val="Заголовок Знак"/>
    <w:basedOn w:val="DefaultParagraphFont"/>
    <w:uiPriority w:val="10"/>
    <w:qFormat/>
    <w:rsid w:val="00633051"/>
    <w:rPr>
      <w:rFonts w:ascii="Cambria" w:hAnsi="Cambria" w:eastAsia="" w:cs="" w:asciiTheme="majorHAnsi" w:cstheme="majorBidi" w:eastAsiaTheme="majorEastAsia" w:hAnsiTheme="majorHAnsi"/>
      <w:spacing w:val="-10"/>
      <w:kern w:val="2"/>
      <w:sz w:val="56"/>
      <w:szCs w:val="56"/>
      <w:lang w:eastAsia="ru-RU"/>
    </w:rPr>
  </w:style>
  <w:style w:type="character" w:styleId="ConsPlusNormal" w:customStyle="1">
    <w:name w:val="ConsPlusNormal Знак"/>
    <w:link w:val="ConsPlusNormal1"/>
    <w:qFormat/>
    <w:locked/>
    <w:rsid w:val="00781628"/>
    <w:rPr>
      <w:rFonts w:ascii="Arial" w:hAnsi="Arial" w:eastAsia="Times New Roman" w:cs="Arial"/>
      <w:sz w:val="20"/>
      <w:szCs w:val="20"/>
      <w:lang w:eastAsia="ru-RU"/>
    </w:rPr>
  </w:style>
  <w:style w:type="paragraph" w:styleId="Style19">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unhideWhenUsed/>
    <w:rsid w:val="00df2ce1"/>
    <w:pPr/>
    <w:rPr>
      <w:color w:val="00000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BodyText3">
    <w:name w:val="Body Text 3"/>
    <w:basedOn w:val="Normal"/>
    <w:link w:val="3"/>
    <w:uiPriority w:val="99"/>
    <w:unhideWhenUsed/>
    <w:qFormat/>
    <w:rsid w:val="00df2ce1"/>
    <w:pPr>
      <w:spacing w:before="0" w:after="120"/>
    </w:pPr>
    <w:rPr>
      <w:sz w:val="16"/>
      <w:szCs w:val="16"/>
    </w:rPr>
  </w:style>
  <w:style w:type="paragraph" w:styleId="BalloonText">
    <w:name w:val="Balloon Text"/>
    <w:basedOn w:val="Normal"/>
    <w:link w:val="Style15"/>
    <w:uiPriority w:val="99"/>
    <w:semiHidden/>
    <w:unhideWhenUsed/>
    <w:qFormat/>
    <w:rsid w:val="0075164e"/>
    <w:pPr/>
    <w:rPr>
      <w:rFonts w:ascii="Segoe UI" w:hAnsi="Segoe UI" w:cs="Segoe UI"/>
      <w:sz w:val="18"/>
      <w:szCs w:val="18"/>
    </w:rPr>
  </w:style>
  <w:style w:type="paragraph" w:styleId="BodyTextIndent">
    <w:name w:val="Body Text Indent"/>
    <w:basedOn w:val="Normal"/>
    <w:link w:val="Style16"/>
    <w:rsid w:val="002133fa"/>
    <w:pPr>
      <w:suppressAutoHyphens w:val="true"/>
      <w:spacing w:before="0" w:after="120"/>
      <w:ind w:left="283"/>
    </w:pPr>
    <w:rPr>
      <w:lang w:eastAsia="ar-SA"/>
    </w:rPr>
  </w:style>
  <w:style w:type="paragraph" w:styleId="user2" w:customStyle="1">
    <w:name w:val="Содержимое таблицы (user)"/>
    <w:basedOn w:val="Normal"/>
    <w:qFormat/>
    <w:rsid w:val="002133fa"/>
    <w:pPr>
      <w:suppressLineNumbers/>
      <w:suppressAutoHyphens w:val="true"/>
    </w:pPr>
    <w:rPr>
      <w:lang w:eastAsia="ar-SA"/>
    </w:rPr>
  </w:style>
  <w:style w:type="paragraph" w:styleId="NoSpacing">
    <w:name w:val="No Spacing"/>
    <w:uiPriority w:val="1"/>
    <w:qFormat/>
    <w:rsid w:val="002133fa"/>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ar-SA" w:bidi="ar-SA"/>
    </w:rPr>
  </w:style>
  <w:style w:type="paragraph" w:styleId="NormalWeb">
    <w:name w:val="Normal (Web)"/>
    <w:basedOn w:val="Normal"/>
    <w:uiPriority w:val="99"/>
    <w:semiHidden/>
    <w:unhideWhenUsed/>
    <w:qFormat/>
    <w:rsid w:val="00a00127"/>
    <w:pPr>
      <w:spacing w:beforeAutospacing="1" w:afterAutospacing="1"/>
    </w:pPr>
    <w:rPr/>
  </w:style>
  <w:style w:type="paragraph" w:styleId="Title">
    <w:name w:val="Title"/>
    <w:basedOn w:val="Normal"/>
    <w:next w:val="Normal"/>
    <w:link w:val="Style18"/>
    <w:uiPriority w:val="10"/>
    <w:qFormat/>
    <w:rsid w:val="00633051"/>
    <w:pPr>
      <w:spacing w:before="0" w:after="0"/>
      <w:contextualSpacing/>
    </w:pPr>
    <w:rPr>
      <w:rFonts w:ascii="Cambria" w:hAnsi="Cambria" w:eastAsia="" w:cs="" w:asciiTheme="majorHAnsi" w:cstheme="majorBidi" w:eastAsiaTheme="majorEastAsia" w:hAnsiTheme="majorHAnsi"/>
      <w:spacing w:val="-10"/>
      <w:kern w:val="2"/>
      <w:sz w:val="56"/>
      <w:szCs w:val="56"/>
    </w:rPr>
  </w:style>
  <w:style w:type="paragraph" w:styleId="ConsPlusNormal1" w:customStyle="1">
    <w:name w:val="ConsPlusNormal"/>
    <w:link w:val="ConsPlusNormal"/>
    <w:qFormat/>
    <w:rsid w:val="00781628"/>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user3">
    <w:name w:val="Заголовок таблицы (user)"/>
    <w:basedOn w:val="user2"/>
    <w:qFormat/>
    <w:pPr>
      <w:suppressLineNumbers/>
      <w:jc w:val="center"/>
    </w:pPr>
    <w:rPr>
      <w:b/>
      <w:bCs/>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main?base=ROS;n=81865;fld=134;dst=100142"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2B7D9-BBC1-4FA5-95F5-1D97BD069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Application>LibreOffice/26.2.5.2$Windows_X86_64 LibreOffice_project/cd7284b4cbbfeb507e630c1aac019f4157393acb</Application>
  <AppVersion>15.0000</AppVersion>
  <Pages>8</Pages>
  <Words>3360</Words>
  <Characters>24016</Characters>
  <CharactersWithSpaces>27242</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2024-03-04T08:43:00Z</dcterms:created>
  <dc:creator>Администратор</dc:creator>
  <dc:description/>
  <dc:language>ru-RU</dc:language>
  <cp:lastModifiedBy/>
  <cp:lastPrinted>2025-05-13T14:13:19Z</cp:lastPrinted>
  <dcterms:modified xsi:type="dcterms:W3CDTF">2026-08-11T10:38:14Z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