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92C" w:rsidRPr="00911591" w:rsidRDefault="0094292C" w:rsidP="0094292C">
      <w:pPr>
        <w:jc w:val="center"/>
        <w:rPr>
          <w:b/>
          <w:sz w:val="21"/>
          <w:szCs w:val="21"/>
        </w:rPr>
      </w:pPr>
      <w:r w:rsidRPr="00911591">
        <w:rPr>
          <w:b/>
          <w:sz w:val="21"/>
          <w:szCs w:val="21"/>
        </w:rPr>
        <w:t xml:space="preserve">Обоснование цены контракта, </w:t>
      </w:r>
    </w:p>
    <w:p w:rsidR="0094292C" w:rsidRPr="00911591" w:rsidRDefault="0094292C" w:rsidP="0094292C">
      <w:pPr>
        <w:jc w:val="center"/>
        <w:rPr>
          <w:b/>
          <w:sz w:val="21"/>
          <w:szCs w:val="21"/>
        </w:rPr>
      </w:pPr>
      <w:proofErr w:type="gramStart"/>
      <w:r w:rsidRPr="00911591">
        <w:rPr>
          <w:b/>
          <w:sz w:val="21"/>
          <w:szCs w:val="21"/>
        </w:rPr>
        <w:t>заключаемого</w:t>
      </w:r>
      <w:proofErr w:type="gramEnd"/>
      <w:r w:rsidRPr="00911591">
        <w:rPr>
          <w:b/>
          <w:sz w:val="21"/>
          <w:szCs w:val="21"/>
        </w:rPr>
        <w:t xml:space="preserve"> с единственным поставщиком (подрядчиком, исполнителем) </w:t>
      </w:r>
    </w:p>
    <w:p w:rsidR="0094292C" w:rsidRPr="00911591" w:rsidRDefault="0094292C" w:rsidP="0094292C">
      <w:pPr>
        <w:jc w:val="center"/>
        <w:rPr>
          <w:b/>
          <w:sz w:val="21"/>
          <w:szCs w:val="21"/>
        </w:rPr>
      </w:pPr>
      <w:r w:rsidRPr="00911591">
        <w:rPr>
          <w:b/>
          <w:sz w:val="21"/>
          <w:szCs w:val="21"/>
        </w:rPr>
        <w:t>в порядке, установленном статьей 22 Федерального закона</w:t>
      </w:r>
    </w:p>
    <w:p w:rsidR="0094292C" w:rsidRPr="00911591" w:rsidRDefault="0094292C" w:rsidP="0094292C">
      <w:pPr>
        <w:jc w:val="center"/>
        <w:rPr>
          <w:b/>
          <w:sz w:val="21"/>
          <w:szCs w:val="21"/>
        </w:rPr>
      </w:pPr>
    </w:p>
    <w:p w:rsidR="0094292C" w:rsidRPr="00B53870" w:rsidRDefault="0094292C" w:rsidP="0094292C">
      <w:pPr>
        <w:ind w:firstLine="709"/>
        <w:jc w:val="both"/>
        <w:rPr>
          <w:rFonts w:eastAsia="Calibri"/>
          <w:sz w:val="22"/>
          <w:szCs w:val="22"/>
        </w:rPr>
      </w:pPr>
      <w:r w:rsidRPr="00B53870">
        <w:rPr>
          <w:sz w:val="22"/>
          <w:szCs w:val="22"/>
        </w:rPr>
        <w:t xml:space="preserve">Согласно </w:t>
      </w:r>
      <w:proofErr w:type="gramStart"/>
      <w:r w:rsidRPr="00B53870">
        <w:rPr>
          <w:sz w:val="22"/>
          <w:szCs w:val="22"/>
        </w:rPr>
        <w:t>ч</w:t>
      </w:r>
      <w:proofErr w:type="gramEnd"/>
      <w:r w:rsidRPr="00B53870">
        <w:rPr>
          <w:sz w:val="22"/>
          <w:szCs w:val="22"/>
        </w:rPr>
        <w:t>.</w:t>
      </w:r>
      <w:r w:rsidR="0003520F" w:rsidRPr="00B53870">
        <w:rPr>
          <w:sz w:val="22"/>
          <w:szCs w:val="22"/>
        </w:rPr>
        <w:t xml:space="preserve"> </w:t>
      </w:r>
      <w:r w:rsidRPr="00B53870">
        <w:rPr>
          <w:sz w:val="22"/>
          <w:szCs w:val="22"/>
        </w:rPr>
        <w:t xml:space="preserve">12 ст. 22 Закона №44-ФЗ от 05.04.2013 г. невозможно применение для определения </w:t>
      </w:r>
      <w:r w:rsidR="00A1611C" w:rsidRPr="00B53870">
        <w:rPr>
          <w:sz w:val="22"/>
          <w:szCs w:val="22"/>
        </w:rPr>
        <w:t>цены контракта</w:t>
      </w:r>
      <w:r w:rsidRPr="00B53870">
        <w:rPr>
          <w:sz w:val="22"/>
          <w:szCs w:val="22"/>
        </w:rPr>
        <w:t xml:space="preserve">, заключаемого с единственным поставщиком, методов, указанных в ч. 1 ст. 22 </w:t>
      </w:r>
      <w:r w:rsidR="008443DF" w:rsidRPr="00B53870">
        <w:rPr>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B53870">
        <w:rPr>
          <w:sz w:val="22"/>
          <w:szCs w:val="22"/>
        </w:rPr>
        <w:t>:</w:t>
      </w:r>
    </w:p>
    <w:p w:rsidR="008443DF" w:rsidRPr="00B53870" w:rsidRDefault="0094292C" w:rsidP="008443DF">
      <w:pPr>
        <w:ind w:firstLine="709"/>
        <w:jc w:val="both"/>
        <w:rPr>
          <w:sz w:val="22"/>
          <w:szCs w:val="22"/>
        </w:rPr>
      </w:pPr>
      <w:r w:rsidRPr="00B53870">
        <w:rPr>
          <w:sz w:val="22"/>
          <w:szCs w:val="22"/>
        </w:rPr>
        <w:t xml:space="preserve">1. </w:t>
      </w:r>
      <w:r w:rsidR="008443DF" w:rsidRPr="00B53870">
        <w:rPr>
          <w:sz w:val="22"/>
          <w:szCs w:val="22"/>
        </w:rPr>
        <w:t xml:space="preserve">Проектно-сметный метод невозможно применить, так как в соответствии с </w:t>
      </w:r>
      <w:proofErr w:type="gramStart"/>
      <w:r w:rsidR="008443DF" w:rsidRPr="00B53870">
        <w:rPr>
          <w:sz w:val="22"/>
          <w:szCs w:val="22"/>
        </w:rPr>
        <w:t>ч</w:t>
      </w:r>
      <w:proofErr w:type="gramEnd"/>
      <w:r w:rsidR="008443DF" w:rsidRPr="00B53870">
        <w:rPr>
          <w:sz w:val="22"/>
          <w:szCs w:val="22"/>
        </w:rPr>
        <w:t>. 9 ст. 22 Федерального закона от 05.04.2013 № 44-ФЗ «О контрактной системе в сфере закупок товаров, работ, услуг для обеспечения государственных и муниципальных нужд» определен исчерпывающий перечень работ, при котором используется данный метод, и закупаемые услуги в него не входят.</w:t>
      </w:r>
    </w:p>
    <w:p w:rsidR="005D3C26" w:rsidRPr="00B53870" w:rsidRDefault="0094292C" w:rsidP="005D3C26">
      <w:pPr>
        <w:ind w:firstLine="709"/>
        <w:jc w:val="both"/>
        <w:rPr>
          <w:sz w:val="22"/>
          <w:szCs w:val="22"/>
        </w:rPr>
      </w:pPr>
      <w:r w:rsidRPr="00B53870">
        <w:rPr>
          <w:sz w:val="22"/>
          <w:szCs w:val="22"/>
        </w:rPr>
        <w:t xml:space="preserve">2. Тарифный метод </w:t>
      </w:r>
      <w:r w:rsidR="005D3C26" w:rsidRPr="00B53870">
        <w:rPr>
          <w:sz w:val="22"/>
          <w:szCs w:val="22"/>
        </w:rPr>
        <w:t>невозможно применить в связи с тем, что объект закупки не подлежит государственному регулированию и не относится к регулируемым ценам (тарифам).</w:t>
      </w:r>
    </w:p>
    <w:p w:rsidR="00B53870" w:rsidRPr="00B53870" w:rsidRDefault="0094292C" w:rsidP="00FD745E">
      <w:pPr>
        <w:ind w:firstLine="709"/>
        <w:jc w:val="both"/>
        <w:rPr>
          <w:rFonts w:ascii="Arial" w:hAnsi="Arial" w:cs="Arial"/>
          <w:sz w:val="22"/>
          <w:szCs w:val="22"/>
          <w:shd w:val="clear" w:color="auto" w:fill="FFFFFF"/>
        </w:rPr>
      </w:pPr>
      <w:r w:rsidRPr="00B53870">
        <w:rPr>
          <w:sz w:val="22"/>
          <w:szCs w:val="22"/>
        </w:rPr>
        <w:t>3. Метод сопоставимых рыноч</w:t>
      </w:r>
      <w:r w:rsidR="00B53870" w:rsidRPr="00B53870">
        <w:rPr>
          <w:sz w:val="22"/>
          <w:szCs w:val="22"/>
        </w:rPr>
        <w:t>ных цен не может использоваться, поскольку</w:t>
      </w:r>
      <w:r w:rsidRPr="00B53870">
        <w:rPr>
          <w:sz w:val="22"/>
          <w:szCs w:val="22"/>
        </w:rPr>
        <w:t xml:space="preserve"> </w:t>
      </w:r>
      <w:r w:rsidR="00B53870" w:rsidRPr="00B53870">
        <w:rPr>
          <w:sz w:val="22"/>
          <w:szCs w:val="22"/>
        </w:rPr>
        <w:t>в</w:t>
      </w:r>
      <w:r w:rsidR="00B53870" w:rsidRPr="00B53870">
        <w:rPr>
          <w:sz w:val="22"/>
          <w:szCs w:val="22"/>
          <w:shd w:val="clear" w:color="auto" w:fill="FFFFFF"/>
        </w:rPr>
        <w:t xml:space="preserve"> результате запроса коммерческих предложений и анализа открытых источников информации (реестра контрактов ЕИС, данных статистики, каталогов поставщиков) не удалось найти сопоставимые объекты закупки не менее трех. Это связано с уникальными характеристиками объекта закупки, которые не позволяют найти на рынке аналогов для сравнения цен.</w:t>
      </w:r>
      <w:r w:rsidR="00B53870" w:rsidRPr="00B53870">
        <w:rPr>
          <w:rFonts w:ascii="Arial" w:hAnsi="Arial" w:cs="Arial"/>
          <w:sz w:val="22"/>
          <w:szCs w:val="22"/>
          <w:shd w:val="clear" w:color="auto" w:fill="FFFFFF"/>
        </w:rPr>
        <w:t> </w:t>
      </w:r>
    </w:p>
    <w:p w:rsidR="00FD745E" w:rsidRPr="00B53870" w:rsidRDefault="0094292C" w:rsidP="00FD745E">
      <w:pPr>
        <w:ind w:firstLine="709"/>
        <w:jc w:val="both"/>
        <w:rPr>
          <w:sz w:val="22"/>
          <w:szCs w:val="22"/>
        </w:rPr>
      </w:pPr>
      <w:r w:rsidRPr="00B53870">
        <w:rPr>
          <w:sz w:val="22"/>
          <w:szCs w:val="22"/>
        </w:rPr>
        <w:t xml:space="preserve">4. </w:t>
      </w:r>
      <w:r w:rsidR="005D3C26" w:rsidRPr="00B53870">
        <w:rPr>
          <w:sz w:val="22"/>
          <w:szCs w:val="22"/>
        </w:rPr>
        <w:t xml:space="preserve">Нормативный метод невозможно применить </w:t>
      </w:r>
      <w:proofErr w:type="gramStart"/>
      <w:r w:rsidR="005D3C26" w:rsidRPr="00B53870">
        <w:rPr>
          <w:sz w:val="22"/>
          <w:szCs w:val="22"/>
        </w:rPr>
        <w:t>в связи с отсутствием требований к нормированию в сфере закупок по данному виду</w:t>
      </w:r>
      <w:proofErr w:type="gramEnd"/>
      <w:r w:rsidR="005D3C26" w:rsidRPr="00B53870">
        <w:rPr>
          <w:sz w:val="22"/>
          <w:szCs w:val="22"/>
        </w:rPr>
        <w:t xml:space="preserve"> закупаемых услуг.</w:t>
      </w:r>
    </w:p>
    <w:p w:rsidR="00FD745E" w:rsidRPr="00B53870" w:rsidRDefault="0094292C" w:rsidP="00FD745E">
      <w:pPr>
        <w:ind w:firstLine="709"/>
        <w:jc w:val="both"/>
        <w:rPr>
          <w:sz w:val="22"/>
          <w:szCs w:val="22"/>
        </w:rPr>
      </w:pPr>
      <w:r w:rsidRPr="00B53870">
        <w:rPr>
          <w:sz w:val="22"/>
          <w:szCs w:val="22"/>
        </w:rPr>
        <w:t>5. Затратный метод не используется, поскольку невозмож</w:t>
      </w:r>
      <w:r w:rsidR="00FD745E" w:rsidRPr="00B53870">
        <w:rPr>
          <w:sz w:val="22"/>
          <w:szCs w:val="22"/>
        </w:rPr>
        <w:t>но определить прямые и косвенные затраты, а также обычную прибыль по предмету закупки.</w:t>
      </w:r>
    </w:p>
    <w:p w:rsidR="00CC3CFB" w:rsidRDefault="00CC3CFB" w:rsidP="00CC3CFB">
      <w:pPr>
        <w:ind w:left="-567" w:firstLine="567"/>
        <w:jc w:val="both"/>
        <w:rPr>
          <w:bCs/>
          <w:sz w:val="22"/>
          <w:szCs w:val="22"/>
        </w:rPr>
      </w:pPr>
      <w:r w:rsidRPr="00CC3CFB">
        <w:rPr>
          <w:sz w:val="22"/>
          <w:szCs w:val="22"/>
          <w:shd w:val="clear" w:color="auto" w:fill="FFFFFF"/>
        </w:rPr>
        <w:t>В связи с невозможностью применения методов, указанных в части 1 статьи 22 Закона №44-ФЗ, в соответствии с частью 12 этой статьи</w:t>
      </w:r>
      <w:r>
        <w:rPr>
          <w:sz w:val="22"/>
          <w:szCs w:val="22"/>
          <w:shd w:val="clear" w:color="auto" w:fill="FFFFFF"/>
        </w:rPr>
        <w:t xml:space="preserve"> в связи с отсутствием трех коммерческих предложений </w:t>
      </w:r>
      <w:r>
        <w:rPr>
          <w:sz w:val="22"/>
          <w:szCs w:val="22"/>
        </w:rPr>
        <w:t xml:space="preserve">на оказание </w:t>
      </w:r>
      <w:r w:rsidRPr="00636A2E">
        <w:rPr>
          <w:sz w:val="22"/>
          <w:szCs w:val="22"/>
        </w:rPr>
        <w:t xml:space="preserve">идентичных </w:t>
      </w:r>
      <w:r>
        <w:rPr>
          <w:sz w:val="22"/>
          <w:szCs w:val="22"/>
        </w:rPr>
        <w:t xml:space="preserve">услуг Заказчик </w:t>
      </w:r>
      <w:r>
        <w:rPr>
          <w:sz w:val="22"/>
          <w:szCs w:val="22"/>
          <w:shd w:val="clear" w:color="auto" w:fill="FFFFFF"/>
        </w:rPr>
        <w:t>применил</w:t>
      </w:r>
      <w:r w:rsidRPr="00CC3CFB">
        <w:rPr>
          <w:rStyle w:val="ac"/>
        </w:rPr>
        <w:t> </w:t>
      </w:r>
      <w:r w:rsidRPr="00CC3CFB">
        <w:rPr>
          <w:rStyle w:val="ac"/>
          <w:b w:val="0"/>
          <w:sz w:val="22"/>
          <w:szCs w:val="22"/>
          <w:shd w:val="clear" w:color="auto" w:fill="FFFFFF"/>
        </w:rPr>
        <w:t>иной метод</w:t>
      </w:r>
      <w:r w:rsidR="00117C0D">
        <w:rPr>
          <w:rStyle w:val="ac"/>
          <w:b w:val="0"/>
          <w:sz w:val="22"/>
          <w:szCs w:val="22"/>
          <w:shd w:val="clear" w:color="auto" w:fill="FFFFFF"/>
        </w:rPr>
        <w:t xml:space="preserve">. Объем подлежащих оказанию услуг невозможно определить. Таким </w:t>
      </w:r>
      <w:proofErr w:type="gramStart"/>
      <w:r w:rsidR="00117C0D">
        <w:rPr>
          <w:rStyle w:val="ac"/>
          <w:b w:val="0"/>
          <w:sz w:val="22"/>
          <w:szCs w:val="22"/>
          <w:shd w:val="clear" w:color="auto" w:fill="FFFFFF"/>
        </w:rPr>
        <w:t>образом</w:t>
      </w:r>
      <w:proofErr w:type="gramEnd"/>
      <w:r w:rsidR="00117C0D">
        <w:rPr>
          <w:rStyle w:val="ac"/>
          <w:b w:val="0"/>
          <w:sz w:val="22"/>
          <w:szCs w:val="22"/>
          <w:shd w:val="clear" w:color="auto" w:fill="FFFFFF"/>
        </w:rPr>
        <w:t xml:space="preserve"> оплата оказания медицинских услуг осуществляется по цене единицы медицинской услуги, исходя из объема фактически оказанных медицинских услуг. Цена услуги установлена на основании коммерческого предложения исполнителя, действующего на момент оказания услуг на основании лицензии на осуществление медицинской деятельности по месту оказания услуг.</w:t>
      </w:r>
    </w:p>
    <w:p w:rsidR="0094292C" w:rsidRPr="00930FF0" w:rsidRDefault="0094292C" w:rsidP="0094292C">
      <w:pPr>
        <w:autoSpaceDE w:val="0"/>
        <w:adjustRightInd w:val="0"/>
        <w:ind w:firstLine="709"/>
        <w:jc w:val="both"/>
        <w:rPr>
          <w:rFonts w:eastAsia="Calibri"/>
          <w:sz w:val="21"/>
          <w:szCs w:val="21"/>
        </w:rPr>
      </w:pPr>
    </w:p>
    <w:tbl>
      <w:tblPr>
        <w:tblW w:w="10117"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
        <w:gridCol w:w="5649"/>
        <w:gridCol w:w="912"/>
        <w:gridCol w:w="1498"/>
        <w:gridCol w:w="1541"/>
      </w:tblGrid>
      <w:tr w:rsidR="00117C0D" w:rsidRPr="00930FF0" w:rsidTr="00F116E7">
        <w:trPr>
          <w:cantSplit/>
          <w:trHeight w:val="24"/>
        </w:trPr>
        <w:tc>
          <w:tcPr>
            <w:tcW w:w="517" w:type="dxa"/>
          </w:tcPr>
          <w:p w:rsidR="00117C0D" w:rsidRPr="00930FF0" w:rsidRDefault="00117C0D" w:rsidP="00B53870">
            <w:pPr>
              <w:contextualSpacing/>
              <w:jc w:val="center"/>
              <w:rPr>
                <w:b/>
                <w:sz w:val="21"/>
                <w:szCs w:val="21"/>
              </w:rPr>
            </w:pPr>
            <w:r>
              <w:rPr>
                <w:b/>
                <w:sz w:val="21"/>
                <w:szCs w:val="21"/>
              </w:rPr>
              <w:t xml:space="preserve">№ </w:t>
            </w:r>
            <w:proofErr w:type="spellStart"/>
            <w:proofErr w:type="gramStart"/>
            <w:r>
              <w:rPr>
                <w:b/>
                <w:sz w:val="21"/>
                <w:szCs w:val="21"/>
              </w:rPr>
              <w:t>п</w:t>
            </w:r>
            <w:proofErr w:type="spellEnd"/>
            <w:proofErr w:type="gramEnd"/>
            <w:r>
              <w:rPr>
                <w:b/>
                <w:sz w:val="21"/>
                <w:szCs w:val="21"/>
              </w:rPr>
              <w:t>/</w:t>
            </w:r>
            <w:proofErr w:type="spellStart"/>
            <w:r>
              <w:rPr>
                <w:b/>
                <w:sz w:val="21"/>
                <w:szCs w:val="21"/>
              </w:rPr>
              <w:t>п</w:t>
            </w:r>
            <w:proofErr w:type="spellEnd"/>
          </w:p>
        </w:tc>
        <w:tc>
          <w:tcPr>
            <w:tcW w:w="5649" w:type="dxa"/>
          </w:tcPr>
          <w:p w:rsidR="00117C0D" w:rsidRPr="00930FF0" w:rsidRDefault="00117C0D" w:rsidP="00B53870">
            <w:pPr>
              <w:contextualSpacing/>
              <w:jc w:val="center"/>
              <w:rPr>
                <w:b/>
                <w:sz w:val="21"/>
                <w:szCs w:val="21"/>
              </w:rPr>
            </w:pPr>
            <w:r w:rsidRPr="00930FF0">
              <w:rPr>
                <w:b/>
                <w:sz w:val="21"/>
                <w:szCs w:val="21"/>
              </w:rPr>
              <w:t>Наименование объекта закупки</w:t>
            </w:r>
          </w:p>
        </w:tc>
        <w:tc>
          <w:tcPr>
            <w:tcW w:w="912" w:type="dxa"/>
          </w:tcPr>
          <w:p w:rsidR="00117C0D" w:rsidRPr="00930FF0" w:rsidRDefault="00117C0D" w:rsidP="00B53870">
            <w:pPr>
              <w:contextualSpacing/>
              <w:jc w:val="center"/>
              <w:rPr>
                <w:b/>
                <w:sz w:val="21"/>
                <w:szCs w:val="21"/>
              </w:rPr>
            </w:pPr>
            <w:r w:rsidRPr="00930FF0">
              <w:rPr>
                <w:b/>
                <w:sz w:val="21"/>
                <w:szCs w:val="21"/>
              </w:rPr>
              <w:t xml:space="preserve">Ед. </w:t>
            </w:r>
            <w:proofErr w:type="spellStart"/>
            <w:r w:rsidRPr="00930FF0">
              <w:rPr>
                <w:b/>
                <w:sz w:val="21"/>
                <w:szCs w:val="21"/>
              </w:rPr>
              <w:t>изм</w:t>
            </w:r>
            <w:proofErr w:type="spellEnd"/>
            <w:r>
              <w:rPr>
                <w:b/>
                <w:sz w:val="21"/>
                <w:szCs w:val="21"/>
              </w:rPr>
              <w:t>.</w:t>
            </w:r>
          </w:p>
        </w:tc>
        <w:tc>
          <w:tcPr>
            <w:tcW w:w="1498" w:type="dxa"/>
          </w:tcPr>
          <w:p w:rsidR="00117C0D" w:rsidRPr="00930FF0" w:rsidRDefault="00117C0D" w:rsidP="00086600">
            <w:pPr>
              <w:contextualSpacing/>
              <w:jc w:val="center"/>
              <w:rPr>
                <w:b/>
                <w:sz w:val="21"/>
                <w:szCs w:val="21"/>
              </w:rPr>
            </w:pPr>
            <w:r>
              <w:rPr>
                <w:b/>
                <w:sz w:val="21"/>
                <w:szCs w:val="21"/>
              </w:rPr>
              <w:t>Кол-во единиц</w:t>
            </w:r>
          </w:p>
        </w:tc>
        <w:tc>
          <w:tcPr>
            <w:tcW w:w="1541" w:type="dxa"/>
          </w:tcPr>
          <w:p w:rsidR="00117C0D" w:rsidRPr="00930FF0" w:rsidRDefault="00117C0D" w:rsidP="00117C0D">
            <w:pPr>
              <w:contextualSpacing/>
              <w:jc w:val="center"/>
              <w:rPr>
                <w:b/>
                <w:sz w:val="21"/>
                <w:szCs w:val="21"/>
              </w:rPr>
            </w:pPr>
            <w:r>
              <w:rPr>
                <w:b/>
                <w:sz w:val="21"/>
                <w:szCs w:val="21"/>
              </w:rPr>
              <w:t>Цена за единицу</w:t>
            </w:r>
            <w:proofErr w:type="gramStart"/>
            <w:r>
              <w:rPr>
                <w:b/>
                <w:sz w:val="21"/>
                <w:szCs w:val="21"/>
              </w:rPr>
              <w:t>.</w:t>
            </w:r>
            <w:proofErr w:type="gramEnd"/>
            <w:r>
              <w:rPr>
                <w:b/>
                <w:sz w:val="21"/>
                <w:szCs w:val="21"/>
              </w:rPr>
              <w:t xml:space="preserve"> </w:t>
            </w:r>
            <w:proofErr w:type="gramStart"/>
            <w:r>
              <w:rPr>
                <w:b/>
                <w:sz w:val="21"/>
                <w:szCs w:val="21"/>
              </w:rPr>
              <w:t>р</w:t>
            </w:r>
            <w:proofErr w:type="gramEnd"/>
            <w:r>
              <w:rPr>
                <w:b/>
                <w:sz w:val="21"/>
                <w:szCs w:val="21"/>
              </w:rPr>
              <w:t>уб.</w:t>
            </w:r>
          </w:p>
        </w:tc>
      </w:tr>
      <w:tr w:rsidR="00117C0D" w:rsidRPr="00911591" w:rsidTr="00F116E7">
        <w:trPr>
          <w:cantSplit/>
          <w:trHeight w:val="673"/>
        </w:trPr>
        <w:tc>
          <w:tcPr>
            <w:tcW w:w="517" w:type="dxa"/>
          </w:tcPr>
          <w:p w:rsidR="00117C0D" w:rsidRDefault="00117C0D" w:rsidP="00086600">
            <w:pPr>
              <w:jc w:val="both"/>
              <w:rPr>
                <w:spacing w:val="-7"/>
              </w:rPr>
            </w:pPr>
            <w:r>
              <w:rPr>
                <w:spacing w:val="-7"/>
              </w:rPr>
              <w:t>1</w:t>
            </w:r>
          </w:p>
        </w:tc>
        <w:tc>
          <w:tcPr>
            <w:tcW w:w="5649" w:type="dxa"/>
          </w:tcPr>
          <w:p w:rsidR="00117C0D" w:rsidRPr="00930FF0" w:rsidRDefault="00F116E7" w:rsidP="00086600">
            <w:pPr>
              <w:jc w:val="both"/>
              <w:rPr>
                <w:sz w:val="21"/>
                <w:szCs w:val="21"/>
              </w:rPr>
            </w:pPr>
            <w:r w:rsidRPr="009D08C9">
              <w:t xml:space="preserve">Судебно-химическая и химико-токсикологическая экспертиза (исследование) содержания в крови, моче и внутренних органах алкоголя, наркотических веществ и психотропных веществ, отравляющих веществ, лекарственных средств. Исследование биологического объекта на наличие наркотических средств, психотропных веществ и лекарственных соединений в одном объекте </w:t>
            </w:r>
            <w:proofErr w:type="spellStart"/>
            <w:r w:rsidRPr="009D08C9">
              <w:t>биожидкости</w:t>
            </w:r>
            <w:proofErr w:type="spellEnd"/>
            <w:r w:rsidRPr="009D08C9">
              <w:t>.</w:t>
            </w:r>
          </w:p>
        </w:tc>
        <w:tc>
          <w:tcPr>
            <w:tcW w:w="912" w:type="dxa"/>
          </w:tcPr>
          <w:p w:rsidR="00117C0D" w:rsidRPr="00930FF0" w:rsidRDefault="00117C0D" w:rsidP="00860F95">
            <w:pPr>
              <w:jc w:val="center"/>
              <w:rPr>
                <w:sz w:val="21"/>
                <w:szCs w:val="21"/>
              </w:rPr>
            </w:pPr>
            <w:proofErr w:type="spellStart"/>
            <w:r>
              <w:rPr>
                <w:sz w:val="21"/>
                <w:szCs w:val="21"/>
              </w:rPr>
              <w:t>Усл.ед</w:t>
            </w:r>
            <w:proofErr w:type="spellEnd"/>
            <w:r>
              <w:rPr>
                <w:sz w:val="21"/>
                <w:szCs w:val="21"/>
              </w:rPr>
              <w:t>.</w:t>
            </w:r>
          </w:p>
        </w:tc>
        <w:tc>
          <w:tcPr>
            <w:tcW w:w="1498" w:type="dxa"/>
          </w:tcPr>
          <w:p w:rsidR="00117C0D" w:rsidRPr="00930FF0" w:rsidRDefault="00117C0D" w:rsidP="00B53870">
            <w:pPr>
              <w:jc w:val="center"/>
              <w:rPr>
                <w:sz w:val="21"/>
                <w:szCs w:val="21"/>
              </w:rPr>
            </w:pPr>
            <w:r>
              <w:rPr>
                <w:sz w:val="21"/>
                <w:szCs w:val="21"/>
              </w:rPr>
              <w:t>Определяется за фактически оказанные услуги</w:t>
            </w:r>
          </w:p>
        </w:tc>
        <w:tc>
          <w:tcPr>
            <w:tcW w:w="1541" w:type="dxa"/>
          </w:tcPr>
          <w:p w:rsidR="00117C0D" w:rsidRDefault="00F116E7" w:rsidP="00B53870">
            <w:pPr>
              <w:jc w:val="center"/>
              <w:rPr>
                <w:sz w:val="21"/>
                <w:szCs w:val="21"/>
              </w:rPr>
            </w:pPr>
            <w:r>
              <w:rPr>
                <w:sz w:val="21"/>
                <w:szCs w:val="21"/>
              </w:rPr>
              <w:t>2 257,00</w:t>
            </w:r>
          </w:p>
        </w:tc>
      </w:tr>
      <w:tr w:rsidR="00117C0D" w:rsidRPr="00911591" w:rsidTr="00F116E7">
        <w:trPr>
          <w:cantSplit/>
          <w:trHeight w:val="673"/>
        </w:trPr>
        <w:tc>
          <w:tcPr>
            <w:tcW w:w="517" w:type="dxa"/>
          </w:tcPr>
          <w:p w:rsidR="00117C0D" w:rsidRDefault="00117C0D" w:rsidP="00086600">
            <w:pPr>
              <w:jc w:val="both"/>
              <w:rPr>
                <w:spacing w:val="-7"/>
              </w:rPr>
            </w:pPr>
            <w:r>
              <w:rPr>
                <w:spacing w:val="-7"/>
              </w:rPr>
              <w:t>2</w:t>
            </w:r>
          </w:p>
        </w:tc>
        <w:tc>
          <w:tcPr>
            <w:tcW w:w="5649" w:type="dxa"/>
          </w:tcPr>
          <w:p w:rsidR="00117C0D" w:rsidRDefault="00F116E7" w:rsidP="00086600">
            <w:pPr>
              <w:jc w:val="both"/>
              <w:rPr>
                <w:spacing w:val="-7"/>
              </w:rPr>
            </w:pPr>
            <w:r w:rsidRPr="009D08C9">
              <w:t xml:space="preserve">Судебно-химическая и химико-токсикологическая экспертиза (исследование) содержания в крови, моче и внутренних органах алкоголя, наркотических веществ и психотропных веществ, отравляющих веществ, лекарственных средств. Исследование биологического объекта на наличие наркотических средств, психотропных веществ и лекарственных соединений в одном объекте </w:t>
            </w:r>
            <w:proofErr w:type="spellStart"/>
            <w:r w:rsidRPr="009D08C9">
              <w:t>биоткани</w:t>
            </w:r>
            <w:proofErr w:type="spellEnd"/>
            <w:r w:rsidRPr="009D08C9">
              <w:t>.</w:t>
            </w:r>
          </w:p>
        </w:tc>
        <w:tc>
          <w:tcPr>
            <w:tcW w:w="912" w:type="dxa"/>
          </w:tcPr>
          <w:p w:rsidR="00117C0D" w:rsidRPr="00930FF0" w:rsidRDefault="00117C0D" w:rsidP="00C479FD">
            <w:pPr>
              <w:jc w:val="center"/>
              <w:rPr>
                <w:sz w:val="21"/>
                <w:szCs w:val="21"/>
              </w:rPr>
            </w:pPr>
            <w:proofErr w:type="spellStart"/>
            <w:r>
              <w:rPr>
                <w:sz w:val="21"/>
                <w:szCs w:val="21"/>
              </w:rPr>
              <w:t>Усл.ед</w:t>
            </w:r>
            <w:proofErr w:type="spellEnd"/>
            <w:r>
              <w:rPr>
                <w:sz w:val="21"/>
                <w:szCs w:val="21"/>
              </w:rPr>
              <w:t>.</w:t>
            </w:r>
          </w:p>
        </w:tc>
        <w:tc>
          <w:tcPr>
            <w:tcW w:w="1498" w:type="dxa"/>
          </w:tcPr>
          <w:p w:rsidR="00117C0D" w:rsidRDefault="00117C0D">
            <w:r w:rsidRPr="000A09F2">
              <w:rPr>
                <w:sz w:val="21"/>
                <w:szCs w:val="21"/>
              </w:rPr>
              <w:t>Определяется за фактически оказанные услуги</w:t>
            </w:r>
          </w:p>
        </w:tc>
        <w:tc>
          <w:tcPr>
            <w:tcW w:w="1541" w:type="dxa"/>
          </w:tcPr>
          <w:p w:rsidR="00117C0D" w:rsidRDefault="00F116E7" w:rsidP="00B53870">
            <w:pPr>
              <w:jc w:val="center"/>
              <w:rPr>
                <w:sz w:val="21"/>
                <w:szCs w:val="21"/>
              </w:rPr>
            </w:pPr>
            <w:r>
              <w:rPr>
                <w:sz w:val="21"/>
                <w:szCs w:val="21"/>
              </w:rPr>
              <w:t>4 270,00</w:t>
            </w:r>
          </w:p>
        </w:tc>
      </w:tr>
    </w:tbl>
    <w:p w:rsidR="0094292C" w:rsidRPr="00911591" w:rsidRDefault="0094292C" w:rsidP="0094292C">
      <w:pPr>
        <w:rPr>
          <w:b/>
          <w:bCs/>
          <w:color w:val="000000"/>
          <w:sz w:val="21"/>
          <w:szCs w:val="21"/>
        </w:rPr>
      </w:pPr>
    </w:p>
    <w:p w:rsidR="00A1611C" w:rsidRDefault="00A1611C" w:rsidP="00D961CB">
      <w:pPr>
        <w:rPr>
          <w:sz w:val="21"/>
          <w:szCs w:val="21"/>
        </w:rPr>
      </w:pPr>
    </w:p>
    <w:p w:rsidR="00D961CB" w:rsidRPr="00911591" w:rsidRDefault="00D961CB" w:rsidP="00D961CB">
      <w:pPr>
        <w:rPr>
          <w:sz w:val="21"/>
          <w:szCs w:val="21"/>
        </w:rPr>
      </w:pPr>
      <w:r w:rsidRPr="00D961CB">
        <w:rPr>
          <w:sz w:val="21"/>
          <w:szCs w:val="21"/>
        </w:rPr>
        <w:t xml:space="preserve">Начальник отдела закупок                                                                                                            </w:t>
      </w:r>
      <w:r w:rsidR="00B53870">
        <w:rPr>
          <w:sz w:val="21"/>
          <w:szCs w:val="21"/>
        </w:rPr>
        <w:t>О.В. Иванова</w:t>
      </w:r>
    </w:p>
    <w:p w:rsidR="00D961CB" w:rsidRPr="00D961CB" w:rsidRDefault="00D961CB">
      <w:pPr>
        <w:rPr>
          <w:sz w:val="21"/>
          <w:szCs w:val="21"/>
        </w:rPr>
      </w:pPr>
    </w:p>
    <w:sectPr w:rsidR="00D961CB" w:rsidRPr="00D961CB" w:rsidSect="00FB02CE">
      <w:headerReference w:type="default" r:id="rId7"/>
      <w:footerReference w:type="firs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FBF" w:rsidRDefault="00E74FBF" w:rsidP="00CD3CF3">
      <w:r>
        <w:separator/>
      </w:r>
    </w:p>
  </w:endnote>
  <w:endnote w:type="continuationSeparator" w:id="0">
    <w:p w:rsidR="00E74FBF" w:rsidRDefault="00E74FBF" w:rsidP="00CD3C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FBF" w:rsidRPr="0023704E" w:rsidRDefault="00E74FBF">
    <w:pPr>
      <w:pStyle w:val="a5"/>
      <w:rPr>
        <w:sz w:val="16"/>
        <w:szCs w:val="16"/>
      </w:rPr>
    </w:pPr>
    <w:r w:rsidRPr="0023704E">
      <w:rPr>
        <w:sz w:val="16"/>
        <w:szCs w:val="16"/>
      </w:rPr>
      <w:t>Исп</w:t>
    </w:r>
    <w:r>
      <w:rPr>
        <w:sz w:val="16"/>
        <w:szCs w:val="16"/>
      </w:rPr>
      <w:t xml:space="preserve">. </w:t>
    </w:r>
    <w:proofErr w:type="spellStart"/>
    <w:r>
      <w:rPr>
        <w:sz w:val="16"/>
        <w:szCs w:val="16"/>
      </w:rPr>
      <w:t>Дымбу</w:t>
    </w:r>
    <w:proofErr w:type="spellEnd"/>
    <w:r>
      <w:rPr>
        <w:sz w:val="16"/>
        <w:szCs w:val="16"/>
      </w:rPr>
      <w:t xml:space="preserve"> А.</w:t>
    </w:r>
    <w:r w:rsidRPr="0023704E">
      <w:rPr>
        <w:sz w:val="16"/>
        <w:szCs w:val="16"/>
      </w:rPr>
      <w:t xml:space="preserve"> </w:t>
    </w:r>
  </w:p>
  <w:p w:rsidR="00E74FBF" w:rsidRPr="0023704E" w:rsidRDefault="00E74FBF">
    <w:pPr>
      <w:pStyle w:val="a5"/>
      <w:rPr>
        <w:sz w:val="16"/>
        <w:szCs w:val="16"/>
      </w:rPr>
    </w:pPr>
    <w:r w:rsidRPr="0023704E">
      <w:rPr>
        <w:sz w:val="16"/>
        <w:szCs w:val="16"/>
      </w:rPr>
      <w:t>специалист отдела закупок</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FBF" w:rsidRDefault="00E74FBF" w:rsidP="00CD3CF3">
      <w:r>
        <w:separator/>
      </w:r>
    </w:p>
  </w:footnote>
  <w:footnote w:type="continuationSeparator" w:id="0">
    <w:p w:rsidR="00E74FBF" w:rsidRDefault="00E74FBF" w:rsidP="00CD3C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67972"/>
      <w:docPartObj>
        <w:docPartGallery w:val="Page Numbers (Top of Page)"/>
        <w:docPartUnique/>
      </w:docPartObj>
    </w:sdtPr>
    <w:sdtContent>
      <w:p w:rsidR="00E74FBF" w:rsidRDefault="007C4BBE" w:rsidP="00FB02CE">
        <w:pPr>
          <w:pStyle w:val="a3"/>
          <w:jc w:val="center"/>
        </w:pPr>
        <w:fldSimple w:instr=" PAGE   \* MERGEFORMAT ">
          <w:r w:rsidR="00F116E7">
            <w:rPr>
              <w:noProof/>
            </w:rPr>
            <w:t>2</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CF6EDC"/>
    <w:rsid w:val="00004DCD"/>
    <w:rsid w:val="000122E9"/>
    <w:rsid w:val="00012B3E"/>
    <w:rsid w:val="00025864"/>
    <w:rsid w:val="000318BF"/>
    <w:rsid w:val="00034379"/>
    <w:rsid w:val="0003520F"/>
    <w:rsid w:val="00047E5A"/>
    <w:rsid w:val="00057993"/>
    <w:rsid w:val="00063DC0"/>
    <w:rsid w:val="00070B37"/>
    <w:rsid w:val="0007302F"/>
    <w:rsid w:val="00086600"/>
    <w:rsid w:val="00087B10"/>
    <w:rsid w:val="00087EA8"/>
    <w:rsid w:val="000922BD"/>
    <w:rsid w:val="000C4C50"/>
    <w:rsid w:val="000C76AE"/>
    <w:rsid w:val="000D378E"/>
    <w:rsid w:val="000F4693"/>
    <w:rsid w:val="00100429"/>
    <w:rsid w:val="00117C0D"/>
    <w:rsid w:val="00125651"/>
    <w:rsid w:val="001266BB"/>
    <w:rsid w:val="00151F23"/>
    <w:rsid w:val="00161A9B"/>
    <w:rsid w:val="001661FF"/>
    <w:rsid w:val="001725B1"/>
    <w:rsid w:val="00186A49"/>
    <w:rsid w:val="00186EB0"/>
    <w:rsid w:val="001A517D"/>
    <w:rsid w:val="001A7DA9"/>
    <w:rsid w:val="001B0F85"/>
    <w:rsid w:val="001B360C"/>
    <w:rsid w:val="001B5CE2"/>
    <w:rsid w:val="001D6853"/>
    <w:rsid w:val="001E066E"/>
    <w:rsid w:val="001E53D7"/>
    <w:rsid w:val="00205F4B"/>
    <w:rsid w:val="0021761F"/>
    <w:rsid w:val="00217877"/>
    <w:rsid w:val="00222B1A"/>
    <w:rsid w:val="00226545"/>
    <w:rsid w:val="0023704E"/>
    <w:rsid w:val="002443A1"/>
    <w:rsid w:val="00257E99"/>
    <w:rsid w:val="00280845"/>
    <w:rsid w:val="00291CA6"/>
    <w:rsid w:val="002A1CA8"/>
    <w:rsid w:val="002C7821"/>
    <w:rsid w:val="002D2BD4"/>
    <w:rsid w:val="002E0C78"/>
    <w:rsid w:val="002F01D1"/>
    <w:rsid w:val="002F01D5"/>
    <w:rsid w:val="003031FF"/>
    <w:rsid w:val="00304CE7"/>
    <w:rsid w:val="00311C9A"/>
    <w:rsid w:val="00345EAC"/>
    <w:rsid w:val="00352589"/>
    <w:rsid w:val="00353B4A"/>
    <w:rsid w:val="0038631A"/>
    <w:rsid w:val="003A098E"/>
    <w:rsid w:val="003A5D86"/>
    <w:rsid w:val="003C1912"/>
    <w:rsid w:val="003C2237"/>
    <w:rsid w:val="003C2832"/>
    <w:rsid w:val="003D0A96"/>
    <w:rsid w:val="003F3228"/>
    <w:rsid w:val="00400D7C"/>
    <w:rsid w:val="004250C2"/>
    <w:rsid w:val="00440B71"/>
    <w:rsid w:val="00446435"/>
    <w:rsid w:val="00460997"/>
    <w:rsid w:val="004630F3"/>
    <w:rsid w:val="00472D55"/>
    <w:rsid w:val="004877DD"/>
    <w:rsid w:val="0049147A"/>
    <w:rsid w:val="0049296E"/>
    <w:rsid w:val="00492FF6"/>
    <w:rsid w:val="004A0AFB"/>
    <w:rsid w:val="004A3CBE"/>
    <w:rsid w:val="004C3235"/>
    <w:rsid w:val="004D366B"/>
    <w:rsid w:val="004F056C"/>
    <w:rsid w:val="004F27A1"/>
    <w:rsid w:val="004F6B7A"/>
    <w:rsid w:val="00521035"/>
    <w:rsid w:val="00526641"/>
    <w:rsid w:val="00535D36"/>
    <w:rsid w:val="00540E83"/>
    <w:rsid w:val="005568ED"/>
    <w:rsid w:val="0056232A"/>
    <w:rsid w:val="00571296"/>
    <w:rsid w:val="00580642"/>
    <w:rsid w:val="00590577"/>
    <w:rsid w:val="00592A2C"/>
    <w:rsid w:val="00592ABF"/>
    <w:rsid w:val="005A5CBA"/>
    <w:rsid w:val="005B248C"/>
    <w:rsid w:val="005C5C81"/>
    <w:rsid w:val="005D3C26"/>
    <w:rsid w:val="005D5C9B"/>
    <w:rsid w:val="005D6841"/>
    <w:rsid w:val="005E538B"/>
    <w:rsid w:val="005F6D2B"/>
    <w:rsid w:val="00606630"/>
    <w:rsid w:val="00610750"/>
    <w:rsid w:val="006228D5"/>
    <w:rsid w:val="00643263"/>
    <w:rsid w:val="00662FCE"/>
    <w:rsid w:val="00664CCB"/>
    <w:rsid w:val="00684550"/>
    <w:rsid w:val="006878D5"/>
    <w:rsid w:val="00691B4E"/>
    <w:rsid w:val="006C3885"/>
    <w:rsid w:val="006E3107"/>
    <w:rsid w:val="006E3A47"/>
    <w:rsid w:val="006F1060"/>
    <w:rsid w:val="0071402C"/>
    <w:rsid w:val="0073029C"/>
    <w:rsid w:val="007459AD"/>
    <w:rsid w:val="00764CE1"/>
    <w:rsid w:val="007662BF"/>
    <w:rsid w:val="007764D3"/>
    <w:rsid w:val="00791556"/>
    <w:rsid w:val="007932A2"/>
    <w:rsid w:val="007952D5"/>
    <w:rsid w:val="007C4BBE"/>
    <w:rsid w:val="007C567B"/>
    <w:rsid w:val="007E2471"/>
    <w:rsid w:val="007F54E7"/>
    <w:rsid w:val="008224F6"/>
    <w:rsid w:val="008443DF"/>
    <w:rsid w:val="00860F95"/>
    <w:rsid w:val="00862ED2"/>
    <w:rsid w:val="0086560A"/>
    <w:rsid w:val="00865F6C"/>
    <w:rsid w:val="008739A4"/>
    <w:rsid w:val="0087596B"/>
    <w:rsid w:val="008A3D73"/>
    <w:rsid w:val="008A5278"/>
    <w:rsid w:val="008A5485"/>
    <w:rsid w:val="008D1DFE"/>
    <w:rsid w:val="008E7949"/>
    <w:rsid w:val="00911591"/>
    <w:rsid w:val="00930FF0"/>
    <w:rsid w:val="009367E8"/>
    <w:rsid w:val="0094292C"/>
    <w:rsid w:val="00950139"/>
    <w:rsid w:val="009852F1"/>
    <w:rsid w:val="009857D8"/>
    <w:rsid w:val="00987F37"/>
    <w:rsid w:val="009A2A82"/>
    <w:rsid w:val="009B16C4"/>
    <w:rsid w:val="009B5DA6"/>
    <w:rsid w:val="009C1084"/>
    <w:rsid w:val="009D68E8"/>
    <w:rsid w:val="00A1611C"/>
    <w:rsid w:val="00A3213C"/>
    <w:rsid w:val="00A33D11"/>
    <w:rsid w:val="00A4175F"/>
    <w:rsid w:val="00A57E2D"/>
    <w:rsid w:val="00A60B3B"/>
    <w:rsid w:val="00A71B9F"/>
    <w:rsid w:val="00A81ADA"/>
    <w:rsid w:val="00AA237E"/>
    <w:rsid w:val="00AB3619"/>
    <w:rsid w:val="00AB5C10"/>
    <w:rsid w:val="00AB6203"/>
    <w:rsid w:val="00AE0B77"/>
    <w:rsid w:val="00AE2CCC"/>
    <w:rsid w:val="00AF1EE1"/>
    <w:rsid w:val="00AF58D8"/>
    <w:rsid w:val="00B109C1"/>
    <w:rsid w:val="00B11940"/>
    <w:rsid w:val="00B3773E"/>
    <w:rsid w:val="00B53870"/>
    <w:rsid w:val="00B56753"/>
    <w:rsid w:val="00B716DE"/>
    <w:rsid w:val="00B81D62"/>
    <w:rsid w:val="00BB1DF1"/>
    <w:rsid w:val="00BB27AD"/>
    <w:rsid w:val="00BD6153"/>
    <w:rsid w:val="00C0601F"/>
    <w:rsid w:val="00C21532"/>
    <w:rsid w:val="00C423AE"/>
    <w:rsid w:val="00C4661D"/>
    <w:rsid w:val="00C479FD"/>
    <w:rsid w:val="00C537D9"/>
    <w:rsid w:val="00C71F03"/>
    <w:rsid w:val="00C855E8"/>
    <w:rsid w:val="00C95180"/>
    <w:rsid w:val="00CC3CFB"/>
    <w:rsid w:val="00CD3CF3"/>
    <w:rsid w:val="00CD4BFE"/>
    <w:rsid w:val="00CF0464"/>
    <w:rsid w:val="00CF264C"/>
    <w:rsid w:val="00CF6EDC"/>
    <w:rsid w:val="00D00BA9"/>
    <w:rsid w:val="00D114EC"/>
    <w:rsid w:val="00D21851"/>
    <w:rsid w:val="00D24CDE"/>
    <w:rsid w:val="00D255D8"/>
    <w:rsid w:val="00D33682"/>
    <w:rsid w:val="00D349D0"/>
    <w:rsid w:val="00D502F1"/>
    <w:rsid w:val="00D86740"/>
    <w:rsid w:val="00D928BF"/>
    <w:rsid w:val="00D961CB"/>
    <w:rsid w:val="00DB14AA"/>
    <w:rsid w:val="00DB17D1"/>
    <w:rsid w:val="00DD31EB"/>
    <w:rsid w:val="00DD5DB4"/>
    <w:rsid w:val="00DF224B"/>
    <w:rsid w:val="00E04A93"/>
    <w:rsid w:val="00E15B18"/>
    <w:rsid w:val="00E23E79"/>
    <w:rsid w:val="00E34A1C"/>
    <w:rsid w:val="00E36A13"/>
    <w:rsid w:val="00E374EA"/>
    <w:rsid w:val="00E40FE8"/>
    <w:rsid w:val="00E42456"/>
    <w:rsid w:val="00E67814"/>
    <w:rsid w:val="00E74FBF"/>
    <w:rsid w:val="00E83C22"/>
    <w:rsid w:val="00E97B80"/>
    <w:rsid w:val="00EA4075"/>
    <w:rsid w:val="00EA4129"/>
    <w:rsid w:val="00EA5268"/>
    <w:rsid w:val="00EB21EC"/>
    <w:rsid w:val="00EB6639"/>
    <w:rsid w:val="00EC398C"/>
    <w:rsid w:val="00ED25BC"/>
    <w:rsid w:val="00F116E7"/>
    <w:rsid w:val="00F1575F"/>
    <w:rsid w:val="00F240A6"/>
    <w:rsid w:val="00F26B87"/>
    <w:rsid w:val="00F32CD4"/>
    <w:rsid w:val="00F354D4"/>
    <w:rsid w:val="00F600E9"/>
    <w:rsid w:val="00F7153A"/>
    <w:rsid w:val="00F73A54"/>
    <w:rsid w:val="00F814B1"/>
    <w:rsid w:val="00F93EC4"/>
    <w:rsid w:val="00FA2F68"/>
    <w:rsid w:val="00FB02CE"/>
    <w:rsid w:val="00FB05DB"/>
    <w:rsid w:val="00FC140B"/>
    <w:rsid w:val="00FC6A9D"/>
    <w:rsid w:val="00FD2FCC"/>
    <w:rsid w:val="00FD35D1"/>
    <w:rsid w:val="00FD745E"/>
    <w:rsid w:val="00FE57D8"/>
    <w:rsid w:val="00FF1440"/>
    <w:rsid w:val="00FF70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ED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F6EDC"/>
    <w:pPr>
      <w:keepNext/>
      <w:spacing w:before="240"/>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6EDC"/>
    <w:rPr>
      <w:rFonts w:ascii="Times New Roman" w:eastAsia="Times New Roman" w:hAnsi="Times New Roman" w:cs="Times New Roman"/>
      <w:b/>
      <w:szCs w:val="20"/>
      <w:lang w:eastAsia="ru-RU"/>
    </w:rPr>
  </w:style>
  <w:style w:type="paragraph" w:customStyle="1" w:styleId="-">
    <w:name w:val="Текст-абзаца"/>
    <w:basedOn w:val="a"/>
    <w:link w:val="-0"/>
    <w:qFormat/>
    <w:rsid w:val="00CF6EDC"/>
    <w:pPr>
      <w:widowControl w:val="0"/>
      <w:suppressLineNumbers/>
      <w:tabs>
        <w:tab w:val="left" w:pos="3000"/>
      </w:tabs>
      <w:suppressAutoHyphens/>
      <w:ind w:firstLine="709"/>
      <w:jc w:val="both"/>
    </w:pPr>
    <w:rPr>
      <w:snapToGrid w:val="0"/>
      <w:sz w:val="24"/>
      <w:szCs w:val="24"/>
    </w:rPr>
  </w:style>
  <w:style w:type="character" w:customStyle="1" w:styleId="-0">
    <w:name w:val="Текст-абзаца Знак"/>
    <w:basedOn w:val="a0"/>
    <w:link w:val="-"/>
    <w:rsid w:val="00CF6EDC"/>
    <w:rPr>
      <w:rFonts w:ascii="Times New Roman" w:eastAsia="Times New Roman" w:hAnsi="Times New Roman" w:cs="Times New Roman"/>
      <w:snapToGrid w:val="0"/>
      <w:sz w:val="24"/>
      <w:szCs w:val="24"/>
      <w:lang w:eastAsia="ru-RU"/>
    </w:rPr>
  </w:style>
  <w:style w:type="paragraph" w:styleId="a3">
    <w:name w:val="header"/>
    <w:basedOn w:val="a"/>
    <w:link w:val="a4"/>
    <w:uiPriority w:val="99"/>
    <w:unhideWhenUsed/>
    <w:rsid w:val="00CF6EDC"/>
    <w:pPr>
      <w:tabs>
        <w:tab w:val="center" w:pos="4677"/>
        <w:tab w:val="right" w:pos="9355"/>
      </w:tabs>
    </w:pPr>
  </w:style>
  <w:style w:type="character" w:customStyle="1" w:styleId="a4">
    <w:name w:val="Верхний колонтитул Знак"/>
    <w:basedOn w:val="a0"/>
    <w:link w:val="a3"/>
    <w:uiPriority w:val="99"/>
    <w:rsid w:val="00CF6EDC"/>
    <w:rPr>
      <w:rFonts w:ascii="Times New Roman" w:eastAsia="Times New Roman" w:hAnsi="Times New Roman" w:cs="Times New Roman"/>
      <w:sz w:val="20"/>
      <w:szCs w:val="20"/>
      <w:lang w:eastAsia="ru-RU"/>
    </w:rPr>
  </w:style>
  <w:style w:type="paragraph" w:customStyle="1" w:styleId="ConsNonformat">
    <w:name w:val="ConsNonformat"/>
    <w:rsid w:val="00CF6EDC"/>
    <w:pPr>
      <w:widowControl w:val="0"/>
      <w:autoSpaceDE w:val="0"/>
      <w:autoSpaceDN w:val="0"/>
      <w:adjustRightInd w:val="0"/>
      <w:spacing w:after="0" w:line="240" w:lineRule="auto"/>
      <w:ind w:right="19772"/>
    </w:pPr>
    <w:rPr>
      <w:rFonts w:ascii="Courier New" w:eastAsia="Times New Roman" w:hAnsi="Courier New" w:cs="Courier New"/>
      <w:sz w:val="26"/>
      <w:szCs w:val="26"/>
      <w:lang w:eastAsia="ru-RU"/>
    </w:rPr>
  </w:style>
  <w:style w:type="paragraph" w:styleId="2">
    <w:name w:val="Body Text Indent 2"/>
    <w:basedOn w:val="a"/>
    <w:link w:val="20"/>
    <w:uiPriority w:val="99"/>
    <w:unhideWhenUsed/>
    <w:rsid w:val="00CF6EDC"/>
    <w:pPr>
      <w:spacing w:after="120" w:line="480" w:lineRule="auto"/>
      <w:ind w:left="283"/>
    </w:pPr>
    <w:rPr>
      <w:rFonts w:ascii="Calibri" w:eastAsia="Calibri" w:hAnsi="Calibri"/>
      <w:sz w:val="22"/>
      <w:szCs w:val="22"/>
      <w:lang w:eastAsia="en-US"/>
    </w:rPr>
  </w:style>
  <w:style w:type="character" w:customStyle="1" w:styleId="20">
    <w:name w:val="Основной текст с отступом 2 Знак"/>
    <w:basedOn w:val="a0"/>
    <w:link w:val="2"/>
    <w:uiPriority w:val="99"/>
    <w:rsid w:val="00CF6EDC"/>
    <w:rPr>
      <w:rFonts w:ascii="Calibri" w:eastAsia="Calibri" w:hAnsi="Calibri" w:cs="Times New Roman"/>
    </w:rPr>
  </w:style>
  <w:style w:type="paragraph" w:styleId="a5">
    <w:name w:val="footer"/>
    <w:basedOn w:val="a"/>
    <w:link w:val="a6"/>
    <w:uiPriority w:val="99"/>
    <w:semiHidden/>
    <w:unhideWhenUsed/>
    <w:rsid w:val="00FA2F68"/>
    <w:pPr>
      <w:tabs>
        <w:tab w:val="center" w:pos="4677"/>
        <w:tab w:val="right" w:pos="9355"/>
      </w:tabs>
    </w:pPr>
  </w:style>
  <w:style w:type="character" w:customStyle="1" w:styleId="a6">
    <w:name w:val="Нижний колонтитул Знак"/>
    <w:basedOn w:val="a0"/>
    <w:link w:val="a5"/>
    <w:uiPriority w:val="99"/>
    <w:semiHidden/>
    <w:rsid w:val="00FA2F68"/>
    <w:rPr>
      <w:rFonts w:ascii="Times New Roman" w:eastAsia="Times New Roman" w:hAnsi="Times New Roman" w:cs="Times New Roman"/>
      <w:sz w:val="20"/>
      <w:szCs w:val="20"/>
      <w:lang w:eastAsia="ru-RU"/>
    </w:rPr>
  </w:style>
  <w:style w:type="paragraph" w:styleId="a7">
    <w:name w:val="List Paragraph"/>
    <w:basedOn w:val="a"/>
    <w:link w:val="a8"/>
    <w:uiPriority w:val="34"/>
    <w:qFormat/>
    <w:rsid w:val="00B81D62"/>
    <w:pPr>
      <w:widowControl w:val="0"/>
      <w:shd w:val="clear" w:color="auto" w:fill="FFFFFF"/>
      <w:ind w:left="720" w:firstLine="709"/>
      <w:contextualSpacing/>
      <w:jc w:val="both"/>
    </w:pPr>
    <w:rPr>
      <w:sz w:val="22"/>
      <w:szCs w:val="22"/>
    </w:rPr>
  </w:style>
  <w:style w:type="character" w:customStyle="1" w:styleId="a8">
    <w:name w:val="Абзац списка Знак"/>
    <w:link w:val="a7"/>
    <w:uiPriority w:val="34"/>
    <w:locked/>
    <w:rsid w:val="00B81D62"/>
    <w:rPr>
      <w:rFonts w:ascii="Times New Roman" w:eastAsia="Times New Roman" w:hAnsi="Times New Roman" w:cs="Times New Roman"/>
      <w:shd w:val="clear" w:color="auto" w:fill="FFFFFF"/>
      <w:lang w:eastAsia="ru-RU"/>
    </w:rPr>
  </w:style>
  <w:style w:type="paragraph" w:styleId="a9">
    <w:name w:val="Balloon Text"/>
    <w:basedOn w:val="a"/>
    <w:link w:val="aa"/>
    <w:uiPriority w:val="99"/>
    <w:semiHidden/>
    <w:unhideWhenUsed/>
    <w:rsid w:val="00B81D62"/>
    <w:rPr>
      <w:rFonts w:ascii="Tahoma" w:hAnsi="Tahoma" w:cs="Tahoma"/>
      <w:sz w:val="16"/>
      <w:szCs w:val="16"/>
    </w:rPr>
  </w:style>
  <w:style w:type="character" w:customStyle="1" w:styleId="aa">
    <w:name w:val="Текст выноски Знак"/>
    <w:basedOn w:val="a0"/>
    <w:link w:val="a9"/>
    <w:uiPriority w:val="99"/>
    <w:semiHidden/>
    <w:rsid w:val="00B81D62"/>
    <w:rPr>
      <w:rFonts w:ascii="Tahoma" w:eastAsia="Times New Roman" w:hAnsi="Tahoma" w:cs="Tahoma"/>
      <w:sz w:val="16"/>
      <w:szCs w:val="16"/>
      <w:lang w:eastAsia="ru-RU"/>
    </w:rPr>
  </w:style>
  <w:style w:type="paragraph" w:customStyle="1" w:styleId="ConsPlusNormal">
    <w:name w:val="ConsPlusNormal"/>
    <w:link w:val="ConsPlusNormal0"/>
    <w:qFormat/>
    <w:rsid w:val="004F056C"/>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locked/>
    <w:rsid w:val="004F056C"/>
    <w:rPr>
      <w:rFonts w:ascii="Arial" w:eastAsia="Times New Roman" w:hAnsi="Arial" w:cs="Times New Roman"/>
      <w:sz w:val="24"/>
      <w:szCs w:val="24"/>
      <w:lang w:eastAsia="ru-RU"/>
    </w:rPr>
  </w:style>
  <w:style w:type="character" w:styleId="ab">
    <w:name w:val="Hyperlink"/>
    <w:uiPriority w:val="99"/>
    <w:unhideWhenUsed/>
    <w:rsid w:val="004F056C"/>
    <w:rPr>
      <w:color w:val="0000FF"/>
      <w:u w:val="single"/>
    </w:rPr>
  </w:style>
  <w:style w:type="character" w:customStyle="1" w:styleId="blk">
    <w:name w:val="blk"/>
    <w:basedOn w:val="a0"/>
    <w:rsid w:val="004F056C"/>
  </w:style>
  <w:style w:type="paragraph" w:customStyle="1" w:styleId="Standard">
    <w:name w:val="Standard"/>
    <w:rsid w:val="005F6D2B"/>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Textbody">
    <w:name w:val="Text body"/>
    <w:basedOn w:val="Standard"/>
    <w:rsid w:val="002A1CA8"/>
    <w:pPr>
      <w:spacing w:after="120"/>
    </w:pPr>
  </w:style>
  <w:style w:type="character" w:styleId="ac">
    <w:name w:val="Strong"/>
    <w:basedOn w:val="a0"/>
    <w:uiPriority w:val="22"/>
    <w:qFormat/>
    <w:rsid w:val="00CC3CFB"/>
    <w:rPr>
      <w:b/>
      <w:bCs/>
    </w:rPr>
  </w:style>
</w:styles>
</file>

<file path=word/webSettings.xml><?xml version="1.0" encoding="utf-8"?>
<w:webSettings xmlns:r="http://schemas.openxmlformats.org/officeDocument/2006/relationships" xmlns:w="http://schemas.openxmlformats.org/wordprocessingml/2006/main">
  <w:divs>
    <w:div w:id="210658478">
      <w:bodyDiv w:val="1"/>
      <w:marLeft w:val="0"/>
      <w:marRight w:val="0"/>
      <w:marTop w:val="0"/>
      <w:marBottom w:val="0"/>
      <w:divBdr>
        <w:top w:val="none" w:sz="0" w:space="0" w:color="auto"/>
        <w:left w:val="none" w:sz="0" w:space="0" w:color="auto"/>
        <w:bottom w:val="none" w:sz="0" w:space="0" w:color="auto"/>
        <w:right w:val="none" w:sz="0" w:space="0" w:color="auto"/>
      </w:divBdr>
    </w:div>
    <w:div w:id="500045660">
      <w:bodyDiv w:val="1"/>
      <w:marLeft w:val="0"/>
      <w:marRight w:val="0"/>
      <w:marTop w:val="0"/>
      <w:marBottom w:val="0"/>
      <w:divBdr>
        <w:top w:val="none" w:sz="0" w:space="0" w:color="auto"/>
        <w:left w:val="none" w:sz="0" w:space="0" w:color="auto"/>
        <w:bottom w:val="none" w:sz="0" w:space="0" w:color="auto"/>
        <w:right w:val="none" w:sz="0" w:space="0" w:color="auto"/>
      </w:divBdr>
    </w:div>
    <w:div w:id="607205270">
      <w:bodyDiv w:val="1"/>
      <w:marLeft w:val="0"/>
      <w:marRight w:val="0"/>
      <w:marTop w:val="0"/>
      <w:marBottom w:val="0"/>
      <w:divBdr>
        <w:top w:val="none" w:sz="0" w:space="0" w:color="auto"/>
        <w:left w:val="none" w:sz="0" w:space="0" w:color="auto"/>
        <w:bottom w:val="none" w:sz="0" w:space="0" w:color="auto"/>
        <w:right w:val="none" w:sz="0" w:space="0" w:color="auto"/>
      </w:divBdr>
    </w:div>
    <w:div w:id="656038824">
      <w:bodyDiv w:val="1"/>
      <w:marLeft w:val="0"/>
      <w:marRight w:val="0"/>
      <w:marTop w:val="0"/>
      <w:marBottom w:val="0"/>
      <w:divBdr>
        <w:top w:val="none" w:sz="0" w:space="0" w:color="auto"/>
        <w:left w:val="none" w:sz="0" w:space="0" w:color="auto"/>
        <w:bottom w:val="none" w:sz="0" w:space="0" w:color="auto"/>
        <w:right w:val="none" w:sz="0" w:space="0" w:color="auto"/>
      </w:divBdr>
    </w:div>
    <w:div w:id="782654488">
      <w:bodyDiv w:val="1"/>
      <w:marLeft w:val="0"/>
      <w:marRight w:val="0"/>
      <w:marTop w:val="0"/>
      <w:marBottom w:val="0"/>
      <w:divBdr>
        <w:top w:val="none" w:sz="0" w:space="0" w:color="auto"/>
        <w:left w:val="none" w:sz="0" w:space="0" w:color="auto"/>
        <w:bottom w:val="none" w:sz="0" w:space="0" w:color="auto"/>
        <w:right w:val="none" w:sz="0" w:space="0" w:color="auto"/>
      </w:divBdr>
    </w:div>
    <w:div w:id="1081638507">
      <w:bodyDiv w:val="1"/>
      <w:marLeft w:val="0"/>
      <w:marRight w:val="0"/>
      <w:marTop w:val="0"/>
      <w:marBottom w:val="0"/>
      <w:divBdr>
        <w:top w:val="none" w:sz="0" w:space="0" w:color="auto"/>
        <w:left w:val="none" w:sz="0" w:space="0" w:color="auto"/>
        <w:bottom w:val="none" w:sz="0" w:space="0" w:color="auto"/>
        <w:right w:val="none" w:sz="0" w:space="0" w:color="auto"/>
      </w:divBdr>
    </w:div>
    <w:div w:id="1208644439">
      <w:bodyDiv w:val="1"/>
      <w:marLeft w:val="0"/>
      <w:marRight w:val="0"/>
      <w:marTop w:val="0"/>
      <w:marBottom w:val="0"/>
      <w:divBdr>
        <w:top w:val="none" w:sz="0" w:space="0" w:color="auto"/>
        <w:left w:val="none" w:sz="0" w:space="0" w:color="auto"/>
        <w:bottom w:val="none" w:sz="0" w:space="0" w:color="auto"/>
        <w:right w:val="none" w:sz="0" w:space="0" w:color="auto"/>
      </w:divBdr>
    </w:div>
    <w:div w:id="1553888835">
      <w:bodyDiv w:val="1"/>
      <w:marLeft w:val="0"/>
      <w:marRight w:val="0"/>
      <w:marTop w:val="0"/>
      <w:marBottom w:val="0"/>
      <w:divBdr>
        <w:top w:val="none" w:sz="0" w:space="0" w:color="auto"/>
        <w:left w:val="none" w:sz="0" w:space="0" w:color="auto"/>
        <w:bottom w:val="none" w:sz="0" w:space="0" w:color="auto"/>
        <w:right w:val="none" w:sz="0" w:space="0" w:color="auto"/>
      </w:divBdr>
    </w:div>
    <w:div w:id="1661349490">
      <w:bodyDiv w:val="1"/>
      <w:marLeft w:val="0"/>
      <w:marRight w:val="0"/>
      <w:marTop w:val="0"/>
      <w:marBottom w:val="0"/>
      <w:divBdr>
        <w:top w:val="none" w:sz="0" w:space="0" w:color="auto"/>
        <w:left w:val="none" w:sz="0" w:space="0" w:color="auto"/>
        <w:bottom w:val="none" w:sz="0" w:space="0" w:color="auto"/>
        <w:right w:val="none" w:sz="0" w:space="0" w:color="auto"/>
      </w:divBdr>
    </w:div>
    <w:div w:id="1690370848">
      <w:bodyDiv w:val="1"/>
      <w:marLeft w:val="0"/>
      <w:marRight w:val="0"/>
      <w:marTop w:val="0"/>
      <w:marBottom w:val="0"/>
      <w:divBdr>
        <w:top w:val="none" w:sz="0" w:space="0" w:color="auto"/>
        <w:left w:val="none" w:sz="0" w:space="0" w:color="auto"/>
        <w:bottom w:val="none" w:sz="0" w:space="0" w:color="auto"/>
        <w:right w:val="none" w:sz="0" w:space="0" w:color="auto"/>
      </w:divBdr>
      <w:divsChild>
        <w:div w:id="1795176334">
          <w:marLeft w:val="0"/>
          <w:marRight w:val="0"/>
          <w:marTop w:val="0"/>
          <w:marBottom w:val="0"/>
          <w:divBdr>
            <w:top w:val="none" w:sz="0" w:space="0" w:color="auto"/>
            <w:left w:val="none" w:sz="0" w:space="0" w:color="auto"/>
            <w:bottom w:val="none" w:sz="0" w:space="0" w:color="auto"/>
            <w:right w:val="none" w:sz="0" w:space="0" w:color="auto"/>
          </w:divBdr>
          <w:divsChild>
            <w:div w:id="86383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43089">
      <w:bodyDiv w:val="1"/>
      <w:marLeft w:val="0"/>
      <w:marRight w:val="0"/>
      <w:marTop w:val="0"/>
      <w:marBottom w:val="0"/>
      <w:divBdr>
        <w:top w:val="none" w:sz="0" w:space="0" w:color="auto"/>
        <w:left w:val="none" w:sz="0" w:space="0" w:color="auto"/>
        <w:bottom w:val="none" w:sz="0" w:space="0" w:color="auto"/>
        <w:right w:val="none" w:sz="0" w:space="0" w:color="auto"/>
      </w:divBdr>
    </w:div>
    <w:div w:id="2100638030">
      <w:bodyDiv w:val="1"/>
      <w:marLeft w:val="0"/>
      <w:marRight w:val="0"/>
      <w:marTop w:val="0"/>
      <w:marBottom w:val="0"/>
      <w:divBdr>
        <w:top w:val="none" w:sz="0" w:space="0" w:color="auto"/>
        <w:left w:val="none" w:sz="0" w:space="0" w:color="auto"/>
        <w:bottom w:val="none" w:sz="0" w:space="0" w:color="auto"/>
        <w:right w:val="none" w:sz="0" w:space="0" w:color="auto"/>
      </w:divBdr>
    </w:div>
    <w:div w:id="21207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32E0D-E3F9-4BB3-8F87-99AFD6BC2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514</Words>
  <Characters>2932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gorshkova.o.n</dc:creator>
  <cp:lastModifiedBy>user</cp:lastModifiedBy>
  <cp:revision>20</cp:revision>
  <cp:lastPrinted>2026-04-10T11:39:00Z</cp:lastPrinted>
  <dcterms:created xsi:type="dcterms:W3CDTF">2025-05-15T13:23:00Z</dcterms:created>
  <dcterms:modified xsi:type="dcterms:W3CDTF">2026-04-13T08:09:00Z</dcterms:modified>
</cp:coreProperties>
</file>