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1"/>
        <w:ind w:left="126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Описание объекта закупки (Техническое задание)</w:t>
      </w:r>
      <w:r>
        <w:rPr>
          <w:b/>
          <w:caps/>
          <w:sz w:val="24"/>
          <w:szCs w:val="24"/>
        </w:rPr>
      </w:r>
    </w:p>
    <w:p>
      <w:pPr>
        <w:pStyle w:val="671"/>
        <w:ind w:left="126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на п</w:t>
      </w:r>
      <w:r>
        <w:rPr>
          <w:b/>
          <w:caps/>
          <w:sz w:val="24"/>
          <w:szCs w:val="24"/>
        </w:rPr>
        <w:t xml:space="preserve">оставк</w:t>
      </w:r>
      <w:r>
        <w:rPr>
          <w:b/>
          <w:caps/>
          <w:sz w:val="24"/>
          <w:szCs w:val="24"/>
        </w:rPr>
        <w:t xml:space="preserve">у</w:t>
      </w:r>
      <w:r>
        <w:rPr>
          <w:b/>
          <w:caps/>
          <w:sz w:val="24"/>
          <w:szCs w:val="24"/>
        </w:rPr>
        <w:t xml:space="preserve"> оргтехники для нужд Федоровского филиала ФГБУ "Управление "Кубаньмелиоводхоз"</w:t>
      </w:r>
      <w:r>
        <w:rPr>
          <w:b/>
          <w:caps/>
          <w:sz w:val="24"/>
          <w:szCs w:val="24"/>
        </w:rPr>
      </w:r>
    </w:p>
    <w:p>
      <w:pPr>
        <w:pStyle w:val="671"/>
        <w:ind w:left="126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</w:r>
      <w:r>
        <w:rPr>
          <w:b/>
          <w:caps/>
          <w:sz w:val="24"/>
          <w:szCs w:val="24"/>
        </w:rPr>
      </w:r>
    </w:p>
    <w:p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Наименование </w:t>
      </w:r>
      <w:r>
        <w:rPr>
          <w:rFonts w:ascii="Times New Roman" w:hAnsi="Times New Roman"/>
          <w:b/>
          <w:sz w:val="24"/>
          <w:szCs w:val="24"/>
        </w:rPr>
        <w:t xml:space="preserve">предме</w:t>
      </w:r>
      <w:r>
        <w:rPr>
          <w:rFonts w:ascii="Times New Roman" w:hAnsi="Times New Roman"/>
          <w:b/>
          <w:sz w:val="24"/>
          <w:szCs w:val="24"/>
        </w:rPr>
        <w:t xml:space="preserve">та закупки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 xml:space="preserve">Поставка оргтехники для нужд Федоровского филиала ФГБУ "Управление "Кубаньмелиоводхоз"</w:t>
      </w:r>
      <w:r>
        <w:rPr>
          <w:rFonts w:ascii="Times New Roman" w:hAnsi="Times New Roman"/>
          <w:bCs/>
          <w:sz w:val="24"/>
          <w:szCs w:val="24"/>
        </w:rPr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Описание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предме</w:t>
      </w:r>
      <w:r>
        <w:rPr>
          <w:rFonts w:ascii="Times New Roman" w:hAnsi="Times New Roman" w:cs="Times New Roman"/>
          <w:b/>
          <w:sz w:val="24"/>
          <w:szCs w:val="24"/>
        </w:rPr>
        <w:t xml:space="preserve">та закупки:</w:t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1496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1"/>
        <w:gridCol w:w="2440"/>
        <w:gridCol w:w="3437"/>
        <w:gridCol w:w="1742"/>
        <w:gridCol w:w="1701"/>
        <w:gridCol w:w="1701"/>
        <w:gridCol w:w="1453"/>
        <w:gridCol w:w="2034"/>
      </w:tblGrid>
      <w:tr>
        <w:tblPrEx/>
        <w:trPr>
          <w:trHeight w:val="238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п.п.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товара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по Общероссийскому классификатору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КТРУ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ОКПД2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Характеристики товара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Количество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Ед. измерения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651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характеристики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Значение характеристики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Ед.изм. характеристик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Системный блок  DEXP Aquilon O347 (или эквивалент)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ОКПД2: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26.20.15.120: 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Системные блоки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/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 оперативной установленной памяти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Гигабайт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Допустимый максимальный объем увеличения оперативной памяти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32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Гигабайт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46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 оперативной памяти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DDR4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42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внутренних отсеков корпуса 2,5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49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блокировки кнопки включения системного блока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5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ядер процессора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48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потоков процессора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Частота процессора базовая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2.5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Гигагерц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Тепловыделение процессора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≤ 90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Ватт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 кэш памяти третьего уровня процессора (L3)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Мегабайт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Тактовая частота оперативной памяти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3200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Мегагерц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модуля доверенной загрузки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слотов M.2 Key M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Интерфейс слотов M.2 Key M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PCIe и SATA3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слотов M.2 Кеу E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 накопителя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SSD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Интерфейс накопителя SSD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PCIe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установленного дискретного графического контроллера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портов DVI-D дискретного графического контроллера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портов DVI-D дискретного графического контроллера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портов DisplayPort дискретного графического контроллер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 установленного модуля оперативной памяти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Гигабайт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57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средств доверенной загрузки, сертифицированных ФСТЭК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средств доверенной загрузки,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сертифицированных ФСБ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накопителя eMMC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Мощность блока питания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Ватт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системы охлаждения процессора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графического контроллера интегрированного в процессор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интегрированного звукового контроллера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Cкорость передачи данных накопителя SSD при чтении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3500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Мегабайт в секунду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Скорость передачи данных проводного сетевого контроллера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Мегабит в секунду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кнопки включения и перезагрузки на передней панели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Базовая частота графического контроллера интегрированного в процессор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&lt; 333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Мегагерц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Сетевой интерфейс 8P8C (RJ-45)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Ширина корпуса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&lt; 250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Миллиметр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4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42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 порта видеовыхода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HDMI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0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DisplayPort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42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Версия HDMI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9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Версия DisplayPort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портов DVI-D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портов HDMI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портов DisplayPort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портов USB 2.0 на передней панели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Суммарное количество встроенных в корпус портов USB 2.0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портов USB 3.2 Gen 1 (USB 3.1 Gen 1, USB 3.0) на передней панели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Суммарное количество встроенных в корпус портов USB 3.2 Gen 1 (USB 3.1 Gen 1, USB 3.0)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портов USB 3.2 Gen 2 (USB 3.1 Gen 2, USB 3.1) на передней панели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Суммарное количество встроенных в корпус портов USB 3.2 Gen 2 (USB 3.1 Gen 2, USB 3.1)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встроенных в корпус портов USB 3.2 Gen 2х2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в корпусе порта 2,5 Gigabit Ethernet 8P8C (RJ-45)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выходного аудиоразъема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1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выходного аудиоразъема на передней панели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встроенных в корпус аудиоразъемов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6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комбинированного аудиоразъема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входного аудиоразъема для микрофона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входного аудиоразъема для микрофона на передней панели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Mobile rack (мобильного шасси)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встроенного картридера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Предустановленная операционная система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Операционная система для рабочих станций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Настенное крепление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Язык интерфейса - русский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Разрядность шины дискретного графического контроллера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128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Частота процессора максимальная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4.1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Гигагерц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уровня запыленности внутри корпуса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температуры и влажности внутри корпуса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 аудиоконтроллера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Встроенный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Допустимое количество перезаписей всего объема накопителя SSD в день (DWPD)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накопителей SSD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форм-фактора PCIe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480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Гигабайт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накопителей типа SSD форм-фактора M.2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накопителей типа SSD форм-фактора PCIe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накопителей SSD форм-фактора M.2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480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Гигабайт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накопителей SSD форм-фактора 2,5"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480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Гигабайт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накопителей типа SSD форм-фактора 2,5"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0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42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к встроенным системным программам (BIOS, UEFI)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доступом к внешним USB устройствам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4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42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Аварийное снятие, сохранение и восстановление образа операционной системы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42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и информирование об изменениях состава аппаратного обеспечения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42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целостности каждого модуля BIOS контрольной суммой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42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клавиатуры и мыши для настройки BIOS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7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42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включением и отключением каждого USB порта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42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включением и отключением каждого порта PCI/PCI-Express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42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включением и отключением каждого порта SATA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6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42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Запрет подключения любых USB устройств, кроме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 типа клавиатура и мышь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1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42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включением и отключением интерфейса Wi-Fi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42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 загрузки операционной системы без использования внешних утилит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Блок питания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Standart 80+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Активное воздушное охлаждение системного блока 3 кулера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CPU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Активное воздушное охлаждение системного блока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Миллиметр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Процессор линейки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Intel coke i5-12400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Высота корпуса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≤ 450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Миллиметр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7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742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Длина корпуса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≤ 450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Миллиметр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Монитор 27" Acer EK271P6bi  (или эквивалент)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ОКПД2: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26.20.17.110: Мониторы, подключаемые к компьютеру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Размер диагонали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27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Дюйм (25,4 мм)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8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Формат изображения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16:9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8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Разрешение экрана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1920 x 1080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8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Частота обновления экрана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Герц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8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Разъем</w:t>
            </w: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Mini-Jack (3,5 мм) вход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8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Наличие функции регулировки по высоте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Да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8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Наличие функции регулировки наклона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Да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8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Наличие встроенных динамиков</w:t>
            </w: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Да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8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Наличие встроенной акустической системы</w:t>
            </w: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Да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8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Количество портов HDMI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8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Количество портов DisplayPort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18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Количество портов USB Type-C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≥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Класс энергетической эффективности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Не ниже 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++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Динамическая контрастность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&lt;10 000 000:1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Потребляемая мощность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&lt; 30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Ватт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Глубина цвета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Бит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Кабель для подключения к источнику изображения в комплекте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Да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Тип кабеля для подключения к источнику изображения в комплекте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HDMI-HDMI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Технология изготовления матрицы дисплея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IPS (PLS, ADS, AAS, FFS, SFT, New Mode2, Vistarich)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Угол обзора по горизонтали, градус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178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Угол обзора по вертикали, градус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178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Интерфейс подключения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VGA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174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HDMI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Display Port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Блок питания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Внешний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593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Время отклика, мс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&lt;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Контрастность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≥1000:1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0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4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44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PT Astra Serif" w:cs="Times New Roman"/>
                <w:color w:val="000000" w:themeColor="text1"/>
                <w:sz w:val="20"/>
                <w:szCs w:val="20"/>
              </w:rPr>
              <w:t xml:space="preserve">Яркость, кд/м2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300  и  &lt; 350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45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right w:val="single" w:color="auto" w:sz="4" w:space="0"/>
            </w:tcBorders>
            <w:tcW w:w="20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Общие положение: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Наименование заказчика: </w:t>
      </w:r>
      <w:r>
        <w:rPr>
          <w:rFonts w:ascii="Times New Roman" w:hAnsi="Times New Roman" w:cs="Times New Roman"/>
          <w:sz w:val="24"/>
          <w:szCs w:val="24"/>
        </w:rPr>
        <w:t xml:space="preserve">Федоровский </w:t>
      </w:r>
      <w:r>
        <w:rPr>
          <w:rFonts w:ascii="Times New Roman" w:hAnsi="Times New Roman" w:cs="Times New Roman"/>
          <w:sz w:val="24"/>
          <w:szCs w:val="24"/>
        </w:rPr>
        <w:t xml:space="preserve"> филиал ФГБУ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Управление «Кубаньмелиоводхоз».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5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Место нахождения заказчика: Российская Федерация, </w:t>
      </w:r>
      <w:r>
        <w:rPr>
          <w:rFonts w:ascii="Times New Roman" w:hAnsi="Times New Roman"/>
          <w:sz w:val="24"/>
          <w:szCs w:val="24"/>
        </w:rPr>
        <w:t xml:space="preserve">353316, Краснодарский край, Абинский район, х. Екатериновский,  ул. Набережная,</w:t>
      </w:r>
      <w:r>
        <w:rPr>
          <w:rFonts w:ascii="Times New Roman" w:hAnsi="Times New Roman"/>
          <w:sz w:val="24"/>
          <w:szCs w:val="24"/>
        </w:rPr>
        <w:t xml:space="preserve">1.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</w:r>
    </w:p>
    <w:p>
      <w:pPr>
        <w:pStyle w:val="675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Режим рабочего времени заказчика: пятидн</w:t>
      </w:r>
      <w:r>
        <w:rPr>
          <w:rFonts w:ascii="Times New Roman" w:hAnsi="Times New Roman"/>
          <w:sz w:val="24"/>
          <w:szCs w:val="24"/>
        </w:rPr>
        <w:t xml:space="preserve">евная рабочая неделя с двумя выходными днями (суббота и воскресенье), рабочее время установлено с понедельника по пятницу с 8 до 17 часов. Обеденный перерыв в рабочие дни предусмотрен с 12 до 13 часов. Поставщик должен учитывать этот график при исполнении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а.</w:t>
      </w:r>
      <w:r>
        <w:rPr>
          <w:rFonts w:ascii="Times New Roman" w:hAnsi="Times New Roman"/>
          <w:sz w:val="24"/>
          <w:szCs w:val="24"/>
        </w:rPr>
      </w:r>
    </w:p>
    <w:p>
      <w:pPr>
        <w:pStyle w:val="675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75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2. Качество товара: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Соответствие </w:t>
      </w:r>
      <w:r>
        <w:rPr>
          <w:rFonts w:ascii="Times New Roman" w:hAnsi="Times New Roman" w:cs="Times New Roman"/>
          <w:sz w:val="24"/>
          <w:szCs w:val="24"/>
        </w:rPr>
        <w:t xml:space="preserve">-</w:t>
      </w:r>
      <w:r>
        <w:rPr>
          <w:rFonts w:ascii="Times New Roman" w:hAnsi="Times New Roman" w:cs="Times New Roman"/>
          <w:sz w:val="24"/>
          <w:szCs w:val="24"/>
        </w:rPr>
        <w:t xml:space="preserve">Решени</w:t>
      </w:r>
      <w:r>
        <w:rPr>
          <w:rFonts w:ascii="Times New Roman" w:hAnsi="Times New Roman" w:cs="Times New Roman"/>
          <w:sz w:val="24"/>
          <w:szCs w:val="24"/>
        </w:rPr>
        <w:t xml:space="preserve">ю</w:t>
      </w:r>
      <w:r>
        <w:rPr>
          <w:rFonts w:ascii="Times New Roman" w:hAnsi="Times New Roman" w:cs="Times New Roman"/>
          <w:sz w:val="24"/>
          <w:szCs w:val="24"/>
        </w:rPr>
        <w:t xml:space="preserve"> Совета Евразийской экономической комиссии от 18.10.2016 № 113 "О техническом регламенте Евразийского экономического союза "Об огр</w:t>
      </w:r>
      <w:r>
        <w:rPr>
          <w:rFonts w:ascii="Times New Roman" w:hAnsi="Times New Roman" w:cs="Times New Roman"/>
          <w:sz w:val="24"/>
          <w:szCs w:val="24"/>
        </w:rPr>
        <w:t xml:space="preserve">аничении применения опасных веществ в изделиях электротехники и радиоэлектроники" (вместе с "ТР ЕАЭС 037/2016. Технический регламент Евразийского экономического союза. Об ограничении применения опасных веществ в изделиях электротехники и радиоэлектроники")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Требования к таре, упаковке и маркировке Товара: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поставляется в упак</w:t>
      </w:r>
      <w:r>
        <w:rPr>
          <w:rFonts w:ascii="Times New Roman" w:hAnsi="Times New Roman" w:cs="Times New Roman"/>
          <w:sz w:val="24"/>
          <w:szCs w:val="24"/>
        </w:rPr>
        <w:t xml:space="preserve">овке, которая отвечает требованиям действующего законодательства Российской Федерации, обеспечивает его сохранность, товарный вид, предохраняет от повреждений при транспортировке. Маркировка товара должна соответствовать требованиям нормативных документов.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должен иметь необходимые маркировки, ярлыки, наклейки и пломбы согласно действующему законодательству Российской Федерации. Тара и упаковка Товара должны гарантировать целостность и сохранность Товара при транспортировке и хранении.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Поставщик обеспечивает во время транспортировки товара сохранность качества, эффективности, безопасности товара.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товаром должны передаваться следующие документы: товарная накладная, счет-фактура, сертификат качества, заверенный печатью поставщика (заводом изготовителя).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5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 Место поставки товара: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353316,</w:t>
      </w:r>
      <w:r>
        <w:rPr>
          <w:rFonts w:ascii="Times New Roman" w:hAnsi="Times New Roman"/>
          <w:color w:val="000000"/>
          <w:sz w:val="24"/>
          <w:szCs w:val="24"/>
        </w:rPr>
        <w:t xml:space="preserve"> РФ,</w:t>
      </w:r>
      <w:r>
        <w:rPr>
          <w:rFonts w:ascii="Times New Roman" w:hAnsi="Times New Roman"/>
          <w:color w:val="000000"/>
          <w:sz w:val="24"/>
          <w:szCs w:val="24"/>
        </w:rPr>
        <w:t xml:space="preserve"> Краснодарский край, Абинский район, х. Екатериновский,  ул. Набережная, 1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675"/>
        <w:ind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75"/>
        <w:ind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 Сроки и условия поставки товара: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75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 Срок поставки Товара в течение </w:t>
      </w:r>
      <w:r>
        <w:rPr>
          <w:rFonts w:ascii="Times New Roman" w:hAnsi="Times New Roman"/>
          <w:sz w:val="24"/>
          <w:szCs w:val="24"/>
        </w:rPr>
        <w:t xml:space="preserve">10 (десяти) рабочих </w:t>
      </w:r>
      <w:r>
        <w:rPr>
          <w:rFonts w:ascii="Times New Roman" w:hAnsi="Times New Roman"/>
          <w:sz w:val="24"/>
          <w:szCs w:val="24"/>
        </w:rPr>
        <w:t xml:space="preserve">с даты заключения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. В случае если поставщик поставил не заявленный товар или же поврежденный, произвести замену в течение 1 рабочего дня.</w:t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 Поставка Товара осуществляется транспортом 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средствами Поставщика</w:t>
      </w:r>
      <w:r>
        <w:rPr>
          <w:rFonts w:ascii="Times New Roman" w:hAnsi="Times New Roman" w:cs="Times New Roman"/>
          <w:sz w:val="24"/>
          <w:szCs w:val="24"/>
        </w:rPr>
        <w:t xml:space="preserve"> по адресу Заказчика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Требования к безопасности товара: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 Соответствие требованиям Федерального Закона от 7 февраля 1992 года № 2300-1 «О защите прав потребителей».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Срок гарантии производителя:</w:t>
      </w:r>
      <w:r>
        <w:rPr>
          <w:rFonts w:ascii="Times New Roman" w:hAnsi="Times New Roman" w:cs="Times New Roman"/>
          <w:sz w:val="24"/>
          <w:szCs w:val="24"/>
        </w:rPr>
        <w:t xml:space="preserve"> не менее 12 месяцев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75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специалист: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Солнышкина О.А.</w:t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8"/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MS Reference Sans Serif">
    <w:panose1 w:val="020B060403050404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8"/>
    </w:pPr>
    <w:r/>
    <w:r/>
  </w:p>
  <w:p>
    <w:pPr>
      <w:pStyle w:val="67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7"/>
    <w:next w:val="66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7"/>
    <w:next w:val="66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7"/>
    <w:next w:val="66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7"/>
    <w:next w:val="66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7"/>
    <w:next w:val="66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7"/>
    <w:next w:val="66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7"/>
    <w:next w:val="66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7"/>
    <w:next w:val="66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7"/>
    <w:next w:val="66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7"/>
    <w:next w:val="66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8"/>
    <w:link w:val="34"/>
    <w:uiPriority w:val="10"/>
    <w:rPr>
      <w:sz w:val="48"/>
      <w:szCs w:val="48"/>
    </w:rPr>
  </w:style>
  <w:style w:type="paragraph" w:styleId="36">
    <w:name w:val="Subtitle"/>
    <w:basedOn w:val="667"/>
    <w:next w:val="66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8"/>
    <w:link w:val="36"/>
    <w:uiPriority w:val="11"/>
    <w:rPr>
      <w:sz w:val="24"/>
      <w:szCs w:val="24"/>
    </w:rPr>
  </w:style>
  <w:style w:type="paragraph" w:styleId="38">
    <w:name w:val="Quote"/>
    <w:basedOn w:val="667"/>
    <w:next w:val="66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7"/>
    <w:next w:val="66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8"/>
    <w:link w:val="678"/>
    <w:uiPriority w:val="99"/>
  </w:style>
  <w:style w:type="character" w:styleId="45">
    <w:name w:val="Footer Char"/>
    <w:basedOn w:val="668"/>
    <w:link w:val="680"/>
    <w:uiPriority w:val="99"/>
  </w:style>
  <w:style w:type="paragraph" w:styleId="46">
    <w:name w:val="Caption"/>
    <w:basedOn w:val="667"/>
    <w:next w:val="66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6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6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6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8"/>
    <w:uiPriority w:val="99"/>
    <w:unhideWhenUsed/>
    <w:rPr>
      <w:vertAlign w:val="superscript"/>
    </w:rPr>
  </w:style>
  <w:style w:type="paragraph" w:styleId="178">
    <w:name w:val="endnote text"/>
    <w:basedOn w:val="66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8"/>
    <w:uiPriority w:val="99"/>
    <w:semiHidden/>
    <w:unhideWhenUsed/>
    <w:rPr>
      <w:vertAlign w:val="superscript"/>
    </w:rPr>
  </w:style>
  <w:style w:type="paragraph" w:styleId="181">
    <w:name w:val="toc 1"/>
    <w:basedOn w:val="667"/>
    <w:next w:val="66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7"/>
    <w:next w:val="66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7"/>
    <w:next w:val="66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7"/>
    <w:next w:val="66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7"/>
    <w:next w:val="66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7"/>
    <w:next w:val="66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7"/>
    <w:next w:val="66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7"/>
    <w:next w:val="66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7"/>
    <w:next w:val="66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7"/>
    <w:next w:val="667"/>
    <w:uiPriority w:val="99"/>
    <w:unhideWhenUsed/>
    <w:pPr>
      <w:spacing w:after="0" w:afterAutospacing="0"/>
    </w:pPr>
  </w:style>
  <w:style w:type="paragraph" w:styleId="667" w:default="1">
    <w:name w:val="Normal"/>
    <w:qFormat/>
    <w:pPr>
      <w:spacing w:after="200" w:line="276" w:lineRule="auto"/>
    </w:pPr>
    <w:rPr>
      <w14:ligatures w14:val="none"/>
    </w:rPr>
  </w:style>
  <w:style w:type="character" w:styleId="668" w:default="1">
    <w:name w:val="Default Paragraph Font"/>
    <w:uiPriority w:val="1"/>
    <w:semiHidden/>
    <w:unhideWhenUsed/>
  </w:style>
  <w:style w:type="table" w:styleId="6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0" w:default="1">
    <w:name w:val="No List"/>
    <w:uiPriority w:val="99"/>
    <w:semiHidden/>
    <w:unhideWhenUsed/>
  </w:style>
  <w:style w:type="paragraph" w:styleId="671">
    <w:name w:val="List Paragraph"/>
    <w:basedOn w:val="667"/>
    <w:link w:val="672"/>
    <w:uiPriority w:val="34"/>
    <w:qFormat/>
    <w:pPr>
      <w:ind w:left="708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72" w:customStyle="1">
    <w:name w:val="Абзац списка Знак"/>
    <w:basedOn w:val="668"/>
    <w:link w:val="671"/>
    <w:uiPriority w:val="34"/>
    <w:qFormat/>
    <w:rPr>
      <w:rFonts w:ascii="Times New Roman" w:hAnsi="Times New Roman" w:eastAsia="Times New Roman" w:cs="Times New Roman"/>
      <w:sz w:val="20"/>
      <w:szCs w:val="20"/>
      <w:lang w:eastAsia="ru-RU"/>
      <w14:ligatures w14:val="none"/>
    </w:rPr>
  </w:style>
  <w:style w:type="character" w:styleId="673" w:customStyle="1">
    <w:name w:val="Основной текст + 7"/>
    <w:rPr>
      <w:rFonts w:hint="default" w:ascii="MS Reference Sans Serif" w:hAnsi="MS Reference Sans Serif" w:eastAsia="MS Reference Sans Serif" w:cs="MS Reference Sans Serif"/>
      <w:color w:val="000000"/>
      <w:spacing w:val="-10"/>
      <w:position w:val="0"/>
      <w:sz w:val="15"/>
      <w:szCs w:val="15"/>
      <w:shd w:val="clear" w:color="auto" w:fill="ffffff"/>
      <w:lang w:val="ru-RU"/>
    </w:rPr>
  </w:style>
  <w:style w:type="character" w:styleId="674">
    <w:name w:val="Hyperlink"/>
    <w:basedOn w:val="668"/>
    <w:uiPriority w:val="99"/>
    <w:unhideWhenUsed/>
    <w:rPr>
      <w:color w:val="0000ff"/>
      <w:u w:val="single"/>
    </w:rPr>
  </w:style>
  <w:style w:type="paragraph" w:styleId="675" w:customStyle="1">
    <w:name w:val="ConsNormal"/>
    <w:link w:val="676"/>
    <w:uiPriority w:val="99"/>
    <w:qFormat/>
    <w:pPr>
      <w:ind w:firstLine="720"/>
      <w:spacing w:after="0" w:line="240" w:lineRule="auto"/>
      <w:widowControl w:val="off"/>
    </w:pPr>
    <w:rPr>
      <w:rFonts w:ascii="Arial" w:hAnsi="Arial" w:eastAsia="Times New Roman" w:cs="Times New Roman"/>
      <w:sz w:val="20"/>
      <w:szCs w:val="20"/>
      <w:lang w:eastAsia="ru-RU"/>
      <w14:ligatures w14:val="none"/>
    </w:rPr>
  </w:style>
  <w:style w:type="character" w:styleId="676" w:customStyle="1">
    <w:name w:val="ConsNormal Знак"/>
    <w:link w:val="675"/>
    <w:uiPriority w:val="99"/>
    <w:rPr>
      <w:rFonts w:ascii="Arial" w:hAnsi="Arial" w:eastAsia="Times New Roman" w:cs="Times New Roman"/>
      <w:sz w:val="20"/>
      <w:szCs w:val="20"/>
      <w:lang w:eastAsia="ru-RU"/>
      <w14:ligatures w14:val="none"/>
    </w:rPr>
  </w:style>
  <w:style w:type="paragraph" w:styleId="677" w:customStyle="1">
    <w:name w:val="Знак Знак1 Знак Знак"/>
    <w:basedOn w:val="667"/>
    <w:pPr>
      <w:spacing w:before="100" w:beforeAutospacing="1" w:after="100" w:afterAutospacing="1" w:line="240" w:lineRule="auto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678">
    <w:name w:val="Header"/>
    <w:basedOn w:val="667"/>
    <w:link w:val="67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9" w:customStyle="1">
    <w:name w:val="Верхний колонтитул Знак"/>
    <w:basedOn w:val="668"/>
    <w:link w:val="678"/>
    <w:uiPriority w:val="99"/>
    <w:rPr>
      <w14:ligatures w14:val="none"/>
    </w:rPr>
  </w:style>
  <w:style w:type="paragraph" w:styleId="680">
    <w:name w:val="Footer"/>
    <w:basedOn w:val="667"/>
    <w:link w:val="68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1" w:customStyle="1">
    <w:name w:val="Нижний колонтитул Знак"/>
    <w:basedOn w:val="668"/>
    <w:link w:val="680"/>
    <w:uiPriority w:val="99"/>
    <w:rPr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E96C5-DFC9-4C83-A81F-FA5A5631A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</dc:creator>
  <cp:keywords/>
  <dc:description/>
  <cp:lastModifiedBy>u003</cp:lastModifiedBy>
  <cp:revision>85</cp:revision>
  <dcterms:created xsi:type="dcterms:W3CDTF">2024-07-25T07:53:00Z</dcterms:created>
  <dcterms:modified xsi:type="dcterms:W3CDTF">2026-08-11T08:52:19Z</dcterms:modified>
</cp:coreProperties>
</file>