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 xml:space="preserve">Проект контракта №__________</w:t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lang w:eastAsia="ru-RU" w:bidi="ar-SA"/>
        </w:rPr>
      </w:pPr>
      <w:r>
        <w:rPr>
          <w:rFonts w:ascii="Times New Roman" w:hAnsi="Times New Roman" w:eastAsia="Times New Roman" w:cs="Times New Roman"/>
          <w:lang w:eastAsia="ru-RU" w:bidi="ar-SA"/>
        </w:rPr>
        <w:t xml:space="preserve">ст. Федоровская         </w:t>
      </w:r>
      <w:r>
        <w:rPr>
          <w:rFonts w:ascii="Times New Roman" w:hAnsi="Times New Roman" w:eastAsia="Times New Roman" w:cs="Times New Roman"/>
          <w:lang w:eastAsia="ru-RU" w:bidi="ar-SA"/>
        </w:rPr>
        <w:tab/>
      </w:r>
      <w:r>
        <w:rPr>
          <w:rFonts w:ascii="Times New Roman" w:hAnsi="Times New Roman" w:eastAsia="Times New Roman" w:cs="Times New Roman"/>
          <w:lang w:eastAsia="ru-RU" w:bidi="ar-SA"/>
        </w:rPr>
        <w:tab/>
        <w:t xml:space="preserve">                              </w:t>
      </w:r>
      <w:r>
        <w:rPr>
          <w:rFonts w:ascii="Times New Roman" w:hAnsi="Times New Roman" w:eastAsia="Times New Roman" w:cs="Times New Roman"/>
          <w:lang w:eastAsia="ru-RU" w:bidi="ar-SA"/>
        </w:rPr>
        <w:t xml:space="preserve"> </w:t>
      </w:r>
      <w:r>
        <w:rPr>
          <w:rFonts w:ascii="Times New Roman" w:hAnsi="Times New Roman" w:eastAsia="Times New Roman" w:cs="Times New Roman"/>
          <w:lang w:eastAsia="ru-RU" w:bidi="ar-SA"/>
        </w:rPr>
        <w:t xml:space="preserve">«___»___________2026г.</w:t>
      </w:r>
      <w:r>
        <w:rPr>
          <w:rFonts w:ascii="Times New Roman" w:hAnsi="Times New Roman" w:eastAsia="Times New Roman" w:cs="Times New Roman"/>
          <w:lang w:eastAsia="ru-RU" w:bidi="ar-SA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lang w:eastAsia="ru-RU" w:bidi="ar-SA"/>
        </w:rPr>
      </w:pPr>
      <w:r>
        <w:rPr>
          <w:rFonts w:ascii="Times New Roman" w:hAnsi="Times New Roman" w:eastAsia="Times New Roman" w:cs="Times New Roman"/>
          <w:lang w:eastAsia="ru-RU" w:bidi="ar-SA"/>
        </w:rPr>
      </w:r>
      <w:r>
        <w:rPr>
          <w:rFonts w:ascii="Times New Roman" w:hAnsi="Times New Roman" w:eastAsia="Times New Roman" w:cs="Times New Roman"/>
          <w:lang w:eastAsia="ru-RU" w:bidi="ar-SA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lang w:eastAsia="ru-RU" w:bidi="ar-SA"/>
        </w:rPr>
      </w:pPr>
      <w:r>
        <w:rPr>
          <w:rFonts w:ascii="Times New Roman" w:hAnsi="Times New Roman" w:eastAsia="Times New Roman" w:cs="Times New Roman"/>
          <w:lang w:eastAsia="ru-RU" w:bidi="ar-SA"/>
        </w:rPr>
        <w:t xml:space="preserve">        Федеральное государственное бюджетное учреждение «Управление мелиорации земель и сельскохозяйственного водоснабжения по Краснодарскому краю», в лице Директора Фед</w:t>
      </w:r>
      <w:r>
        <w:rPr>
          <w:rFonts w:ascii="Times New Roman" w:hAnsi="Times New Roman" w:eastAsia="Times New Roman" w:cs="Times New Roman"/>
          <w:lang w:eastAsia="ru-RU" w:bidi="ar-SA"/>
        </w:rPr>
        <w:t xml:space="preserve">оровского филиала Федерального государственного бюджетного учреждения «Управление мелиорации земель и сельскохозяйственного водоснабжения по Краснодарскому краю» (Федоровский филиал ФГБУ «Управление «Кубаньмелиоводхоз») Гайдаша Ивана Владимировича, действу</w:t>
      </w:r>
      <w:r>
        <w:rPr>
          <w:rFonts w:ascii="Times New Roman" w:hAnsi="Times New Roman" w:eastAsia="Times New Roman" w:cs="Times New Roman"/>
          <w:lang w:eastAsia="ru-RU" w:bidi="ar-SA"/>
        </w:rPr>
        <w:t xml:space="preserve">ющего на основании Положения о филиале и доверенности №  13 от 29.01.2024г., именуемый в дальнейшем «Заказчик», с одной стороны, и ___________________________________________________________________________________________________________., именуемый в дал</w:t>
      </w:r>
      <w:r>
        <w:rPr>
          <w:rFonts w:ascii="Times New Roman" w:hAnsi="Times New Roman" w:eastAsia="Times New Roman" w:cs="Times New Roman"/>
          <w:lang w:eastAsia="ru-RU" w:bidi="ar-SA"/>
        </w:rPr>
        <w:t xml:space="preserve">ьнейшем «Исполнитель» с другой, и в соответствии с. п.4 ч.1 ст. 93 Федерального закона № 44 от 05.04.2013 года «О контрактной системе в сфере закупок товаров, работ, услуг для обеспечения государственных нужд», заключили настоящий Контракт о нижеследующем:</w:t>
      </w:r>
      <w:r>
        <w:rPr>
          <w:rFonts w:ascii="Times New Roman" w:hAnsi="Times New Roman" w:eastAsia="Times New Roman" w:cs="Times New Roman"/>
          <w:lang w:eastAsia="ru-RU" w:bidi="ar-SA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1. ПРЕДМЕТ КОНТРАКТА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1.1. Поставщик  обязуется  передать Товар и относящиеся к нему документы  в  собственность Заказчика,  а  Заказчик  обязуется осмотреть товар, принять и оплатить его на условиях, установленных настоящим контрактом.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1.2. Предметом настоящего контракта  является: </w:t>
      </w:r>
      <w:r>
        <w:rPr>
          <w:rFonts w:ascii="Times New Roman" w:hAnsi="Times New Roman" w:cs="Times New Roman"/>
          <w:b/>
          <w:bCs/>
          <w:color w:val="000000"/>
        </w:rPr>
        <w:t xml:space="preserve">«</w:t>
      </w:r>
      <w:r>
        <w:rPr>
          <w:rFonts w:ascii="Times New Roman" w:hAnsi="Times New Roman" w:cs="Times New Roman"/>
          <w:b/>
          <w:bCs/>
          <w:color w:val="000000"/>
        </w:rPr>
        <w:t xml:space="preserve">Поставка оргтехники для нужд Федоровского филиала ФГБУ "Управление "Кубаньмелиоводхоз" </w:t>
      </w: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color w:val="000000"/>
        </w:rPr>
        <w:t xml:space="preserve">далее – Товар) в соответствии с</w:t>
      </w:r>
      <w:r>
        <w:rPr>
          <w:rFonts w:ascii="Times New Roman" w:hAnsi="Times New Roman" w:cs="Times New Roman"/>
          <w:color w:val="000000"/>
        </w:rPr>
        <w:t xml:space="preserve">о</w:t>
      </w:r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спецификацией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highlight w:val="white"/>
        </w:rPr>
        <w:t xml:space="preserve">(Приложение №1 к контракту).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1.3. </w:t>
      </w:r>
      <w:r>
        <w:rPr>
          <w:rFonts w:ascii="Times New Roman" w:hAnsi="Times New Roman" w:cs="Times New Roman"/>
          <w:b/>
          <w:bCs/>
          <w:color w:val="000000"/>
        </w:rPr>
        <w:t xml:space="preserve">Срок поставки товара:</w:t>
      </w:r>
      <w:r>
        <w:rPr>
          <w:rFonts w:ascii="Times New Roman" w:hAnsi="Times New Roman" w:cs="Times New Roman"/>
          <w:color w:val="000000"/>
        </w:rPr>
        <w:t xml:space="preserve"> в течение </w:t>
      </w:r>
      <w:r>
        <w:rPr>
          <w:rFonts w:ascii="Times New Roman" w:hAnsi="Times New Roman" w:cs="Times New Roman"/>
          <w:color w:val="000000"/>
        </w:rPr>
        <w:t xml:space="preserve">10</w:t>
      </w:r>
      <w:r>
        <w:rPr>
          <w:rFonts w:ascii="Times New Roman" w:hAnsi="Times New Roman" w:cs="Times New Roman"/>
          <w:color w:val="000000"/>
        </w:rPr>
        <w:t xml:space="preserve"> рабочих дней с даты заключения контракта силами и средствами Поставщика путем его доставки и выгрузке на складе Заказчика.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color w:val="000000"/>
        </w:rPr>
        <w:t xml:space="preserve">1.4. </w:t>
      </w:r>
      <w:r>
        <w:rPr>
          <w:rFonts w:ascii="Times New Roman" w:hAnsi="Times New Roman" w:cs="Times New Roman"/>
          <w:b/>
          <w:bCs/>
          <w:color w:val="000000"/>
        </w:rPr>
        <w:t xml:space="preserve">Источник финансирования</w:t>
      </w:r>
      <w:r>
        <w:rPr>
          <w:rFonts w:ascii="Times New Roman" w:hAnsi="Times New Roman" w:cs="Times New Roman"/>
          <w:color w:val="000000"/>
        </w:rPr>
        <w:t xml:space="preserve">: средства субсидий федерального бюджета на финансовое обеспечение выполнения государственного задания.</w:t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2. СУММА КОНТРАКТА И ПОРЯДОК РАСЧЕТОВ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color w:val="000000"/>
        </w:rPr>
        <w:t xml:space="preserve">2.1. Сумма контракта составляет__________</w:t>
      </w:r>
      <w:r>
        <w:rPr>
          <w:rFonts w:ascii="Times New Roman" w:hAnsi="Times New Roman" w:cs="Times New Roman"/>
          <w:b/>
          <w:bCs/>
          <w:color w:val="000000"/>
        </w:rPr>
        <w:t xml:space="preserve">  руб </w:t>
      </w:r>
      <w:r>
        <w:rPr>
          <w:rFonts w:ascii="Times New Roman" w:hAnsi="Times New Roman" w:cs="Times New Roman"/>
          <w:color w:val="000000"/>
        </w:rPr>
        <w:t xml:space="preserve">(сумма прописью ), в т.ч. НДС_______ или НДС</w:t>
      </w:r>
      <w:r>
        <w:rPr>
          <w:rStyle w:val="845"/>
          <w:rFonts w:ascii="Times New Roman" w:hAnsi="Times New Roman" w:cs="Times New Roman"/>
        </w:rPr>
        <w:footnoteReference w:id="2"/>
      </w:r>
      <w:r>
        <w:rPr>
          <w:rStyle w:val="845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не предусмотрен.</w:t>
      </w:r>
      <w:r>
        <w:rPr>
          <w:rFonts w:ascii="Times New Roman" w:hAnsi="Times New Roman" w:cs="Times New Roman"/>
          <w:bCs/>
          <w:iCs/>
        </w:rPr>
      </w:r>
    </w:p>
    <w:p>
      <w:pPr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2.2. Цена Контракта включает в себя: стоимость Товара, расходы, связ</w:t>
      </w:r>
      <w:r>
        <w:rPr>
          <w:rFonts w:ascii="Times New Roman" w:hAnsi="Times New Roman" w:cs="Times New Roman"/>
          <w:bCs/>
          <w:iCs/>
        </w:rPr>
        <w:t xml:space="preserve">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r>
        <w:rPr>
          <w:rFonts w:ascii="Times New Roman" w:hAnsi="Times New Roman" w:cs="Times New Roman"/>
          <w:bCs/>
          <w:iCs/>
        </w:rPr>
      </w:r>
    </w:p>
    <w:p>
      <w:pPr>
        <w:jc w:val="both"/>
        <w:rPr>
          <w:rFonts w:ascii="Times New Roman" w:hAnsi="Times New Roman" w:cs="Times New Roman"/>
          <w:bCs/>
          <w:iCs/>
          <w:color w:val="000000"/>
        </w:rPr>
      </w:pPr>
      <w:r>
        <w:rPr>
          <w:rFonts w:ascii="Times New Roman" w:hAnsi="Times New Roman" w:cs="Times New Roman"/>
          <w:bCs/>
          <w:iCs/>
        </w:rPr>
        <w:t xml:space="preserve">2.3. Цена Контракта является твердой и опреде</w:t>
      </w:r>
      <w:r>
        <w:rPr>
          <w:rFonts w:ascii="Times New Roman" w:hAnsi="Times New Roman" w:cs="Times New Roman"/>
          <w:bCs/>
          <w:iCs/>
        </w:rPr>
        <w:t xml:space="preserve">ляется на весь срок исполнения Контракта,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Контрактом.</w:t>
      </w:r>
      <w:r>
        <w:rPr>
          <w:rFonts w:ascii="Times New Roman" w:hAnsi="Times New Roman" w:cs="Times New Roman"/>
          <w:bCs/>
          <w:iCs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iCs/>
          <w:color w:val="000000"/>
        </w:rPr>
        <w:t xml:space="preserve">2.4.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2.5. Оплата по контракту осуществляется по безналичному расчету платежным поручением путем перечисления Заказчиком денежных средств на расчетный счет Исполнителя, на основании оригинала счета. Обязанности Заказчика считаются выполненными с момента </w:t>
      </w:r>
      <w:r>
        <w:rPr>
          <w:rFonts w:ascii="Times New Roman" w:hAnsi="Times New Roman" w:cs="Times New Roman"/>
          <w:color w:val="000000"/>
        </w:rPr>
        <w:t xml:space="preserve">списания денежных средств с лицевого счета Заказчика. Расчеты по настоящему контракту производятся в рублях РФ.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bCs/>
          <w:i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2.6. Заказчик производит расчет с Поставщиком в размере, установленном пунктом 2.1 настоящего контракта на основании счета не позднее </w:t>
      </w:r>
      <w:r>
        <w:rPr>
          <w:rFonts w:ascii="Times New Roman" w:hAnsi="Times New Roman" w:cs="Times New Roman"/>
          <w:b/>
          <w:bCs/>
          <w:color w:val="000000"/>
        </w:rPr>
        <w:t xml:space="preserve">7 (семи)</w:t>
      </w:r>
      <w:r>
        <w:rPr>
          <w:rFonts w:ascii="Times New Roman" w:hAnsi="Times New Roman" w:cs="Times New Roman"/>
          <w:color w:val="000000"/>
        </w:rPr>
        <w:t xml:space="preserve"> рабочих  с момента надлежащим образом оформленных и подписанных обеими Сторонами  документов о приемке  при отсутствии у Заказчика претензий по объему и качеству к Товару.</w:t>
      </w:r>
      <w:r>
        <w:rPr>
          <w:rFonts w:ascii="Times New Roman" w:hAnsi="Times New Roman" w:cs="Times New Roman"/>
          <w:bCs/>
          <w:iCs/>
          <w:color w:val="000000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  <w:color w:val="000000"/>
        </w:rPr>
        <w:t xml:space="preserve">2.7. Заказчик считается исполнившим свои обязательства по оплате с момента списания денежных средств с лицевого счета Заказчика.</w:t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3. ПОРЯДОК ПЕРЕДАЧИ ТОВАРА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3.1. Поставка товара в соответствии с условиями настоящего контракта производится в течение 10 (десяти) рабочих дней с даты подписания контракта </w:t>
      </w:r>
      <w:r>
        <w:rPr>
          <w:rFonts w:ascii="Times New Roman" w:hAnsi="Times New Roman" w:cs="Times New Roman"/>
          <w:b/>
          <w:bCs/>
          <w:color w:val="000000"/>
        </w:rPr>
        <w:t xml:space="preserve">силами и за счет Поставщика по адресу: </w:t>
      </w:r>
      <w:r>
        <w:rPr>
          <w:rFonts w:ascii="Times New Roman" w:hAnsi="Times New Roman" w:cs="Times New Roman"/>
          <w:b/>
          <w:bCs/>
          <w:color w:val="000000"/>
        </w:rPr>
        <w:t xml:space="preserve">353316, Краснодарский край, Абинский район, х. Екатериновский,  ул. Набережная, 1.</w:t>
      </w:r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3.2. Поставляемый товар должен быть новым (товаром, который не был в употреблении, потребительские свойства которого не были восстановлены) и соответствовать требованиям качества и безопасности то</w:t>
      </w:r>
      <w:r>
        <w:rPr>
          <w:rFonts w:ascii="Times New Roman" w:hAnsi="Times New Roman" w:cs="Times New Roman"/>
          <w:color w:val="000000"/>
        </w:rPr>
        <w:t xml:space="preserve">варов в соответствии с действующими стандартами, утверждёнными в отношении данного вида товара, что должно подтверждаться соответствующими документами, оформленными в соответствии с законодательством Российской Федерации, которые предоставляются с товаром.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3.3. При приемке поставленного Товара Заказчик проверяет соответствие комплектности, качеству. Документы, подтверждающие качество Товара, передаются Заказчику непосредственно вместе с Товаром.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3.4. По завершении поставки Товара Поставщик не позднее 5 рабочих дней передает Заказчику  подписанную товарную (товарно-транспортную) накладную и (или) Акт приёма-передачи товара и (или) счет-фактуру (</w:t>
      </w:r>
      <w:r>
        <w:rPr>
          <w:rFonts w:ascii="Times New Roman" w:hAnsi="Times New Roman" w:cs="Times New Roman"/>
          <w:i/>
          <w:iCs/>
          <w:color w:val="000000"/>
        </w:rPr>
        <w:t xml:space="preserve">если Поставщик облагается НДС</w:t>
      </w:r>
      <w:r>
        <w:rPr>
          <w:rFonts w:ascii="Times New Roman" w:hAnsi="Times New Roman" w:cs="Times New Roman"/>
          <w:color w:val="000000"/>
        </w:rPr>
        <w:t xml:space="preserve">) и (или) универсальный передаточный документ (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нужное выбрать) </w:t>
      </w:r>
      <w:r>
        <w:rPr>
          <w:rFonts w:ascii="Times New Roman" w:hAnsi="Times New Roman" w:cs="Times New Roman"/>
          <w:color w:val="000000"/>
        </w:rPr>
        <w:t xml:space="preserve">и другие документы, которые считаются неотъемлемой частью контракта.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3.5. </w:t>
      </w:r>
      <w:r>
        <w:rPr>
          <w:rFonts w:ascii="Times New Roman" w:hAnsi="Times New Roman" w:eastAsia="Arial" w:cs="Times New Roman"/>
          <w:bCs/>
          <w:lang w:eastAsia="en-US"/>
        </w:rPr>
        <w:t xml:space="preserve">При отсутствии у Заказчика (либо уполномоченного лица) претензий по качеству поставленных товаров Заказчик (либо уполномоченное лицо) в течение 2 (двух) рабочих дней со дня получения документов о приемке подписывает их либо направляет мотивированный отказ.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моти</w:t>
      </w:r>
      <w:r>
        <w:rPr>
          <w:rFonts w:ascii="Times New Roman" w:hAnsi="Times New Roman" w:cs="Times New Roman"/>
          <w:color w:val="000000"/>
        </w:rPr>
        <w:t xml:space="preserve">вированном отказе Заказчиком от приемки Товара указывается перечень замечаний и претензий к поставленному Товару и сроки их устранения. Замечания и претензии устраняются Поставщиком за свой счет, если они не выходят за пределы условий настоящего контракта.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3.6.  По согласованию Заказчика с Поставщиком допускается поставка товара, качество, характеристики (потребительские свойства) которого являются улучшенными по сравнению с таким качеством и характеристиками товара, указанными в настоящем контракте.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4.ОБЯЗАТЕЛЬСТВА СТОРОН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4.1. Поставщик обязан: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4.1.1. Передать Заказчику товар, предусмотренный настоящим контрактом, надлежащего качества, в количестве и ассортименте, согласованном Сторонами.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4.1.2. Одновременно с передачей товара передать Заказчику его принадлежности, а также относящиеся к нему документы.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4.2. Заказчик обязан: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4.2.1. Принять переданный ему товар, за исключением случаев, когда он вправе потребовать замены товара или отказаться от исполнения контракта купли-продажи.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4.2.2. Оплатить Товар по цене и в срок, предусмотренные настоящим контрактом.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4.2.3. Известить Поставщика о нарушении условий контракта о количестве, ассортименте, качестве, таре и (или) об упаковке товара.</w:t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5. ГАРАНТИЙНЫЙ СРОК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5.1. Срок действия гарантии производителя определяется технической документацией.  Поставщик гарантирует качество и безопасность Товара в соответствии с действующими стандартами, утвержденными на данный вид Товара и наличием сертификатов, обязатель</w:t>
      </w:r>
      <w:r>
        <w:rPr>
          <w:rFonts w:ascii="Times New Roman" w:hAnsi="Times New Roman" w:cs="Times New Roman"/>
          <w:color w:val="000000"/>
        </w:rPr>
        <w:t xml:space="preserve">ных для данного вида Товара, оформленных в соответствии с законодательством Российской Федерации. Качество Товара, поставляемого Заказчику в соответствии с контрактом, должно соответствовать требованиям ГОСТов, технических условий и нормативных документов.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5.2. Поставщик гарантирует возможность безопасного использования товара по назначению в течение всего срока годности товара.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5.3. В случае выявления в течение всего срока годности товара существенного нарушения требований к качеству, Поставщик обязан заменить товар ненадлежащего качества товаром надлежащего качества в течение 10 (десяти) дней.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5.4. Все расходы, связанные с возвратом товара ненадлежащего качества, осуществляются за счёт Поставщика.</w:t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6. ОТВЕТСТВЕННОСТЬ СТОРОН</w:t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  <w:color w:val="000000"/>
        </w:rPr>
        <w:outlineLvl w:val="0"/>
      </w:pPr>
      <w:r>
        <w:rPr>
          <w:rFonts w:ascii="Times New Roman" w:hAnsi="Times New Roman" w:cs="Times New Roman"/>
          <w:color w:val="000000"/>
          <w:lang w:eastAsia="ru-RU"/>
        </w:rPr>
        <w:t xml:space="preserve">6.1.</w:t>
      </w:r>
      <w:r>
        <w:rPr>
          <w:rFonts w:ascii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lang w:eastAsia="ru-RU"/>
        </w:rPr>
        <w:t xml:space="preserve">За неисполнени</w:t>
      </w:r>
      <w:r>
        <w:rPr>
          <w:rFonts w:ascii="Times New Roman" w:hAnsi="Times New Roman" w:cs="Times New Roman"/>
          <w:color w:val="000000"/>
          <w:lang w:eastAsia="ru-RU"/>
        </w:rPr>
        <w:t xml:space="preserve">е или ненадлежащее исполнение обязательств по настоящему Контракту Стороны несут ответственность в соответствии с условиями настоящего Контракта, а в части, им не урегулированной, в порядке, установленном действующим законодательством Российской Федерации.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6.2. В случае просрочки исполнения Заказчиком обязательств, предусмотренных Контрактом, а также в иных случаях неиспо</w:t>
      </w:r>
      <w:r>
        <w:rPr>
          <w:rFonts w:ascii="Times New Roman" w:hAnsi="Times New Roman" w:cs="Times New Roman"/>
          <w:color w:val="000000"/>
        </w:rPr>
        <w:t xml:space="preserve">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Контрактом, начиная</w:t>
      </w:r>
      <w:r>
        <w:rPr>
          <w:rFonts w:ascii="Times New Roman" w:hAnsi="Times New Roman" w:cs="Times New Roman"/>
          <w:color w:val="000000"/>
        </w:rPr>
        <w:t xml:space="preserve"> со дня, следующего после дня истечения установленного Контрактом срока исполнения обязательства.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</w:t>
      </w:r>
      <w:r>
        <w:rPr>
          <w:rFonts w:ascii="Times New Roman" w:hAnsi="Times New Roman" w:cs="Times New Roman"/>
          <w:color w:val="000000"/>
        </w:rPr>
        <w:t xml:space="preserve">ации от не уплаченной в срок суммы.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9" w:tooltip="consultantplus://offline/ref=0BF27D08722344FF2B1CD748AF9EC02323B9600BAB2C398E46106B2AF66662A9F49BC72EF0AE5649A39F0391B2C160AA5FB447FA722BE726r8v5J" w:history="1">
        <w:r>
          <w:rPr>
            <w:rFonts w:ascii="Times New Roman" w:hAnsi="Times New Roman" w:cs="Times New Roman"/>
            <w:color w:val="000000"/>
          </w:rPr>
          <w:t xml:space="preserve">порядке</w:t>
        </w:r>
      </w:hyperlink>
      <w:r>
        <w:rPr>
          <w:rFonts w:ascii="Times New Roman" w:hAnsi="Times New Roman" w:cs="Times New Roman"/>
          <w:color w:val="000000"/>
        </w:rPr>
        <w:t xml:space="preserve">, установленном постановлением Правительства Российской Федерации 30.08.2017 N 1042.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</w:t>
      </w:r>
      <w:r>
        <w:rPr>
          <w:rFonts w:ascii="Times New Roman" w:hAnsi="Times New Roman" w:cs="Times New Roman"/>
          <w:i/>
          <w:iCs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6.4. В случае просрочки исполнения Поставщиком обязательств, предусмотренных Контрактом, а также в иных случаях неисполнения или ненадлежащ</w:t>
      </w:r>
      <w:r>
        <w:rPr>
          <w:rFonts w:ascii="Times New Roman" w:hAnsi="Times New Roman" w:cs="Times New Roman"/>
          <w:color w:val="000000"/>
        </w:rPr>
        <w:t xml:space="preserve">его исполнения Поставщиком обязательств, предусмотренных Контрактом,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Контрактом,</w:t>
      </w:r>
      <w:r>
        <w:rPr>
          <w:rFonts w:ascii="Times New Roman" w:hAnsi="Times New Roman" w:cs="Times New Roman"/>
          <w:color w:val="000000"/>
        </w:rPr>
        <w:t xml:space="preserve">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</w:t>
      </w:r>
      <w:r>
        <w:rPr>
          <w:rFonts w:ascii="Times New Roman" w:hAnsi="Times New Roman" w:cs="Times New Roman"/>
          <w:color w:val="000000"/>
          <w:lang w:eastAsia="ru-RU"/>
        </w:rPr>
        <w:t xml:space="preserve">(отдельного этапа исполнения Контракта),</w:t>
      </w:r>
      <w:r>
        <w:rPr>
          <w:rFonts w:ascii="Times New Roman" w:hAnsi="Times New Roman" w:cs="Times New Roman"/>
          <w:color w:val="000000"/>
        </w:rPr>
        <w:t xml:space="preserve"> уменьшенной на сумму, пропорциона</w:t>
      </w:r>
      <w:r>
        <w:rPr>
          <w:rFonts w:ascii="Times New Roman" w:hAnsi="Times New Roman" w:cs="Times New Roman"/>
          <w:color w:val="000000"/>
        </w:rPr>
        <w:t xml:space="preserve">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6.5. Штрафы начисляются за неисполнение и</w:t>
      </w:r>
      <w:r>
        <w:rPr>
          <w:rFonts w:ascii="Times New Roman" w:hAnsi="Times New Roman" w:cs="Times New Roman"/>
          <w:color w:val="000000"/>
        </w:rPr>
        <w:t xml:space="preserve">ли ненадлежащее исполнение Поставщиком обязательств, предусмотренных Поставщиком,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Контрактом в </w:t>
      </w:r>
      <w:hyperlink r:id="rId10" w:tooltip="consultantplus://offline/ref=728EF677774E84B639076035FA074EE84AE2375990BD93192442198873513672060670795BE7CE480EB8F0A1917508E12F457947BA598402c0D6K" w:history="1">
        <w:r>
          <w:rPr>
            <w:rFonts w:ascii="Times New Roman" w:hAnsi="Times New Roman" w:cs="Times New Roman"/>
            <w:color w:val="000000"/>
          </w:rPr>
          <w:t xml:space="preserve">порядке</w:t>
        </w:r>
      </w:hyperlink>
      <w:r>
        <w:rPr>
          <w:rFonts w:ascii="Times New Roman" w:hAnsi="Times New Roman" w:cs="Times New Roman"/>
          <w:color w:val="000000"/>
        </w:rPr>
        <w:t xml:space="preserve">, установл</w:t>
      </w:r>
      <w:r>
        <w:rPr>
          <w:rFonts w:ascii="Times New Roman" w:hAnsi="Times New Roman" w:cs="Times New Roman"/>
          <w:color w:val="000000"/>
        </w:rPr>
        <w:t xml:space="preserve">енном постановлением Правительства Российской Федерации 30.08.2017 N 1042, за исключением случаев, если законодательством Российской Федерации установлен иной порядок начисления штрафов. За каждый факт неисполнения или ненадлежащего исполнения Поставщиком </w:t>
      </w:r>
      <w:r>
        <w:rPr>
          <w:rFonts w:ascii="Times New Roman" w:hAnsi="Times New Roman" w:cs="Times New Roman"/>
          <w:color w:val="000000"/>
        </w:rPr>
        <w:t xml:space="preserve"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 процентов цены контракта (этапа).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6.6. </w:t>
      </w:r>
      <w:r>
        <w:rPr>
          <w:rFonts w:ascii="Times New Roman" w:hAnsi="Times New Roman" w:cs="Times New Roman"/>
          <w:color w:val="000000"/>
        </w:rPr>
        <w:t xml:space="preserve"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рублей.</w:t>
      </w:r>
      <w:r>
        <w:rPr>
          <w:rFonts w:ascii="Times New Roman" w:hAnsi="Times New Roman" w:cs="Times New Roman"/>
          <w:i/>
          <w:iCs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6.7.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tabs>
          <w:tab w:val="left" w:pos="142" w:leader="none"/>
        </w:tabs>
        <w:rPr>
          <w:rFonts w:ascii="Times New Roman" w:hAnsi="Times New Roman" w:cs="Times New Roman"/>
          <w:color w:val="000000"/>
          <w:spacing w:val="-2"/>
        </w:rPr>
      </w:pPr>
      <w:r>
        <w:rPr>
          <w:rFonts w:ascii="Times New Roman" w:hAnsi="Times New Roman" w:cs="Times New Roman"/>
          <w:color w:val="000000"/>
        </w:rPr>
        <w:t xml:space="preserve">Сумма неустойки перечисляется на лицевой счет Заказчика по следующим реквизитам:</w:t>
      </w:r>
      <w:r>
        <w:rPr>
          <w:rFonts w:ascii="Times New Roman" w:hAnsi="Times New Roman" w:cs="Times New Roman"/>
          <w:color w:val="000000"/>
          <w:spacing w:val="-2"/>
        </w:rPr>
      </w:r>
    </w:p>
    <w:p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ОКПО 01032410,</w:t>
      </w:r>
      <w:r>
        <w:rPr>
          <w:rFonts w:ascii="Times New Roman" w:hAnsi="Times New Roman" w:cs="Times New Roman"/>
          <w:color w:val="000000"/>
        </w:rPr>
      </w:r>
    </w:p>
    <w:p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ОКАТО 03401000000     </w:t>
      </w:r>
      <w:r>
        <w:rPr>
          <w:rFonts w:ascii="Times New Roman" w:hAnsi="Times New Roman" w:cs="Times New Roman"/>
          <w:color w:val="000000"/>
        </w:rPr>
      </w:r>
    </w:p>
    <w:p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ИНН 2312042708,  КПП 231201001 </w:t>
      </w:r>
      <w:r>
        <w:rPr>
          <w:rFonts w:ascii="Times New Roman" w:hAnsi="Times New Roman" w:cs="Times New Roman"/>
          <w:color w:val="000000"/>
        </w:rPr>
      </w:r>
    </w:p>
    <w:p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Банк получателя: ОКЦ № 1 ВВГУ Банка России//УФК по Нижегородской области, г Нижний Новгород, </w:t>
      </w:r>
      <w:r>
        <w:rPr>
          <w:rFonts w:ascii="Times New Roman" w:hAnsi="Times New Roman" w:cs="Times New Roman"/>
          <w:color w:val="000000"/>
        </w:rPr>
      </w:r>
    </w:p>
    <w:p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БИК банка 012202102, </w:t>
      </w:r>
      <w:r>
        <w:rPr>
          <w:rFonts w:ascii="Times New Roman" w:hAnsi="Times New Roman" w:cs="Times New Roman"/>
          <w:color w:val="000000"/>
        </w:rPr>
      </w:r>
    </w:p>
    <w:p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номер казначейского счета (банковский счет) 03214643000000013241, </w:t>
      </w:r>
      <w:r>
        <w:rPr>
          <w:rFonts w:ascii="Times New Roman" w:hAnsi="Times New Roman" w:cs="Times New Roman"/>
          <w:color w:val="000000"/>
        </w:rPr>
      </w:r>
    </w:p>
    <w:p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единый казначейский счет (корсчет) 40102810745370000024, </w:t>
      </w:r>
      <w:r>
        <w:rPr>
          <w:rFonts w:ascii="Times New Roman" w:hAnsi="Times New Roman" w:cs="Times New Roman"/>
          <w:color w:val="000000"/>
        </w:rPr>
      </w:r>
    </w:p>
    <w:p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лицевой счет получателя УФК по Краснодарскому краю (ФГБУ «Управление «Кубаньмелиоводхоз» л/сч 20186X24140) (буква Х на латинском)».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6.8.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6.10. В случае неисп</w:t>
      </w:r>
      <w:r>
        <w:rPr>
          <w:rFonts w:ascii="Times New Roman" w:hAnsi="Times New Roman" w:cs="Times New Roman"/>
          <w:color w:val="000000"/>
        </w:rPr>
        <w:t xml:space="preserve">олнения, ненадлежащего исполнения, просрочки исполнения обязательств, предусмотренных Контрактом, Заказчик производит оплату по Контракту Поставщику за вычетом соответствующего размера неустойки (штрафа, пени), предусмотренных настоящим разделом Контракта.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6.11. При возникновении споров по настоящему Контракту обязательным является предъявление претензии, срок рассмотрения которой устанавливается в 10  (десять) рабочих дней с даты ее вручения другой Стороне.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6.12. Претензия и отзыв на нее вручаются либо под расписку, либо почтовым отправлением с уведомлением о вручении. 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6.13. В случае невозможности урегулирования споров и разногласий в претензионном порядке, Стороны вправе передать их на рассмотрение по месту нахождения Лицензиата.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keepNext/>
        <w:widowControl w:val="off"/>
        <w:tabs>
          <w:tab w:val="left" w:pos="130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7. ПОРЯДОК РАЗРЕШЕНИЯ СПОРОВ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7.1. Споры и разногласия, которые могут возникнуть при исполнении настоящего контракта, будут по возможности разрешаться путем переговоров между сторонами.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7.2. В случае невозможности разрешения споров путем переговоров они подлежат разрешению в суде в порядке, установленном действующим законодательством РФ.</w:t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8. ЗАКЛЮЧИТЕЛЬНЫЕ ПОЛОЖЕНИЯ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8.1. Во всем остальном, не предусмотренном настоящим контрактом, стороны руководствуются действующим законодательством РФ.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8.2. Настоящий контракт вступает в силу с момента его подписания уполномоченными представителями сторон и действует до полного исполнения сторонами всех принятых на себя обязательств в соответствии с условиями контракта.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8.3. контракт составлен на русском языке в двух экземплярах, имеющих одинаковую юридическую силу, по одному для каждой из сторон.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8.4. Неотъемлемой частью настоящего контракта является:</w:t>
      </w:r>
      <w:r>
        <w:rPr>
          <w:rFonts w:ascii="Times New Roman" w:hAnsi="Times New Roman" w:cs="Times New Roman"/>
          <w:color w:val="000000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Приложение №1 — </w:t>
      </w:r>
      <w:r>
        <w:rPr>
          <w:rFonts w:ascii="Times New Roman" w:hAnsi="Times New Roman" w:cs="Times New Roman"/>
          <w:color w:val="000000"/>
        </w:rPr>
        <w:t xml:space="preserve">Спецификация</w:t>
      </w:r>
      <w:r>
        <w:rPr>
          <w:rFonts w:ascii="Times New Roman" w:hAnsi="Times New Roman" w:cs="Times New Roman"/>
          <w:color w:val="000000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9. АДРЕСА И БАНКОВСКИЕ РЕКВИЗИТЫ СТОРОН</w:t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</w:r>
      <w:r>
        <w:rPr>
          <w:rFonts w:ascii="Times New Roman" w:hAnsi="Times New Roman" w:cs="Times New Roman"/>
          <w:b/>
          <w:bCs/>
          <w:color w:val="000000"/>
        </w:rPr>
      </w:r>
    </w:p>
    <w:tbl>
      <w:tblPr>
        <w:tblW w:w="0" w:type="auto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4953"/>
        <w:gridCol w:w="4397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3" w:type="dxa"/>
            <w:textDirection w:val="lrTb"/>
            <w:noWrap w:val="false"/>
          </w:tcPr>
          <w:p>
            <w:pPr>
              <w:pStyle w:val="8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Заказчик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397" w:type="dxa"/>
            <w:textDirection w:val="lrTb"/>
            <w:noWrap w:val="false"/>
          </w:tcPr>
          <w:p>
            <w:pPr>
              <w:pStyle w:val="8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Поставщик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3" w:type="dxa"/>
            <w:textDirection w:val="lrTb"/>
            <w:noWrap w:val="false"/>
          </w:tcPr>
          <w:p>
            <w:pPr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lang w:eastAsia="en-US"/>
              </w:rPr>
              <w:t xml:space="preserve">ФГБУ «Управление «Кубаньмелиоводхоз»</w:t>
            </w:r>
            <w:r>
              <w:rPr>
                <w:rFonts w:ascii="Times New Roman" w:hAnsi="Times New Roman" w:eastAsia="Calibri" w:cs="Times New Roman"/>
                <w:b/>
                <w:bCs/>
                <w:lang w:eastAsia="en-US"/>
              </w:rPr>
            </w:r>
          </w:p>
          <w:p>
            <w:pPr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Федоровский филиал ФГБУ «Управление «Кубаньмелиоводхоз»</w:t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  <w:p>
            <w:pPr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Юр.адрес: 350058, г. Краснодар, ул. Селезнева, 242</w:t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  <w:p>
            <w:pPr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Почт/фактический адрес филиала: 353316, Краснодарский край, Абинский район, хут. Екатериновский,  ул. Набережная, 1.  </w:t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  <w:p>
            <w:pPr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ИНН 2312042708</w:t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  <w:p>
            <w:pPr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КПП 231201001</w:t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  <w:p>
            <w:pPr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Банк получателя:  ОКЦ № 1 ВВГУ Банка России//УФК по Нижегородской области, г Нижний Новгород.</w:t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  <w:p>
            <w:pPr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lang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л/сч 20186X24140 (буква Х на латинском)</w:t>
            </w:r>
            <w:r>
              <w:rPr>
                <w:rFonts w:ascii="Times New Roman" w:hAnsi="Times New Roman" w:eastAsia="Calibri" w:cs="Times New Roman"/>
                <w:lang w:eastAsia="en-US"/>
              </w:rPr>
            </w:r>
          </w:p>
          <w:p>
            <w:pPr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БИК</w:t>
            </w:r>
            <w:r>
              <w:rPr>
                <w:rFonts w:ascii="Times New Roman" w:hAnsi="Times New Roman" w:eastAsia="Calibri" w:cs="Times New Roman"/>
                <w:lang w:val="en-US" w:eastAsia="en-US"/>
              </w:rPr>
              <w:t xml:space="preserve"> 012202102</w:t>
            </w:r>
            <w:r>
              <w:rPr>
                <w:rFonts w:ascii="Times New Roman" w:hAnsi="Times New Roman" w:eastAsia="Calibri" w:cs="Times New Roman"/>
                <w:lang w:val="en-US" w:eastAsia="en-US"/>
              </w:rPr>
            </w:r>
          </w:p>
          <w:p>
            <w:pPr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НКС</w:t>
            </w:r>
            <w:r>
              <w:rPr>
                <w:rFonts w:ascii="Times New Roman" w:hAnsi="Times New Roman" w:eastAsia="Calibri" w:cs="Times New Roman"/>
                <w:lang w:val="en-US" w:eastAsia="en-US"/>
              </w:rPr>
              <w:t xml:space="preserve"> 03214643000000013241  </w:t>
            </w:r>
            <w:r>
              <w:rPr>
                <w:rFonts w:ascii="Times New Roman" w:hAnsi="Times New Roman" w:eastAsia="Calibri" w:cs="Times New Roman"/>
                <w:lang w:val="en-US" w:eastAsia="en-US"/>
              </w:rPr>
            </w:r>
          </w:p>
          <w:p>
            <w:pPr>
              <w:tabs>
                <w:tab w:val="left" w:pos="709" w:leader="none"/>
              </w:tabs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lang w:eastAsia="en-US"/>
              </w:rPr>
              <w:t xml:space="preserve">ЕКС</w:t>
            </w:r>
            <w:r>
              <w:rPr>
                <w:rFonts w:ascii="Times New Roman" w:hAnsi="Times New Roman" w:eastAsia="Calibri" w:cs="Times New Roman"/>
                <w:lang w:val="en-US" w:eastAsia="en-US"/>
              </w:rPr>
              <w:t xml:space="preserve"> 40102810745370000024</w:t>
            </w:r>
            <w:r>
              <w:rPr>
                <w:rFonts w:ascii="Times New Roman" w:hAnsi="Times New Roman" w:eastAsia="Calibri" w:cs="Times New Roman"/>
                <w:lang w:val="en-US" w:eastAsia="en-US"/>
              </w:rPr>
            </w:r>
          </w:p>
          <w:p>
            <w:pPr>
              <w:ind w:right="-7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E-mail: fgu@kmvh.ru</w:t>
            </w:r>
            <w:r>
              <w:rPr>
                <w:rFonts w:ascii="Times New Roman" w:hAnsi="Times New Roman" w:cs="Times New Roman"/>
                <w:bCs/>
                <w:lang w:val="en-US"/>
              </w:rPr>
            </w:r>
          </w:p>
          <w:p>
            <w:pPr>
              <w:ind w:right="-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Телефон:8(86150)66-626</w:t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ind w:right="-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ind w:right="-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Федоровского филиала ФГБУ «Управление «Кубаньмелиоводхоз»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________________/Гайдаш И.В./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397" w:type="dxa"/>
            <w:textDirection w:val="lrTb"/>
            <w:noWrap w:val="false"/>
          </w:tcPr>
          <w:p>
            <w:pPr>
              <w:pStyle w:val="88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Наименование организации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8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Место нахождения: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8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Почтовый адрес: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8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ИНН: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8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КПП: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8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ОКПО: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8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ОКТМО: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8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Банк: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8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Р/с: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8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К/с: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8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БИК 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8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Тел.: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8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Эл. почта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8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8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8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8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8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8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8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8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8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Должность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8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83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pStyle w:val="883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             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pStyle w:val="88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______________  /______________/ 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    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right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</w:r>
    </w:p>
    <w:p>
      <w:pPr>
        <w:jc w:val="right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</w:r>
    </w:p>
    <w:p>
      <w:pPr>
        <w:jc w:val="right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</w:r>
    </w:p>
    <w:p>
      <w:pPr>
        <w:jc w:val="right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</w:r>
    </w:p>
    <w:p>
      <w:pPr>
        <w:jc w:val="right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</w:r>
    </w:p>
    <w:p>
      <w:pPr>
        <w:jc w:val="right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</w:r>
    </w:p>
    <w:p>
      <w:pPr>
        <w:jc w:val="right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</w:r>
    </w:p>
    <w:p>
      <w:pPr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</w:r>
    </w:p>
    <w:p>
      <w:pPr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</w:r>
    </w:p>
    <w:p>
      <w:pPr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</w:r>
    </w:p>
    <w:p>
      <w:pPr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</w:r>
    </w:p>
    <w:p>
      <w:pPr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</w:r>
    </w:p>
    <w:p>
      <w:pPr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</w:r>
    </w:p>
    <w:p>
      <w:pPr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</w:r>
    </w:p>
    <w:p>
      <w:pPr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</w:r>
    </w:p>
    <w:p>
      <w:pPr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</w:r>
    </w:p>
    <w:p>
      <w:pPr>
        <w:jc w:val="right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</w:r>
    </w:p>
    <w:p>
      <w:pPr>
        <w:jc w:val="right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</w:r>
    </w:p>
    <w:p>
      <w:pPr>
        <w:jc w:val="right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</w:r>
    </w:p>
    <w:p>
      <w:pPr>
        <w:jc w:val="righ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Приложение №1 </w:t>
      </w:r>
      <w:r>
        <w:rPr>
          <w:rFonts w:ascii="Times New Roman" w:hAnsi="Times New Roman" w:eastAsia="Times New Roman" w:cs="Times New Roman"/>
        </w:rPr>
      </w:r>
    </w:p>
    <w:p>
      <w:pPr>
        <w:jc w:val="righ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 контракту №________</w:t>
      </w:r>
      <w:r>
        <w:rPr>
          <w:rFonts w:ascii="Times New Roman" w:hAnsi="Times New Roman" w:eastAsia="Times New Roman" w:cs="Times New Roman"/>
        </w:rPr>
      </w:r>
    </w:p>
    <w:p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</w:rPr>
        <w:t xml:space="preserve"> от « ____  » ___________ 2026 г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pStyle w:val="879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79"/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Спецификация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Наименование закупки:</w:t>
      </w:r>
      <w:r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 xml:space="preserve">Поставка оргтехники для нужд Федоровского филиала </w:t>
      </w:r>
      <w:r>
        <w:rPr>
          <w:rFonts w:ascii="Times New Roman" w:hAnsi="Times New Roman" w:cs="Times New Roman"/>
        </w:rPr>
        <w:t xml:space="preserve">ФГБУ «Управление «Кубаньмелиоводхоз»».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Срок поставки:</w:t>
      </w:r>
      <w:r>
        <w:rPr>
          <w:rFonts w:ascii="Times New Roman" w:hAnsi="Times New Roman" w:cs="Times New Roman"/>
        </w:rPr>
        <w:t xml:space="preserve"> поставка товара осуществляется в течение </w:t>
      </w:r>
      <w:r>
        <w:rPr>
          <w:rFonts w:ascii="Times New Roman" w:hAnsi="Times New Roman" w:cs="Times New Roman"/>
        </w:rPr>
        <w:t xml:space="preserve">10</w:t>
      </w:r>
      <w:r>
        <w:rPr>
          <w:rFonts w:ascii="Times New Roman" w:hAnsi="Times New Roman" w:cs="Times New Roman"/>
        </w:rPr>
        <w:t xml:space="preserve">-ти рабочих дней с момента заключения контракта.</w:t>
      </w:r>
      <w:r>
        <w:rPr>
          <w:rFonts w:ascii="Times New Roman" w:hAnsi="Times New Roman" w:cs="Times New Roman"/>
        </w:rPr>
      </w:r>
    </w:p>
    <w:p>
      <w:pPr>
        <w:pStyle w:val="894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Место поставки: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353316, Краснодарский край, Абинский район, х. Екатериновский,  ул. Набережная, 1.  </w:t>
      </w:r>
      <w:r>
        <w:rPr>
          <w:rFonts w:ascii="Times New Roman" w:hAnsi="Times New Roman" w:cs="Times New Roman"/>
          <w:color w:val="00000a"/>
          <w:sz w:val="24"/>
          <w:szCs w:val="24"/>
          <w:lang w:eastAsia="en-US"/>
        </w:rPr>
      </w:r>
    </w:p>
    <w:p>
      <w:pPr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товаров:</w:t>
      </w:r>
      <w:r>
        <w:rPr>
          <w:rFonts w:ascii="Times New Roman" w:hAnsi="Times New Roman" w:cs="Times New Roman"/>
        </w:rPr>
      </w:r>
    </w:p>
    <w:tbl>
      <w:tblPr>
        <w:tblW w:w="10065" w:type="dxa"/>
        <w:tblInd w:w="-1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42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645"/>
        <w:gridCol w:w="2267"/>
        <w:gridCol w:w="1559"/>
        <w:gridCol w:w="8"/>
        <w:gridCol w:w="1757"/>
        <w:gridCol w:w="1701"/>
        <w:gridCol w:w="2128"/>
      </w:tblGrid>
      <w:tr>
        <w:tblPrEx/>
        <w:trPr>
          <w:trHeight w:val="343"/>
        </w:trPr>
        <w:tc>
          <w:tcPr>
            <w:shd w:val="clear" w:color="ffffff" w:fill="ffffff"/>
            <w:tcW w:w="64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hint="eastAsia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п/п</w:t>
            </w:r>
            <w:r>
              <w:rPr>
                <w:rFonts w:hint="eastAsia"/>
                <w:sz w:val="22"/>
                <w:szCs w:val="22"/>
              </w:rPr>
            </w:r>
          </w:p>
        </w:tc>
        <w:tc>
          <w:tcPr>
            <w:shd w:val="clear" w:color="ffffff" w:fill="ffffff"/>
            <w:tcW w:w="226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hint="eastAsia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Наименование</w:t>
            </w:r>
            <w:r>
              <w:rPr>
                <w:rFonts w:hint="eastAsia"/>
                <w:sz w:val="22"/>
                <w:szCs w:val="22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hint="eastAsia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Ед.измерения</w:t>
            </w:r>
            <w:r>
              <w:rPr>
                <w:rFonts w:hint="eastAsia"/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176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hint="eastAsia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Кол-во</w:t>
            </w:r>
            <w:r>
              <w:rPr>
                <w:rFonts w:hint="eastAsia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Цена за 1цу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Сумма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21"/>
        </w:trPr>
        <w:tc>
          <w:tcPr>
            <w:shd w:val="clear" w:color="ffffff" w:fill="ffffff"/>
            <w:tcW w:w="6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2268" w:type="dxa"/>
            <w:textDirection w:val="lrTb"/>
            <w:noWrap w:val="false"/>
          </w:tcPr>
          <w:p>
            <w:pPr>
              <w:pStyle w:val="879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Системный блок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ffffff" w:fill="ffffff"/>
            <w:tcW w:w="1567" w:type="dxa"/>
            <w:textDirection w:val="lrTb"/>
            <w:noWrap w:val="false"/>
          </w:tcPr>
          <w:p>
            <w:pPr>
              <w:pStyle w:val="879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1757" w:type="dxa"/>
            <w:textDirection w:val="lrTb"/>
            <w:noWrap w:val="false"/>
          </w:tcPr>
          <w:p>
            <w:pPr>
              <w:pStyle w:val="879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blPrEx/>
        <w:trPr>
          <w:trHeight w:val="343"/>
        </w:trPr>
        <w:tc>
          <w:tcPr>
            <w:shd w:val="clear" w:color="ffffff" w:fill="ffffff"/>
            <w:tcW w:w="6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2268" w:type="dxa"/>
            <w:textDirection w:val="lrTb"/>
            <w:noWrap w:val="false"/>
          </w:tcPr>
          <w:p>
            <w:pPr>
              <w:pStyle w:val="879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Монитор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ffffff" w:fill="ffffff"/>
            <w:tcW w:w="1567" w:type="dxa"/>
            <w:textDirection w:val="lrTb"/>
            <w:noWrap w:val="false"/>
          </w:tcPr>
          <w:p>
            <w:pPr>
              <w:pStyle w:val="879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1757" w:type="dxa"/>
            <w:textDirection w:val="lrTb"/>
            <w:noWrap w:val="false"/>
          </w:tcPr>
          <w:p>
            <w:pPr>
              <w:pStyle w:val="879"/>
              <w:jc w:val="center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blPrEx/>
        <w:trPr>
          <w:trHeight w:val="40"/>
        </w:trPr>
        <w:tc>
          <w:tcPr>
            <w:gridSpan w:val="6"/>
            <w:shd w:val="clear" w:color="ffffff" w:fill="ffffff"/>
            <w:tcW w:w="7937" w:type="dxa"/>
            <w:textDirection w:val="lrTb"/>
            <w:noWrap w:val="false"/>
          </w:tcPr>
          <w:p>
            <w:pPr>
              <w:jc w:val="right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Итого:</w:t>
            </w:r>
            <w:r>
              <w:rPr>
                <w:rFonts w:hint="eastAsia"/>
                <w:b/>
                <w:bCs/>
              </w:rPr>
            </w:r>
          </w:p>
        </w:tc>
        <w:tc>
          <w:tcPr>
            <w:shd w:val="clear" w:color="ffffff" w:fill="ffffff"/>
            <w:tcW w:w="2128" w:type="dxa"/>
            <w:textDirection w:val="lrTb"/>
            <w:noWrap w:val="false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</w:tbl>
    <w:p>
      <w:pPr>
        <w:ind w:firstLine="709"/>
        <w:jc w:val="both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</w:rPr>
        <w:t xml:space="preserve">Товар предлагаемый к поставке, должен быть новым, соответствовать действующим стандартам, условиям хранени</w:t>
      </w:r>
      <w:r>
        <w:rPr>
          <w:rFonts w:ascii="Times New Roman" w:hAnsi="Times New Roman" w:cs="Times New Roman"/>
        </w:rPr>
        <w:t xml:space="preserve">я и транспортировки, иметь целостность упаковки, предусмотренной заводом-изготовителем. Качество товара должно удостоверяться сертификатом и паспортом качества изготовителя, которые передаются заказчику одновременно с товаром без дополнительной оплаты.    </w:t>
      </w:r>
      <w:r>
        <w:rPr>
          <w:rFonts w:ascii="Times New Roman" w:hAnsi="Times New Roman" w:cs="Times New Roman"/>
          <w14:ligatures w14:val="none"/>
        </w:rPr>
      </w:r>
    </w:p>
    <w:p>
      <w:pPr>
        <w:ind w:firstLine="709"/>
        <w:jc w:val="both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Доставка, погрузочно-разгрузочные работы, поставку  должны производиться непосредственно на склад заказчика за счет средств Поставщика.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Одновременно с отгрузкой товара Поставщик предоставляет Заказчику товарную накладную по форме ТОРГ-12 и счет фактуру.</w:t>
      </w:r>
      <w:r>
        <w:rPr>
          <w:rFonts w:ascii="Times New Roman" w:hAnsi="Times New Roman" w:cs="Times New Roman"/>
          <w14:ligatures w14:val="none"/>
        </w:rPr>
      </w:r>
    </w:p>
    <w:p>
      <w:pPr>
        <w:ind w:firstLine="709"/>
        <w:jc w:val="both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</w:rPr>
        <w:t xml:space="preserve">При поставке вместе с товаром предоставляется гарантия производителя на срок </w:t>
      </w:r>
      <w:r>
        <w:rPr>
          <w:rFonts w:ascii="Times New Roman" w:hAnsi="Times New Roman" w:cs="Times New Roman"/>
        </w:rPr>
        <w:t xml:space="preserve"> не менее 12 (двенадцать) месяцев с даты подписания Заказчиком документов о приемке Товара, но не менее гарантийного срока установленного производителем на Товар</w:t>
      </w:r>
      <w:r>
        <w:rPr>
          <w:rFonts w:ascii="Times New Roman" w:hAnsi="Times New Roman" w:cs="Times New Roman"/>
        </w:rPr>
        <w:t xml:space="preserve">, а также гарантийный средний срок</w:t>
      </w:r>
      <w:r>
        <w:rPr>
          <w:rFonts w:ascii="Times New Roman" w:hAnsi="Times New Roman" w:cs="Times New Roman"/>
        </w:rPr>
        <w:t xml:space="preserve"> эксплуатации товара соответствует сроку хранения, установленному ГОСТ 33544-2015. Поставщик гарантирует качество и безопасность товара в соответствии с действующими стандартами, утвержденными на данный вид товара и наличием сертификатов, обязательных для </w:t>
      </w:r>
      <w:r>
        <w:rPr>
          <w:rFonts w:ascii="Times New Roman" w:hAnsi="Times New Roman" w:cs="Times New Roman"/>
        </w:rPr>
        <w:t xml:space="preserve">данного вида товара, оформленных в соответствии с законодательством Российской Федерации. Качество товара, поставляемого Заказчику в соответствии с Приложением к настоящему контракту (договору), должно соответствовать законодательству Российской Федерации.</w:t>
      </w:r>
      <w:r>
        <w:rPr>
          <w:rFonts w:ascii="Times New Roman" w:hAnsi="Times New Roman" w:cs="Times New Roman"/>
          <w14:ligatures w14:val="none"/>
        </w:rPr>
      </w:r>
    </w:p>
    <w:p>
      <w:pPr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9996" w:type="dxa"/>
        <w:tblInd w:w="108" w:type="dxa"/>
        <w:tblLook w:val="0000" w:firstRow="0" w:lastRow="0" w:firstColumn="0" w:lastColumn="0" w:noHBand="0" w:noVBand="0"/>
      </w:tblPr>
      <w:tblGrid>
        <w:gridCol w:w="5671"/>
        <w:gridCol w:w="4325"/>
      </w:tblGrid>
      <w:tr>
        <w:tblPrEx/>
        <w:trPr>
          <w:trHeight w:val="64"/>
        </w:trPr>
        <w:tc>
          <w:tcPr>
            <w:tcW w:w="5671" w:type="dxa"/>
            <w:textDirection w:val="lrTb"/>
            <w:noWrap w:val="false"/>
          </w:tcPr>
          <w:p>
            <w:pPr>
              <w:jc w:val="center"/>
              <w:rPr>
                <w:rFonts w:hint="eastAsia"/>
              </w:rPr>
            </w:pPr>
            <w:r>
              <w:rPr>
                <w:b/>
              </w:rPr>
              <w:t xml:space="preserve">Заказчик:</w:t>
            </w:r>
            <w:r>
              <w:rPr>
                <w:rFonts w:hint="eastAsia"/>
              </w:rPr>
            </w:r>
          </w:p>
          <w:p>
            <w:pPr>
              <w:ind w:left="-708"/>
              <w:jc w:val="both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Директор Федоровского филиала </w:t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ФГБУ «Управление «Кубаньмелиоводхоз»</w:t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________________       /И.В.Гайдаш/</w:t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jc w:val="both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 xml:space="preserve">                            </w:t>
            </w:r>
            <w:r>
              <w:rPr>
                <w:rFonts w:hint="eastAsia"/>
                <w:color w:val="000000"/>
              </w:rPr>
            </w:r>
          </w:p>
          <w:p>
            <w:pPr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</w:r>
            <w:r>
              <w:rPr>
                <w:rFonts w:hint="eastAsia"/>
                <w:b/>
                <w:color w:val="000000"/>
              </w:rPr>
            </w:r>
          </w:p>
        </w:tc>
        <w:tc>
          <w:tcPr>
            <w:tcW w:w="4325" w:type="dxa"/>
            <w:textDirection w:val="lrTb"/>
            <w:noWrap w:val="false"/>
          </w:tcPr>
          <w:p>
            <w:pPr>
              <w:jc w:val="center"/>
              <w:rPr>
                <w:rFonts w:hint="eastAsia"/>
              </w:rPr>
            </w:pPr>
            <w:r>
              <w:rPr>
                <w:b/>
                <w:bCs/>
              </w:rPr>
              <w:t xml:space="preserve">Поставщик:</w:t>
            </w:r>
            <w:r>
              <w:rPr>
                <w:rFonts w:hint="eastAsia"/>
              </w:rPr>
            </w:r>
          </w:p>
          <w:p>
            <w:pPr>
              <w:ind w:hanging="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ind w:hanging="9"/>
              <w:rPr>
                <w:rFonts w:eastAsia="Calibri"/>
              </w:rPr>
            </w:pPr>
            <w:r>
              <w:rPr>
                <w:rFonts w:eastAsia="Calibri"/>
              </w:rPr>
              <w:t xml:space="preserve">Должность</w:t>
            </w:r>
            <w:r>
              <w:rPr>
                <w:rFonts w:eastAsia="Calibri"/>
              </w:rPr>
            </w:r>
          </w:p>
          <w:p>
            <w:pPr>
              <w:ind w:hanging="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ind w:hanging="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ind w:hanging="9"/>
              <w:rPr>
                <w:rFonts w:hint="eastAsia"/>
              </w:rPr>
            </w:pPr>
            <w:r>
              <w:rPr>
                <w:rFonts w:eastAsia="Calibri"/>
              </w:rPr>
              <w:t xml:space="preserve">_______________ /___________/</w:t>
            </w:r>
            <w:r>
              <w:rPr>
                <w:rFonts w:hint="eastAsia"/>
              </w:rPr>
            </w:r>
          </w:p>
          <w:p>
            <w:pPr>
              <w:jc w:val="both"/>
              <w:tabs>
                <w:tab w:val="left" w:pos="1202" w:leader="none"/>
              </w:tabs>
              <w:rPr>
                <w:rFonts w:hint="eastAsia"/>
              </w:rPr>
              <w:outlineLvl w:val="0"/>
            </w:pPr>
            <w:r>
              <w:rPr>
                <w:lang w:eastAsia="ar-SA"/>
              </w:rPr>
              <w:t xml:space="preserve">                                                                </w:t>
            </w:r>
            <w:r>
              <w:rPr>
                <w:rFonts w:hint="eastAsia"/>
              </w:rPr>
            </w:r>
          </w:p>
        </w:tc>
      </w:tr>
    </w:tbl>
    <w:p>
      <w:pPr>
        <w:rPr>
          <w:rFonts w:hint="eastAsia"/>
          <w:b/>
          <w:bCs/>
        </w:rPr>
      </w:pPr>
      <w:r>
        <w:rPr>
          <w:rFonts w:hint="eastAsia"/>
          <w:b/>
          <w:bCs/>
        </w:rPr>
      </w:r>
      <w:r>
        <w:rPr>
          <w:rFonts w:hint="eastAsia"/>
          <w:b/>
          <w:bCs/>
        </w:rPr>
      </w:r>
    </w:p>
    <w:sectPr>
      <w:footnotePr/>
      <w:endnotePr/>
      <w:type w:val="nextPage"/>
      <w:pgSz w:w="11906" w:h="16838" w:orient="portrait"/>
      <w:pgMar w:top="850" w:right="789" w:bottom="1247" w:left="1196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rPr>
          <w:rFonts w:hint="eastAsia"/>
        </w:rPr>
      </w:pPr>
      <w:r>
        <w:separator/>
      </w:r>
      <w:r>
        <w:rPr>
          <w:rFonts w:hint="eastAsia"/>
        </w:rPr>
      </w:r>
    </w:p>
  </w:endnote>
  <w:endnote w:type="continuationSeparator" w:id="0">
    <w:p>
      <w:pPr>
        <w:rPr>
          <w:rFonts w:hint="eastAsia"/>
        </w:rPr>
      </w:pPr>
      <w:r>
        <w:continuationSeparator/>
      </w:r>
      <w:r>
        <w:rPr>
          <w:rFonts w:hint="eastAsia"/>
        </w:rPr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ans">
    <w:panose1 w:val="020B0604020202020204"/>
  </w:font>
  <w:font w:name="Cambria">
    <w:panose1 w:val="02040503050406030204"/>
  </w:font>
  <w:font w:name="Liberation Serif">
    <w:panose1 w:val="02020603050405020304"/>
  </w:font>
  <w:font w:name="Arial">
    <w:panose1 w:val="020B0604020202020204"/>
  </w:font>
  <w:font w:name="SimSun">
    <w:panose1 w:val="02000506000000020000"/>
  </w:font>
  <w:font w:name="F">
    <w:panose1 w:val="020B0609050000020004"/>
  </w:font>
  <w:font w:name="Microsoft YaHei">
    <w:panose1 w:val="020B0503020203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rFonts w:hint="eastAsia"/>
        </w:rPr>
      </w:pPr>
      <w:r>
        <w:separator/>
      </w:r>
      <w:r>
        <w:rPr>
          <w:rFonts w:hint="eastAsia"/>
        </w:rPr>
      </w:r>
    </w:p>
  </w:footnote>
  <w:footnote w:type="continuationSeparator" w:id="0">
    <w:p>
      <w:pPr>
        <w:rPr>
          <w:rFonts w:hint="eastAsia"/>
        </w:rPr>
      </w:pPr>
      <w:r>
        <w:continuationSeparator/>
      </w:r>
      <w:r>
        <w:rPr>
          <w:rFonts w:hint="eastAsia"/>
        </w:rPr>
      </w:r>
    </w:p>
  </w:footnote>
  <w:footnote w:id="2">
    <w:p>
      <w:pPr>
        <w:pStyle w:val="892"/>
        <w:ind w:firstLine="567"/>
        <w:jc w:val="both"/>
        <w:spacing w:after="0" w:line="240" w:lineRule="auto"/>
        <w:rPr>
          <w:rFonts w:ascii="Times New Roman" w:hAnsi="Times New Roman" w:cs="Times New Roman"/>
          <w:sz w:val="16"/>
          <w:szCs w:val="16"/>
          <w:highlight w:val="white"/>
        </w:rPr>
      </w:pPr>
      <w:r>
        <w:rPr>
          <w:rStyle w:val="845"/>
          <w:rFonts w:ascii="Times New Roman" w:hAnsi="Times New Roman" w:eastAsia="Times New Roman" w:cs="Times New Roman"/>
          <w:sz w:val="20"/>
          <w:szCs w:val="20"/>
          <w:highlight w:val="white"/>
        </w:rPr>
        <w:footnoteRef/>
      </w:r>
      <w:r>
        <w:rPr>
          <w:rFonts w:ascii="Times New Roman" w:hAnsi="Times New Roman" w:eastAsia="Times New Roman" w:cs="Times New Roman"/>
          <w:sz w:val="18"/>
          <w:szCs w:val="1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sz w:val="18"/>
          <w:szCs w:val="18"/>
          <w:highlight w:val="white"/>
          <w:lang w:eastAsia="ar-SA"/>
        </w:rPr>
        <w:t xml:space="preserve">В случае если Контракт заключается с лицом, не являющимся в соответствии с законодательством Россий</w:t>
      </w:r>
      <w:r>
        <w:rPr>
          <w:rFonts w:ascii="Times New Roman" w:hAnsi="Times New Roman" w:eastAsia="Times New Roman" w:cs="Times New Roman"/>
          <w:i/>
          <w:iCs/>
          <w:color w:val="000000"/>
          <w:sz w:val="18"/>
          <w:szCs w:val="18"/>
          <w:highlight w:val="white"/>
          <w:lang w:eastAsia="ar-SA"/>
        </w:rPr>
        <w:t xml:space="preserve">ской Федерации о налогах и сборах плательщиком налога на добавленную стоимость (НДС), цена Контракта налогом на добавленную стоимость не облагается, при указании Цены контракта вместо указания суммы налога на добавленную стоимость ставится «Без учета НДС».</w:t>
      </w:r>
      <w:r>
        <w:rPr>
          <w:rFonts w:ascii="Times New Roman" w:hAnsi="Times New Roman" w:cs="Times New Roman"/>
          <w:sz w:val="16"/>
          <w:szCs w:val="16"/>
          <w:highlight w:val="white"/>
        </w:rPr>
      </w:r>
    </w:p>
    <w:p>
      <w:pPr>
        <w:pStyle w:val="892"/>
        <w:ind w:firstLine="567"/>
        <w:jc w:val="both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  <w:highlight w:val="white"/>
        </w:rPr>
      </w:pPr>
      <w:r>
        <w:rPr>
          <w:rFonts w:ascii="Times New Roman" w:hAnsi="Times New Roman" w:eastAsia="Times New Roman" w:cs="Times New Roman"/>
          <w:i/>
          <w:iCs/>
          <w:sz w:val="18"/>
          <w:szCs w:val="18"/>
          <w:highlight w:val="white"/>
        </w:rPr>
        <w:t xml:space="preserve">В случае утраты лицом, с которым заключен Контракт, права на освобождение от уплаты НДС на основании Налогового кодекса Российской Федерации, цена Контракта остается неизменной и включает в себя все применимые налоги. </w:t>
      </w:r>
      <w:r>
        <w:rPr>
          <w:rFonts w:ascii="Times New Roman" w:hAnsi="Times New Roman" w:cs="Times New Roman"/>
          <w:i/>
          <w:iCs/>
          <w:sz w:val="16"/>
          <w:szCs w:val="16"/>
          <w:highlight w:val="white"/>
        </w:rPr>
      </w:r>
    </w:p>
    <w:p>
      <w:pPr>
        <w:pStyle w:val="843"/>
        <w:ind w:firstLine="709"/>
        <w:jc w:val="both"/>
        <w:spacing w:after="0"/>
        <w:rPr>
          <w:rFonts w:ascii="Times New Roman" w:hAnsi="Times New Roman" w:cs="Times New Roman"/>
          <w:sz w:val="16"/>
          <w:szCs w:val="16"/>
          <w:highlight w:val="white"/>
        </w:rPr>
      </w:pPr>
      <w:r>
        <w:rPr>
          <w:rFonts w:ascii="Times New Roman" w:hAnsi="Times New Roman" w:eastAsia="Times New Roman" w:cs="Times New Roman"/>
          <w:i/>
          <w:iCs/>
          <w:szCs w:val="18"/>
          <w:highlight w:val="white"/>
        </w:rPr>
        <w:t xml:space="preserve">В случае изменения применяемой ставки НДС на основании Налогового кодекса Российской Федерации, цена Контракта остается неизменной и включает в себя все применимые налоги. </w:t>
      </w:r>
      <w:r>
        <w:rPr>
          <w:rFonts w:ascii="Times New Roman" w:hAnsi="Times New Roman" w:cs="Times New Roman"/>
          <w:sz w:val="16"/>
          <w:szCs w:val="16"/>
          <w:highlight w:val="white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360" w:leader="none"/>
        </w:tabs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isLgl w:val="false"/>
      <w:suff w:val="tab"/>
      <w:lvlText w:val="%1.%2."/>
      <w:lvlJc w:val="left"/>
      <w:pPr>
        <w:ind w:left="540" w:hanging="540"/>
        <w:tabs>
          <w:tab w:val="num" w:pos="540" w:leader="none"/>
        </w:tabs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570" w:leader="none"/>
        </w:tabs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10" w:hanging="720"/>
        <w:tabs>
          <w:tab w:val="num" w:pos="1710" w:leader="none"/>
        </w:tabs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pStyle w:val="679"/>
      <w:isLgl w:val="false"/>
      <w:suff w:val="nothing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useFELayout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8"/>
    <w:link w:val="679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88"/>
    <w:link w:val="680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88"/>
    <w:link w:val="681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88"/>
    <w:link w:val="682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88"/>
    <w:link w:val="683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88"/>
    <w:link w:val="684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88"/>
    <w:link w:val="6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88"/>
    <w:link w:val="686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88"/>
    <w:link w:val="687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88"/>
    <w:link w:val="702"/>
    <w:uiPriority w:val="10"/>
    <w:rPr>
      <w:sz w:val="48"/>
      <w:szCs w:val="48"/>
    </w:rPr>
  </w:style>
  <w:style w:type="character" w:styleId="37">
    <w:name w:val="Subtitle Char"/>
    <w:basedOn w:val="688"/>
    <w:link w:val="704"/>
    <w:uiPriority w:val="11"/>
    <w:rPr>
      <w:sz w:val="24"/>
      <w:szCs w:val="24"/>
    </w:rPr>
  </w:style>
  <w:style w:type="character" w:styleId="39">
    <w:name w:val="Quote Char"/>
    <w:link w:val="706"/>
    <w:uiPriority w:val="29"/>
    <w:rPr>
      <w:i/>
    </w:rPr>
  </w:style>
  <w:style w:type="character" w:styleId="41">
    <w:name w:val="Intense Quote Char"/>
    <w:link w:val="708"/>
    <w:uiPriority w:val="30"/>
    <w:rPr>
      <w:i/>
    </w:rPr>
  </w:style>
  <w:style w:type="character" w:styleId="43">
    <w:name w:val="Header Char"/>
    <w:basedOn w:val="688"/>
    <w:link w:val="710"/>
    <w:uiPriority w:val="99"/>
  </w:style>
  <w:style w:type="character" w:styleId="45">
    <w:name w:val="Footer Char"/>
    <w:basedOn w:val="688"/>
    <w:link w:val="712"/>
    <w:uiPriority w:val="99"/>
  </w:style>
  <w:style w:type="character" w:styleId="47">
    <w:name w:val="Caption Char"/>
    <w:basedOn w:val="688"/>
    <w:link w:val="714"/>
    <w:uiPriority w:val="35"/>
    <w:rPr>
      <w:b/>
      <w:bCs/>
      <w:color w:val="4f81bd" w:themeColor="accent1"/>
      <w:sz w:val="18"/>
      <w:szCs w:val="18"/>
    </w:rPr>
  </w:style>
  <w:style w:type="character" w:styleId="176">
    <w:name w:val="Footnote Text Char"/>
    <w:link w:val="843"/>
    <w:uiPriority w:val="99"/>
    <w:rPr>
      <w:sz w:val="18"/>
    </w:rPr>
  </w:style>
  <w:style w:type="character" w:styleId="179">
    <w:name w:val="Endnote Text Char"/>
    <w:link w:val="846"/>
    <w:uiPriority w:val="99"/>
    <w:rPr>
      <w:sz w:val="20"/>
    </w:rPr>
  </w:style>
  <w:style w:type="paragraph" w:styleId="678" w:default="1">
    <w:name w:val="Normal"/>
    <w:rPr>
      <w:rFonts w:ascii="Liberation Serif" w:hAnsi="Liberation Serif" w:cs="Arial"/>
      <w:sz w:val="24"/>
      <w:szCs w:val="24"/>
      <w:lang w:eastAsia="zh-CN" w:bidi="hi-IN"/>
    </w:rPr>
  </w:style>
  <w:style w:type="paragraph" w:styleId="679">
    <w:name w:val="Heading 1"/>
    <w:basedOn w:val="678"/>
    <w:next w:val="678"/>
    <w:link w:val="691"/>
    <w:pPr>
      <w:numPr>
        <w:ilvl w:val="0"/>
        <w:numId w:val="1"/>
      </w:numPr>
      <w:ind w:left="0" w:firstLine="0"/>
      <w:keepLines/>
      <w:keepNext/>
      <w:spacing w:before="480"/>
      <w:outlineLvl w:val="0"/>
    </w:pPr>
    <w:rPr>
      <w:rFonts w:ascii="Cambria" w:hAnsi="Cambria" w:cs="Cambria"/>
      <w:b/>
      <w:bCs/>
      <w:color w:val="365f91"/>
      <w:szCs w:val="28"/>
    </w:rPr>
  </w:style>
  <w:style w:type="paragraph" w:styleId="680">
    <w:name w:val="Heading 2"/>
    <w:basedOn w:val="678"/>
    <w:next w:val="678"/>
    <w:link w:val="69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/>
      <w:sz w:val="34"/>
    </w:rPr>
  </w:style>
  <w:style w:type="paragraph" w:styleId="681">
    <w:name w:val="Heading 3"/>
    <w:basedOn w:val="678"/>
    <w:next w:val="678"/>
    <w:link w:val="69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/>
      <w:sz w:val="30"/>
      <w:szCs w:val="30"/>
    </w:rPr>
  </w:style>
  <w:style w:type="paragraph" w:styleId="682">
    <w:name w:val="Heading 4"/>
    <w:basedOn w:val="678"/>
    <w:next w:val="678"/>
    <w:link w:val="69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styleId="683">
    <w:name w:val="Heading 5"/>
    <w:basedOn w:val="678"/>
    <w:next w:val="678"/>
    <w:link w:val="69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/>
      <w:b/>
      <w:bCs/>
    </w:rPr>
  </w:style>
  <w:style w:type="paragraph" w:styleId="684">
    <w:name w:val="Heading 6"/>
    <w:basedOn w:val="678"/>
    <w:next w:val="678"/>
    <w:link w:val="69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/>
      <w:b/>
      <w:bCs/>
      <w:sz w:val="22"/>
      <w:szCs w:val="22"/>
    </w:rPr>
  </w:style>
  <w:style w:type="paragraph" w:styleId="685">
    <w:name w:val="Heading 7"/>
    <w:basedOn w:val="678"/>
    <w:next w:val="678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paragraph" w:styleId="686">
    <w:name w:val="Heading 8"/>
    <w:basedOn w:val="678"/>
    <w:next w:val="678"/>
    <w:link w:val="69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/>
      <w:i/>
      <w:iCs/>
      <w:sz w:val="22"/>
      <w:szCs w:val="22"/>
    </w:rPr>
  </w:style>
  <w:style w:type="paragraph" w:styleId="687">
    <w:name w:val="Heading 9"/>
    <w:basedOn w:val="678"/>
    <w:next w:val="678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/>
      <w:i/>
      <w:iCs/>
      <w:sz w:val="21"/>
      <w:szCs w:val="21"/>
    </w:rPr>
  </w:style>
  <w:style w:type="character" w:styleId="688" w:default="1">
    <w:name w:val="Default Paragraph Font"/>
    <w:uiPriority w:val="1"/>
    <w:semiHidden/>
    <w:unhideWhenUsed/>
  </w:style>
  <w:style w:type="table" w:styleId="68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0" w:default="1">
    <w:name w:val="No List"/>
    <w:uiPriority w:val="99"/>
    <w:semiHidden/>
    <w:unhideWhenUsed/>
  </w:style>
  <w:style w:type="character" w:styleId="691" w:customStyle="1">
    <w:name w:val="Заголовок 1 Знак"/>
    <w:link w:val="679"/>
    <w:uiPriority w:val="9"/>
    <w:rPr>
      <w:rFonts w:ascii="Arial" w:hAnsi="Arial" w:eastAsia="Arial" w:cs="Arial"/>
      <w:sz w:val="40"/>
      <w:szCs w:val="40"/>
    </w:rPr>
  </w:style>
  <w:style w:type="character" w:styleId="692" w:customStyle="1">
    <w:name w:val="Заголовок 2 Знак"/>
    <w:link w:val="680"/>
    <w:uiPriority w:val="9"/>
    <w:rPr>
      <w:rFonts w:ascii="Arial" w:hAnsi="Arial" w:eastAsia="Arial" w:cs="Arial"/>
      <w:sz w:val="34"/>
    </w:rPr>
  </w:style>
  <w:style w:type="character" w:styleId="693" w:customStyle="1">
    <w:name w:val="Заголовок 3 Знак"/>
    <w:link w:val="681"/>
    <w:uiPriority w:val="9"/>
    <w:rPr>
      <w:rFonts w:ascii="Arial" w:hAnsi="Arial" w:eastAsia="Arial" w:cs="Arial"/>
      <w:sz w:val="30"/>
      <w:szCs w:val="30"/>
    </w:rPr>
  </w:style>
  <w:style w:type="character" w:styleId="694" w:customStyle="1">
    <w:name w:val="Заголовок 4 Знак"/>
    <w:link w:val="682"/>
    <w:uiPriority w:val="9"/>
    <w:rPr>
      <w:rFonts w:ascii="Arial" w:hAnsi="Arial" w:eastAsia="Arial" w:cs="Arial"/>
      <w:b/>
      <w:bCs/>
      <w:sz w:val="26"/>
      <w:szCs w:val="26"/>
    </w:rPr>
  </w:style>
  <w:style w:type="character" w:styleId="695" w:customStyle="1">
    <w:name w:val="Заголовок 5 Знак"/>
    <w:link w:val="683"/>
    <w:uiPriority w:val="9"/>
    <w:rPr>
      <w:rFonts w:ascii="Arial" w:hAnsi="Arial" w:eastAsia="Arial" w:cs="Arial"/>
      <w:b/>
      <w:bCs/>
      <w:sz w:val="24"/>
      <w:szCs w:val="24"/>
    </w:rPr>
  </w:style>
  <w:style w:type="character" w:styleId="696" w:customStyle="1">
    <w:name w:val="Заголовок 6 Знак"/>
    <w:link w:val="684"/>
    <w:uiPriority w:val="9"/>
    <w:rPr>
      <w:rFonts w:ascii="Arial" w:hAnsi="Arial" w:eastAsia="Arial" w:cs="Arial"/>
      <w:b/>
      <w:bCs/>
      <w:sz w:val="22"/>
      <w:szCs w:val="22"/>
    </w:rPr>
  </w:style>
  <w:style w:type="character" w:styleId="697" w:customStyle="1">
    <w:name w:val="Заголовок 7 Знак"/>
    <w:link w:val="6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8" w:customStyle="1">
    <w:name w:val="Заголовок 8 Знак"/>
    <w:link w:val="686"/>
    <w:uiPriority w:val="9"/>
    <w:rPr>
      <w:rFonts w:ascii="Arial" w:hAnsi="Arial" w:eastAsia="Arial" w:cs="Arial"/>
      <w:i/>
      <w:iCs/>
      <w:sz w:val="22"/>
      <w:szCs w:val="22"/>
    </w:rPr>
  </w:style>
  <w:style w:type="character" w:styleId="699" w:customStyle="1">
    <w:name w:val="Заголовок 9 Знак"/>
    <w:link w:val="687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List Paragraph"/>
    <w:basedOn w:val="678"/>
    <w:uiPriority w:val="34"/>
    <w:qFormat/>
    <w:pPr>
      <w:contextualSpacing/>
      <w:ind w:left="720"/>
    </w:pPr>
  </w:style>
  <w:style w:type="paragraph" w:styleId="701">
    <w:name w:val="No Spacing"/>
    <w:uiPriority w:val="1"/>
    <w:qFormat/>
  </w:style>
  <w:style w:type="paragraph" w:styleId="702">
    <w:name w:val="Title"/>
    <w:basedOn w:val="678"/>
    <w:next w:val="879"/>
    <w:link w:val="703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character" w:styleId="703" w:customStyle="1">
    <w:name w:val="Заголовок Знак"/>
    <w:link w:val="702"/>
    <w:uiPriority w:val="10"/>
    <w:rPr>
      <w:sz w:val="48"/>
      <w:szCs w:val="48"/>
    </w:rPr>
  </w:style>
  <w:style w:type="paragraph" w:styleId="704">
    <w:name w:val="Subtitle"/>
    <w:basedOn w:val="678"/>
    <w:next w:val="678"/>
    <w:link w:val="705"/>
    <w:uiPriority w:val="11"/>
    <w:qFormat/>
    <w:pPr>
      <w:spacing w:before="200" w:after="200"/>
    </w:pPr>
  </w:style>
  <w:style w:type="character" w:styleId="705" w:customStyle="1">
    <w:name w:val="Подзаголовок Знак"/>
    <w:link w:val="704"/>
    <w:uiPriority w:val="11"/>
    <w:rPr>
      <w:sz w:val="24"/>
      <w:szCs w:val="24"/>
    </w:rPr>
  </w:style>
  <w:style w:type="paragraph" w:styleId="706">
    <w:name w:val="Quote"/>
    <w:basedOn w:val="678"/>
    <w:next w:val="678"/>
    <w:link w:val="707"/>
    <w:uiPriority w:val="29"/>
    <w:qFormat/>
    <w:pPr>
      <w:ind w:left="720" w:right="720"/>
    </w:pPr>
    <w:rPr>
      <w:i/>
    </w:rPr>
  </w:style>
  <w:style w:type="character" w:styleId="707" w:customStyle="1">
    <w:name w:val="Цитата 2 Знак"/>
    <w:link w:val="706"/>
    <w:uiPriority w:val="29"/>
    <w:rPr>
      <w:i/>
    </w:rPr>
  </w:style>
  <w:style w:type="paragraph" w:styleId="708">
    <w:name w:val="Intense Quote"/>
    <w:basedOn w:val="678"/>
    <w:next w:val="678"/>
    <w:link w:val="70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9" w:customStyle="1">
    <w:name w:val="Выделенная цитата Знак"/>
    <w:link w:val="708"/>
    <w:uiPriority w:val="30"/>
    <w:rPr>
      <w:i/>
    </w:rPr>
  </w:style>
  <w:style w:type="paragraph" w:styleId="710">
    <w:name w:val="Header"/>
    <w:basedOn w:val="678"/>
    <w:link w:val="71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1" w:customStyle="1">
    <w:name w:val="Верхний колонтитул Знак"/>
    <w:basedOn w:val="688"/>
    <w:link w:val="710"/>
    <w:uiPriority w:val="99"/>
  </w:style>
  <w:style w:type="paragraph" w:styleId="712">
    <w:name w:val="Footer"/>
    <w:basedOn w:val="678"/>
    <w:link w:val="71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3" w:customStyle="1">
    <w:name w:val="Нижний колонтитул Знак"/>
    <w:basedOn w:val="688"/>
    <w:link w:val="712"/>
    <w:uiPriority w:val="99"/>
  </w:style>
  <w:style w:type="paragraph" w:styleId="714">
    <w:name w:val="Caption"/>
    <w:basedOn w:val="678"/>
    <w:next w:val="678"/>
    <w:link w:val="715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715" w:customStyle="1">
    <w:name w:val="Название объекта Знак"/>
    <w:link w:val="714"/>
    <w:uiPriority w:val="35"/>
    <w:rPr>
      <w:b/>
      <w:bCs/>
      <w:color w:val="4f81bd"/>
      <w:sz w:val="18"/>
      <w:szCs w:val="18"/>
    </w:rPr>
  </w:style>
  <w:style w:type="table" w:styleId="716">
    <w:name w:val="Table Grid"/>
    <w:basedOn w:val="689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7" w:customStyle="1">
    <w:name w:val="Table Grid Light"/>
    <w:basedOn w:val="689"/>
    <w:uiPriority w:val="59"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</w:style>
  <w:style w:type="table" w:styleId="718">
    <w:name w:val="Plain Table 1"/>
    <w:basedOn w:val="689"/>
    <w:uiPriority w:val="59"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blStylePr w:type="band1Horz">
      <w:tcPr>
        <w:shd w:val="clear" w:color="f2f2f2" w:fill="f2f2f2"/>
      </w:tcPr>
    </w:tblStylePr>
    <w:tblStylePr w:type="band1Vert">
      <w:tcPr>
        <w:shd w:val="clear" w:color="f2f2f2" w:fill="f2f2f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2"/>
    <w:basedOn w:val="689"/>
    <w:uiPriority w:val="59"/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blStylePr w:type="band1Horz"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tcPr>
        <w:tcBorders>
          <w:left w:val="single" w:color="000000" w:sz="4" w:space="0"/>
          <w:right w:val="single" w:color="000000" w:sz="4" w:space="0"/>
        </w:tcBorders>
      </w:tcPr>
    </w:tblStylePr>
    <w:tblStylePr w:type="band2Vert"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3"/>
    <w:basedOn w:val="68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1">
    <w:name w:val="Plain Table 4"/>
    <w:basedOn w:val="68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Plain Table 5"/>
    <w:basedOn w:val="68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3">
    <w:name w:val="Grid Table 1 Light"/>
    <w:basedOn w:val="689"/>
    <w:uiPriority w:val="99"/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1"/>
    <w:basedOn w:val="689"/>
    <w:uiPriority w:val="99"/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2"/>
    <w:basedOn w:val="689"/>
    <w:uiPriority w:val="99"/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3"/>
    <w:basedOn w:val="689"/>
    <w:uiPriority w:val="99"/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4"/>
    <w:basedOn w:val="689"/>
    <w:uiPriority w:val="99"/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5"/>
    <w:basedOn w:val="689"/>
    <w:uiPriority w:val="99"/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6"/>
    <w:basedOn w:val="689"/>
    <w:uiPriority w:val="99"/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2"/>
    <w:basedOn w:val="689"/>
    <w:uiPriority w:val="99"/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1"/>
    <w:basedOn w:val="689"/>
    <w:uiPriority w:val="99"/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2"/>
    <w:basedOn w:val="689"/>
    <w:uiPriority w:val="99"/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3"/>
    <w:basedOn w:val="689"/>
    <w:uiPriority w:val="99"/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4"/>
    <w:basedOn w:val="689"/>
    <w:uiPriority w:val="99"/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5"/>
    <w:basedOn w:val="689"/>
    <w:uiPriority w:val="99"/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6"/>
    <w:basedOn w:val="689"/>
    <w:uiPriority w:val="99"/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"/>
    <w:basedOn w:val="689"/>
    <w:uiPriority w:val="99"/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1"/>
    <w:basedOn w:val="689"/>
    <w:uiPriority w:val="99"/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2"/>
    <w:basedOn w:val="689"/>
    <w:uiPriority w:val="99"/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3"/>
    <w:basedOn w:val="689"/>
    <w:uiPriority w:val="99"/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4"/>
    <w:basedOn w:val="689"/>
    <w:uiPriority w:val="99"/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5"/>
    <w:basedOn w:val="689"/>
    <w:uiPriority w:val="99"/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6"/>
    <w:basedOn w:val="689"/>
    <w:uiPriority w:val="99"/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4"/>
    <w:basedOn w:val="689"/>
    <w:uiPriority w:val="59"/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</w:tcBorders>
      </w:tcPr>
    </w:tblStylePr>
  </w:style>
  <w:style w:type="table" w:styleId="745" w:customStyle="1">
    <w:name w:val="Grid Table 4 - Accent 1"/>
    <w:basedOn w:val="689"/>
    <w:uiPriority w:val="59"/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fill="dce6f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/>
        </w:tcBorders>
      </w:tcPr>
    </w:tblStylePr>
  </w:style>
  <w:style w:type="table" w:styleId="746" w:customStyle="1">
    <w:name w:val="Grid Table 4 - Accent 2"/>
    <w:basedOn w:val="689"/>
    <w:uiPriority w:val="59"/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/>
        </w:tcBorders>
      </w:tcPr>
    </w:tblStylePr>
  </w:style>
  <w:style w:type="table" w:styleId="747" w:customStyle="1">
    <w:name w:val="Grid Table 4 - Accent 3"/>
    <w:basedOn w:val="689"/>
    <w:uiPriority w:val="59"/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/>
        </w:tcBorders>
      </w:tcPr>
    </w:tblStylePr>
  </w:style>
  <w:style w:type="table" w:styleId="748" w:customStyle="1">
    <w:name w:val="Grid Table 4 - Accent 4"/>
    <w:basedOn w:val="689"/>
    <w:uiPriority w:val="59"/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/>
        </w:tcBorders>
      </w:tcPr>
    </w:tblStylePr>
  </w:style>
  <w:style w:type="table" w:styleId="749" w:customStyle="1">
    <w:name w:val="Grid Table 4 - Accent 5"/>
    <w:basedOn w:val="689"/>
    <w:uiPriority w:val="59"/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/>
        </w:tcBorders>
      </w:tcPr>
    </w:tblStylePr>
  </w:style>
  <w:style w:type="table" w:styleId="750" w:customStyle="1">
    <w:name w:val="Grid Table 4 - Accent 6"/>
    <w:basedOn w:val="689"/>
    <w:uiPriority w:val="59"/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/>
        </w:tcBorders>
      </w:tcPr>
    </w:tblStylePr>
  </w:style>
  <w:style w:type="table" w:styleId="751">
    <w:name w:val="Grid Table 5 Dark"/>
    <w:basedOn w:val="689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blStylePr w:type="band1Horz">
      <w:tcPr>
        <w:shd w:val="clear" w:color="8a8a8a" w:fill="8a8a8a"/>
      </w:tcPr>
    </w:tblStylePr>
    <w:tblStylePr w:type="band1Vert">
      <w:tcPr>
        <w:shd w:val="clear" w:color="8a8a8a" w:fill="8a8a8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fill="000000"/>
        <w:tcBorders>
          <w:top w:val="single" w:color="FFFFFF" w:sz="4" w:space="0"/>
        </w:tcBorders>
      </w:tcPr>
    </w:tblStylePr>
  </w:style>
  <w:style w:type="table" w:styleId="752" w:customStyle="1">
    <w:name w:val="Grid Table 5 Dark- Accent 1"/>
    <w:basedOn w:val="689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blStylePr w:type="band1Horz">
      <w:tcPr>
        <w:shd w:val="clear" w:color="aec4e0" w:fill="aec4e0"/>
      </w:tcPr>
    </w:tblStylePr>
    <w:tblStylePr w:type="band1Vert">
      <w:tcPr>
        <w:shd w:val="clear" w:color="aec4e0" w:fill="aec4e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fill="4f81bd"/>
        <w:tcBorders>
          <w:top w:val="single" w:color="FFFFFF" w:sz="4" w:space="0"/>
        </w:tcBorders>
      </w:tcPr>
    </w:tblStylePr>
  </w:style>
  <w:style w:type="table" w:styleId="753" w:customStyle="1">
    <w:name w:val="Grid Table 5 Dark - Accent 2"/>
    <w:basedOn w:val="689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blStylePr w:type="band1Horz">
      <w:tcPr>
        <w:shd w:val="clear" w:color="e2aead" w:fill="e2aead"/>
      </w:tcPr>
    </w:tblStylePr>
    <w:tblStylePr w:type="band1Vert">
      <w:tcPr>
        <w:shd w:val="clear" w:color="e2aead" w:fill="e2aead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fill="c0504d"/>
        <w:tcBorders>
          <w:top w:val="single" w:color="FFFFFF" w:sz="4" w:space="0"/>
        </w:tcBorders>
      </w:tcPr>
    </w:tblStylePr>
  </w:style>
  <w:style w:type="table" w:styleId="754" w:customStyle="1">
    <w:name w:val="Grid Table 5 Dark - Accent 3"/>
    <w:basedOn w:val="689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blStylePr w:type="band1Horz">
      <w:tcPr>
        <w:shd w:val="clear" w:color="d0dfb2" w:fill="d0dfb2"/>
      </w:tcPr>
    </w:tblStylePr>
    <w:tblStylePr w:type="band1Vert">
      <w:tcPr>
        <w:shd w:val="clear" w:color="d0dfb2" w:fill="d0dfb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fill="9bbb59"/>
        <w:tcBorders>
          <w:top w:val="single" w:color="FFFFFF" w:sz="4" w:space="0"/>
        </w:tcBorders>
      </w:tcPr>
    </w:tblStylePr>
  </w:style>
  <w:style w:type="table" w:styleId="755" w:customStyle="1">
    <w:name w:val="Grid Table 5 Dark- Accent 4"/>
    <w:basedOn w:val="689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blStylePr w:type="band1Horz">
      <w:tcPr>
        <w:shd w:val="clear" w:color="c4b7d4" w:fill="c4b7d4"/>
      </w:tcPr>
    </w:tblStylePr>
    <w:tblStylePr w:type="band1Vert">
      <w:tcPr>
        <w:shd w:val="clear" w:color="c4b7d4" w:fill="c4b7d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fill="8064a2"/>
        <w:tcBorders>
          <w:top w:val="single" w:color="FFFFFF" w:sz="4" w:space="0"/>
        </w:tcBorders>
      </w:tcPr>
    </w:tblStylePr>
  </w:style>
  <w:style w:type="table" w:styleId="756" w:customStyle="1">
    <w:name w:val="Grid Table 5 Dark - Accent 5"/>
    <w:basedOn w:val="689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blStylePr w:type="band1Horz">
      <w:tcPr>
        <w:shd w:val="clear" w:color="acd8e4" w:fill="acd8e4"/>
      </w:tcPr>
    </w:tblStylePr>
    <w:tblStylePr w:type="band1Vert">
      <w:tcPr>
        <w:shd w:val="clear" w:color="acd8e4" w:fill="acd8e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fill="4bacc6"/>
        <w:tcBorders>
          <w:top w:val="single" w:color="FFFFFF" w:sz="4" w:space="0"/>
        </w:tcBorders>
      </w:tcPr>
    </w:tblStylePr>
  </w:style>
  <w:style w:type="table" w:styleId="757" w:customStyle="1">
    <w:name w:val="Grid Table 5 Dark - Accent 6"/>
    <w:basedOn w:val="689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blStylePr w:type="band1Horz">
      <w:tcPr>
        <w:shd w:val="clear" w:color="fbceaa" w:fill="fbceaa"/>
      </w:tcPr>
    </w:tblStylePr>
    <w:tblStylePr w:type="band1Vert">
      <w:tcPr>
        <w:shd w:val="clear" w:color="fbceaa" w:fill="fbcea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fill="f79646"/>
        <w:tcBorders>
          <w:top w:val="single" w:color="FFFFFF" w:sz="4" w:space="0"/>
        </w:tcBorders>
      </w:tcPr>
    </w:tblStylePr>
  </w:style>
  <w:style w:type="table" w:styleId="758">
    <w:name w:val="Grid Table 6 Colorful"/>
    <w:basedOn w:val="689"/>
    <w:uiPriority w:val="99"/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blStylePr w:type="band1Horz">
      <w:rPr>
        <w:rFonts w:ascii="Arial" w:hAnsi="Arial"/>
        <w:color w:val="7f7f7f"/>
        <w:sz w:val="22"/>
      </w:rPr>
      <w:tcPr>
        <w:shd w:val="clear" w:color="cbcbcb" w:fill="cbcbcb"/>
      </w:tcPr>
    </w:tblStylePr>
    <w:tblStylePr w:type="band1Vert"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b/>
        <w:color w:val="7f7f7f"/>
      </w:rPr>
    </w:tblStylePr>
    <w:tblStylePr w:type="firstRow">
      <w:rPr>
        <w:b/>
        <w:color w:val="7f7f7f"/>
      </w:r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</w:tblStylePr>
    <w:tblStylePr w:type="lastRow">
      <w:rPr>
        <w:b/>
        <w:color w:val="7f7f7f"/>
      </w:rPr>
    </w:tblStylePr>
  </w:style>
  <w:style w:type="table" w:styleId="759" w:customStyle="1">
    <w:name w:val="Grid Table 6 Colorful - Accent 1"/>
    <w:basedOn w:val="689"/>
    <w:uiPriority w:val="99"/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blStylePr w:type="band1Horz">
      <w:rPr>
        <w:rFonts w:ascii="Arial" w:hAnsi="Arial"/>
        <w:color w:val="a6bfdd"/>
        <w:sz w:val="22"/>
      </w:rPr>
      <w:tcPr>
        <w:shd w:val="clear" w:color="dae5f1" w:fill="dae5f1"/>
      </w:tcPr>
    </w:tblStylePr>
    <w:tblStylePr w:type="band1Vert"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  <w:tblStylePr w:type="firstCol">
      <w:rPr>
        <w:b/>
        <w:color w:val="a6bfdd"/>
      </w:rPr>
    </w:tblStylePr>
    <w:tblStylePr w:type="firstRow">
      <w:rPr>
        <w:b/>
        <w:color w:val="a6bfdd"/>
      </w:r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</w:tblStylePr>
    <w:tblStylePr w:type="lastRow">
      <w:rPr>
        <w:b/>
        <w:color w:val="a6bfdd"/>
      </w:rPr>
    </w:tblStylePr>
  </w:style>
  <w:style w:type="table" w:styleId="760" w:customStyle="1">
    <w:name w:val="Grid Table 6 Colorful - Accent 2"/>
    <w:basedOn w:val="689"/>
    <w:uiPriority w:val="99"/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blStylePr w:type="band1Horz">
      <w:rPr>
        <w:rFonts w:ascii="Arial" w:hAnsi="Arial"/>
        <w:color w:val="d99695"/>
        <w:sz w:val="22"/>
      </w:rPr>
      <w:tcPr>
        <w:shd w:val="clear" w:color="f2dcdc" w:fill="f2dcdc"/>
      </w:tcPr>
    </w:tblStylePr>
    <w:tblStylePr w:type="band1Vert"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b/>
        <w:color w:val="d99695"/>
      </w:rPr>
    </w:tblStylePr>
    <w:tblStylePr w:type="firstRow">
      <w:rPr>
        <w:b/>
        <w:color w:val="d99695"/>
      </w:r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</w:tblStylePr>
    <w:tblStylePr w:type="lastRow">
      <w:rPr>
        <w:b/>
        <w:color w:val="d99695"/>
      </w:rPr>
    </w:tblStylePr>
  </w:style>
  <w:style w:type="table" w:styleId="761" w:customStyle="1">
    <w:name w:val="Grid Table 6 Colorful - Accent 3"/>
    <w:basedOn w:val="689"/>
    <w:uiPriority w:val="99"/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blStylePr w:type="band1Horz">
      <w:rPr>
        <w:rFonts w:ascii="Arial" w:hAnsi="Arial"/>
        <w:color w:val="9abb59"/>
        <w:sz w:val="22"/>
      </w:rPr>
      <w:tcPr>
        <w:shd w:val="clear" w:color="eaf1dc" w:fill="eaf1dc"/>
      </w:tcPr>
    </w:tblStylePr>
    <w:tblStylePr w:type="band1Vert"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  <w:tblStylePr w:type="firstCol">
      <w:rPr>
        <w:b/>
        <w:color w:val="9abb59"/>
      </w:rPr>
    </w:tblStylePr>
    <w:tblStylePr w:type="firstRow">
      <w:rPr>
        <w:b/>
        <w:color w:val="9abb59"/>
      </w:r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</w:tblStylePr>
    <w:tblStylePr w:type="lastRow">
      <w:rPr>
        <w:b/>
        <w:color w:val="9abb59"/>
      </w:rPr>
    </w:tblStylePr>
  </w:style>
  <w:style w:type="table" w:styleId="762" w:customStyle="1">
    <w:name w:val="Grid Table 6 Colorful - Accent 4"/>
    <w:basedOn w:val="689"/>
    <w:uiPriority w:val="99"/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blStylePr w:type="band1Horz">
      <w:rPr>
        <w:rFonts w:ascii="Arial" w:hAnsi="Arial"/>
        <w:color w:val="b2a1c6"/>
        <w:sz w:val="22"/>
      </w:rPr>
      <w:tcPr>
        <w:shd w:val="clear" w:color="e5dfec" w:fill="e5dfec"/>
      </w:tcPr>
    </w:tblStylePr>
    <w:tblStylePr w:type="band1Vert"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b/>
        <w:color w:val="b2a1c6"/>
      </w:rPr>
    </w:tblStylePr>
    <w:tblStylePr w:type="firstRow">
      <w:rPr>
        <w:b/>
        <w:color w:val="b2a1c6"/>
      </w:r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</w:tblStylePr>
    <w:tblStylePr w:type="lastRow">
      <w:rPr>
        <w:b/>
        <w:color w:val="b2a1c6"/>
      </w:rPr>
    </w:tblStylePr>
  </w:style>
  <w:style w:type="table" w:styleId="763" w:customStyle="1">
    <w:name w:val="Grid Table 6 Colorful - Accent 5"/>
    <w:basedOn w:val="689"/>
    <w:uiPriority w:val="99"/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blStylePr w:type="band1Horz">
      <w:rPr>
        <w:rFonts w:ascii="Arial" w:hAnsi="Arial"/>
        <w:color w:val="266779"/>
        <w:sz w:val="22"/>
      </w:rPr>
      <w:tcPr>
        <w:shd w:val="clear" w:color="daeef3" w:fill="daeef3"/>
      </w:tcPr>
    </w:tblStylePr>
    <w:tblStylePr w:type="band1Vert"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  <w:tblStylePr w:type="firstCol">
      <w:rPr>
        <w:b/>
        <w:color w:val="266779"/>
      </w:rPr>
    </w:tblStylePr>
    <w:tblStylePr w:type="firstRow">
      <w:rPr>
        <w:b/>
        <w:color w:val="266779"/>
      </w:r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</w:tblStylePr>
    <w:tblStylePr w:type="lastRow">
      <w:rPr>
        <w:b/>
        <w:color w:val="266779"/>
      </w:rPr>
    </w:tblStylePr>
  </w:style>
  <w:style w:type="table" w:styleId="764" w:customStyle="1">
    <w:name w:val="Grid Table 6 Colorful - Accent 6"/>
    <w:basedOn w:val="689"/>
    <w:uiPriority w:val="99"/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blStylePr w:type="band1Horz">
      <w:rPr>
        <w:rFonts w:ascii="Arial" w:hAnsi="Arial"/>
        <w:color w:val="266779"/>
        <w:sz w:val="22"/>
      </w:rPr>
      <w:tcPr>
        <w:shd w:val="clear" w:color="fde9d8" w:fill="fde9d8"/>
      </w:tcPr>
    </w:tblStylePr>
    <w:tblStylePr w:type="band1Vert"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  <w:tblStylePr w:type="firstCol">
      <w:rPr>
        <w:b/>
        <w:color w:val="266779"/>
      </w:rPr>
    </w:tblStylePr>
    <w:tblStylePr w:type="firstRow">
      <w:rPr>
        <w:b/>
        <w:color w:val="266779"/>
      </w:r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</w:tblStylePr>
    <w:tblStylePr w:type="lastRow">
      <w:rPr>
        <w:b/>
        <w:color w:val="266779"/>
      </w:rPr>
    </w:tblStylePr>
  </w:style>
  <w:style w:type="table" w:styleId="765">
    <w:name w:val="Grid Table 7 Colorful"/>
    <w:basedOn w:val="689"/>
    <w:uiPriority w:val="99"/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blStylePr w:type="band1Horz">
      <w:rPr>
        <w:rFonts w:ascii="Arial" w:hAnsi="Arial"/>
        <w:color w:val="7f7f7f"/>
        <w:sz w:val="22"/>
      </w:rPr>
      <w:tcPr>
        <w:shd w:val="clear" w:color="f2f2f2" w:fill="f2f2f2"/>
      </w:tcPr>
    </w:tblStylePr>
    <w:tblStylePr w:type="band1Vert"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rFonts w:ascii="Arial" w:hAnsi="Arial"/>
        <w:i/>
        <w:color w:val="7f7f7f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/>
        <w:sz w:val="22"/>
      </w:r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7 Colorful - Accent 1"/>
    <w:basedOn w:val="689"/>
    <w:uiPriority w:val="99"/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blStylePr w:type="band1Horz">
      <w:rPr>
        <w:rFonts w:ascii="Arial" w:hAnsi="Arial"/>
        <w:color w:val="a6bfdd"/>
        <w:sz w:val="22"/>
      </w:rPr>
      <w:tcPr>
        <w:shd w:val="clear" w:color="dae5f1" w:fill="dae5f1"/>
      </w:tcPr>
    </w:tblStylePr>
    <w:tblStylePr w:type="band1Vert"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  <w:tblStylePr w:type="firstCol">
      <w:rPr>
        <w:rFonts w:ascii="Arial" w:hAnsi="Arial"/>
        <w:i/>
        <w:color w:val="a6bfdd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6BFD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/>
        <w:sz w:val="22"/>
      </w:rPr>
      <w:tcPr>
        <w:shd w:val="clear" w:color="ffffff" w:fill="auto"/>
        <w:tcBorders>
          <w:top w:val="none" w:color="000000" w:sz="4" w:space="0"/>
          <w:left w:val="single" w:color="A6BFD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/>
        <w:sz w:val="22"/>
      </w:rPr>
      <w:tcPr>
        <w:shd w:val="clear" w:color="ffffff" w:fill="ffffff"/>
        <w:tcBorders>
          <w:top w:val="single" w:color="A6BFD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7 Colorful - Accent 2"/>
    <w:basedOn w:val="689"/>
    <w:uiPriority w:val="99"/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blStylePr w:type="band1Horz">
      <w:rPr>
        <w:rFonts w:ascii="Arial" w:hAnsi="Arial"/>
        <w:color w:val="d99695"/>
        <w:sz w:val="22"/>
      </w:rPr>
      <w:tcPr>
        <w:shd w:val="clear" w:color="f2dcdc" w:fill="f2dcdc"/>
      </w:tcPr>
    </w:tblStylePr>
    <w:tblStylePr w:type="band1Vert"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rFonts w:ascii="Arial" w:hAnsi="Arial"/>
        <w:i/>
        <w:color w:val="d996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/>
        <w:sz w:val="22"/>
      </w:r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7 Colorful - Accent 3"/>
    <w:basedOn w:val="689"/>
    <w:uiPriority w:val="99"/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blStylePr w:type="band1Horz">
      <w:rPr>
        <w:rFonts w:ascii="Arial" w:hAnsi="Arial"/>
        <w:color w:val="9abb59"/>
        <w:sz w:val="22"/>
      </w:rPr>
      <w:tcPr>
        <w:shd w:val="clear" w:color="eaf1dc" w:fill="eaf1dc"/>
      </w:tcPr>
    </w:tblStylePr>
    <w:tblStylePr w:type="band1Vert"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  <w:tblStylePr w:type="firstCol">
      <w:rPr>
        <w:rFonts w:ascii="Arial" w:hAnsi="Arial"/>
        <w:i/>
        <w:color w:val="9abb5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/>
        <w:sz w:val="22"/>
      </w:rPr>
      <w:tcPr>
        <w:shd w:val="clear" w:color="ffffff" w:fill="auto"/>
        <w:tcBorders>
          <w:top w:val="none" w:color="000000" w:sz="4" w:space="0"/>
          <w:left w:val="single" w:color="9A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/>
        <w:sz w:val="22"/>
      </w:rPr>
      <w:tcPr>
        <w:shd w:val="clear" w:color="ffffff" w:fill="ffffff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7 Colorful - Accent 4"/>
    <w:basedOn w:val="689"/>
    <w:uiPriority w:val="99"/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blStylePr w:type="band1Horz">
      <w:rPr>
        <w:rFonts w:ascii="Arial" w:hAnsi="Arial"/>
        <w:color w:val="b2a1c6"/>
        <w:sz w:val="22"/>
      </w:rPr>
      <w:tcPr>
        <w:shd w:val="clear" w:color="e5dfec" w:fill="e5dfec"/>
      </w:tcPr>
    </w:tblStylePr>
    <w:tblStylePr w:type="band1Vert"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rFonts w:ascii="Arial" w:hAnsi="Arial"/>
        <w:i/>
        <w:color w:val="b2a1c6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/>
        <w:sz w:val="22"/>
      </w:r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5"/>
    <w:basedOn w:val="689"/>
    <w:uiPriority w:val="99"/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blStylePr w:type="band1Horz">
      <w:rPr>
        <w:rFonts w:ascii="Arial" w:hAnsi="Arial"/>
        <w:color w:val="266779"/>
        <w:sz w:val="22"/>
      </w:rPr>
      <w:tcPr>
        <w:shd w:val="clear" w:color="daeef3" w:fill="daeef3"/>
      </w:tcPr>
    </w:tblStylePr>
    <w:tblStylePr w:type="band1Vert"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  <w:tblStylePr w:type="firstCol">
      <w:rPr>
        <w:rFonts w:ascii="Arial" w:hAnsi="Arial"/>
        <w:i/>
        <w:color w:val="26677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/>
        <w:sz w:val="22"/>
      </w:rPr>
      <w:tcPr>
        <w:shd w:val="clear" w:color="ffffff" w:fill="auto"/>
        <w:tcBorders>
          <w:top w:val="none" w:color="000000" w:sz="4" w:space="0"/>
          <w:left w:val="single" w:color="99D0D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/>
        <w:sz w:val="22"/>
      </w:rPr>
      <w:tcPr>
        <w:shd w:val="clear" w:color="ffffff" w:fill="ffffff"/>
        <w:tcBorders>
          <w:top w:val="single" w:color="99D0D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6"/>
    <w:basedOn w:val="689"/>
    <w:uiPriority w:val="99"/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blStylePr w:type="band1Horz">
      <w:rPr>
        <w:rFonts w:ascii="Arial" w:hAnsi="Arial"/>
        <w:color w:val="b15407"/>
        <w:sz w:val="22"/>
      </w:rPr>
      <w:tcPr>
        <w:shd w:val="clear" w:color="fde9d8" w:fill="fde9d8"/>
      </w:tcPr>
    </w:tblStylePr>
    <w:tblStylePr w:type="band1Vert"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  <w:tblStylePr w:type="firstCol">
      <w:rPr>
        <w:rFonts w:ascii="Arial" w:hAnsi="Arial"/>
        <w:i/>
        <w:color w:val="b15407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/>
        <w:sz w:val="22"/>
      </w:rPr>
      <w:tcPr>
        <w:shd w:val="clear" w:color="ffffff" w:fill="auto"/>
        <w:tcBorders>
          <w:top w:val="none" w:color="000000" w:sz="4" w:space="0"/>
          <w:left w:val="single" w:color="FAC39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/>
        <w:sz w:val="22"/>
      </w:rPr>
      <w:tcPr>
        <w:shd w:val="clear" w:color="ffffff" w:fill="ffffff"/>
        <w:tcBorders>
          <w:top w:val="single" w:color="FAC39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"/>
    <w:basedOn w:val="689"/>
    <w:uiPriority w:val="99"/>
    <w:tblPr>
      <w:tblStyleRowBandSize w:val="1"/>
      <w:tblStyleColBandSize w:val="1"/>
    </w:tblPr>
    <w:tblStylePr w:type="band1Horz"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1"/>
    <w:basedOn w:val="689"/>
    <w:uiPriority w:val="99"/>
    <w:tblPr>
      <w:tblStyleRowBandSize w:val="1"/>
      <w:tblStyleColBandSize w:val="1"/>
    </w:tblPr>
    <w:tblStylePr w:type="band1Horz">
      <w:tcPr>
        <w:shd w:val="clear" w:color="d2dfee" w:fill="d2dfee"/>
      </w:tcPr>
    </w:tblStylePr>
    <w:tblStylePr w:type="band1Vert">
      <w:tcPr>
        <w:shd w:val="clear" w:color="d2dfee" w:fill="d2dfee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2"/>
    <w:basedOn w:val="689"/>
    <w:uiPriority w:val="99"/>
    <w:tblPr>
      <w:tblStyleRowBandSize w:val="1"/>
      <w:tblStyleColBandSize w:val="1"/>
    </w:tblPr>
    <w:tblStylePr w:type="band1Horz">
      <w:tcPr>
        <w:shd w:val="clear" w:color="efd2d2" w:fill="efd2d2"/>
      </w:tcPr>
    </w:tblStylePr>
    <w:tblStylePr w:type="band1Vert">
      <w:tcPr>
        <w:shd w:val="clear" w:color="efd2d2" w:fill="efd2d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3"/>
    <w:basedOn w:val="689"/>
    <w:uiPriority w:val="99"/>
    <w:tblPr>
      <w:tblStyleRowBandSize w:val="1"/>
      <w:tblStyleColBandSize w:val="1"/>
    </w:tblPr>
    <w:tblStylePr w:type="band1Horz">
      <w:tcPr>
        <w:shd w:val="clear" w:color="e5eed5" w:fill="e5eed5"/>
      </w:tcPr>
    </w:tblStylePr>
    <w:tblStylePr w:type="band1Vert">
      <w:tcPr>
        <w:shd w:val="clear" w:color="e5eed5" w:fill="e5eed5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4"/>
    <w:basedOn w:val="689"/>
    <w:uiPriority w:val="99"/>
    <w:tblPr>
      <w:tblStyleRowBandSize w:val="1"/>
      <w:tblStyleColBandSize w:val="1"/>
    </w:tblPr>
    <w:tblStylePr w:type="band1Horz">
      <w:tcPr>
        <w:shd w:val="clear" w:color="dfd8e7" w:fill="dfd8e7"/>
      </w:tcPr>
    </w:tblStylePr>
    <w:tblStylePr w:type="band1Vert">
      <w:tcPr>
        <w:shd w:val="clear" w:color="dfd8e7" w:fill="dfd8e7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5"/>
    <w:basedOn w:val="689"/>
    <w:uiPriority w:val="99"/>
    <w:tblPr>
      <w:tblStyleRowBandSize w:val="1"/>
      <w:tblStyleColBandSize w:val="1"/>
    </w:tblPr>
    <w:tblStylePr w:type="band1Horz">
      <w:tcPr>
        <w:shd w:val="clear" w:color="d1eaf0" w:fill="d1eaf0"/>
      </w:tcPr>
    </w:tblStylePr>
    <w:tblStylePr w:type="band1Vert">
      <w:tcPr>
        <w:shd w:val="clear" w:color="d1eaf0" w:fill="d1eaf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6"/>
    <w:basedOn w:val="689"/>
    <w:uiPriority w:val="99"/>
    <w:tblPr>
      <w:tblStyleRowBandSize w:val="1"/>
      <w:tblStyleColBandSize w:val="1"/>
    </w:tblPr>
    <w:tblStylePr w:type="band1Horz">
      <w:tcPr>
        <w:shd w:val="clear" w:color="fde4d0" w:fill="fde4d0"/>
      </w:tcPr>
    </w:tblStylePr>
    <w:tblStylePr w:type="band1Vert">
      <w:tcPr>
        <w:shd w:val="clear" w:color="fde4d0" w:fill="fde4d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2"/>
    <w:basedOn w:val="689"/>
    <w:uiPriority w:val="99"/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</w:style>
  <w:style w:type="table" w:styleId="780" w:customStyle="1">
    <w:name w:val="List Table 2 - Accent 1"/>
    <w:basedOn w:val="689"/>
    <w:uiPriority w:val="99"/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</w:style>
  <w:style w:type="table" w:styleId="781" w:customStyle="1">
    <w:name w:val="List Table 2 - Accent 2"/>
    <w:basedOn w:val="689"/>
    <w:uiPriority w:val="99"/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</w:style>
  <w:style w:type="table" w:styleId="782" w:customStyle="1">
    <w:name w:val="List Table 2 - Accent 3"/>
    <w:basedOn w:val="689"/>
    <w:uiPriority w:val="99"/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</w:style>
  <w:style w:type="table" w:styleId="783" w:customStyle="1">
    <w:name w:val="List Table 2 - Accent 4"/>
    <w:basedOn w:val="689"/>
    <w:uiPriority w:val="99"/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</w:style>
  <w:style w:type="table" w:styleId="784" w:customStyle="1">
    <w:name w:val="List Table 2 - Accent 5"/>
    <w:basedOn w:val="689"/>
    <w:uiPriority w:val="99"/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</w:style>
  <w:style w:type="table" w:styleId="785" w:customStyle="1">
    <w:name w:val="List Table 2 - Accent 6"/>
    <w:basedOn w:val="689"/>
    <w:uiPriority w:val="99"/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</w:style>
  <w:style w:type="table" w:styleId="786">
    <w:name w:val="List Table 3"/>
    <w:basedOn w:val="689"/>
    <w:uiPriority w:val="99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1"/>
    <w:basedOn w:val="689"/>
    <w:uiPriority w:val="99"/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/>
          <w:right w:val="single" w:color="4F81BD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2"/>
    <w:basedOn w:val="689"/>
    <w:uiPriority w:val="99"/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/>
          <w:right w:val="single" w:color="D9969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d9969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3"/>
    <w:basedOn w:val="689"/>
    <w:uiPriority w:val="99"/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/>
          <w:right w:val="single" w:color="C3D69B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fill="c3d69b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4"/>
    <w:basedOn w:val="689"/>
    <w:uiPriority w:val="99"/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/>
          <w:right w:val="single" w:color="B2A1C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b2a1c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5"/>
    <w:basedOn w:val="689"/>
    <w:uiPriority w:val="99"/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/>
          <w:right w:val="single" w:color="92CCDC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fill="92ccdc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6"/>
    <w:basedOn w:val="689"/>
    <w:uiPriority w:val="99"/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/>
          <w:right w:val="single" w:color="FAC09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fill="fac09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"/>
    <w:basedOn w:val="689"/>
    <w:uiPriority w:val="99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1"/>
    <w:basedOn w:val="689"/>
    <w:uiPriority w:val="99"/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2"/>
    <w:basedOn w:val="689"/>
    <w:uiPriority w:val="99"/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3"/>
    <w:basedOn w:val="689"/>
    <w:uiPriority w:val="99"/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4"/>
    <w:basedOn w:val="689"/>
    <w:uiPriority w:val="99"/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5"/>
    <w:basedOn w:val="689"/>
    <w:uiPriority w:val="99"/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6"/>
    <w:basedOn w:val="689"/>
    <w:uiPriority w:val="99"/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5 Dark"/>
    <w:basedOn w:val="689"/>
    <w:uiPriority w:val="99"/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</w:tblPr>
    <w:tblStylePr w:type="band1Horz"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01" w:customStyle="1">
    <w:name w:val="List Table 5 Dark - Accent 1"/>
    <w:basedOn w:val="689"/>
    <w:uiPriority w:val="99"/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</w:tblPr>
    <w:tblStylePr w:type="band1Horz"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02" w:customStyle="1">
    <w:name w:val="List Table 5 Dark - Accent 2"/>
    <w:basedOn w:val="689"/>
    <w:uiPriority w:val="99"/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</w:tblPr>
    <w:tblStylePr w:type="band1Horz"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03" w:customStyle="1">
    <w:name w:val="List Table 5 Dark - Accent 3"/>
    <w:basedOn w:val="689"/>
    <w:uiPriority w:val="99"/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</w:tblPr>
    <w:tblStylePr w:type="band1Horz"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04" w:customStyle="1">
    <w:name w:val="List Table 5 Dark - Accent 4"/>
    <w:basedOn w:val="689"/>
    <w:uiPriority w:val="99"/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</w:tblPr>
    <w:tblStylePr w:type="band1Horz"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05" w:customStyle="1">
    <w:name w:val="List Table 5 Dark - Accent 5"/>
    <w:basedOn w:val="689"/>
    <w:uiPriority w:val="99"/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</w:tblPr>
    <w:tblStylePr w:type="band1Horz"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06" w:customStyle="1">
    <w:name w:val="List Table 5 Dark - Accent 6"/>
    <w:basedOn w:val="689"/>
    <w:uiPriority w:val="99"/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</w:tblPr>
    <w:tblStylePr w:type="band1Horz"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07">
    <w:name w:val="List Table 6 Colorful"/>
    <w:basedOn w:val="689"/>
    <w:uiPriority w:val="99"/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blStylePr w:type="band1Horz">
      <w:rPr>
        <w:rFonts w:ascii="Arial" w:hAnsi="Arial"/>
        <w:color w:val="000000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  <w:tblStylePr w:type="firstCol">
      <w:rPr>
        <w:b/>
        <w:color w:val="000000"/>
      </w:rPr>
    </w:tblStylePr>
    <w:tblStylePr w:type="firstRow">
      <w:rPr>
        <w:b/>
        <w:color w:val="000000"/>
      </w:r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</w:tblStylePr>
    <w:tblStylePr w:type="lastRow">
      <w:rPr>
        <w:b/>
        <w:color w:val="000000"/>
      </w:rPr>
      <w:tcPr>
        <w:tcBorders>
          <w:top w:val="single" w:color="7F7F7F" w:sz="4" w:space="0"/>
        </w:tcBorders>
      </w:tcPr>
    </w:tblStylePr>
  </w:style>
  <w:style w:type="table" w:styleId="808" w:customStyle="1">
    <w:name w:val="List Table 6 Colorful - Accent 1"/>
    <w:basedOn w:val="689"/>
    <w:uiPriority w:val="99"/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blStylePr w:type="band1Horz">
      <w:rPr>
        <w:rFonts w:ascii="Arial" w:hAnsi="Arial"/>
        <w:color w:val="2a4a71"/>
        <w:sz w:val="22"/>
      </w:rPr>
      <w:tcPr>
        <w:shd w:val="clear" w:color="d2dfee" w:fill="d2dfee"/>
      </w:tcPr>
    </w:tblStylePr>
    <w:tblStylePr w:type="band1Vert"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  <w:tblStylePr w:type="firstCol">
      <w:rPr>
        <w:b/>
        <w:color w:val="2a4a71"/>
      </w:rPr>
    </w:tblStylePr>
    <w:tblStylePr w:type="firstRow">
      <w:rPr>
        <w:b/>
        <w:color w:val="2a4a71"/>
      </w:r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</w:tblStylePr>
    <w:tblStylePr w:type="lastRow">
      <w:rPr>
        <w:b/>
        <w:color w:val="2a4a71"/>
      </w:rPr>
      <w:tcPr>
        <w:tcBorders>
          <w:top w:val="single" w:color="4F81BD" w:sz="4" w:space="0"/>
        </w:tcBorders>
      </w:tcPr>
    </w:tblStylePr>
  </w:style>
  <w:style w:type="table" w:styleId="809" w:customStyle="1">
    <w:name w:val="List Table 6 Colorful - Accent 2"/>
    <w:basedOn w:val="689"/>
    <w:uiPriority w:val="99"/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blStylePr w:type="band1Horz">
      <w:rPr>
        <w:rFonts w:ascii="Arial" w:hAnsi="Arial"/>
        <w:color w:val="d99695"/>
        <w:sz w:val="22"/>
      </w:rPr>
      <w:tcPr>
        <w:shd w:val="clear" w:color="efd2d2" w:fill="efd2d2"/>
      </w:tcPr>
    </w:tblStylePr>
    <w:tblStylePr w:type="band1Vert"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b/>
        <w:color w:val="d99695"/>
      </w:rPr>
    </w:tblStylePr>
    <w:tblStylePr w:type="firstRow">
      <w:rPr>
        <w:b/>
        <w:color w:val="d99695"/>
      </w:r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</w:tblStylePr>
    <w:tblStylePr w:type="lastRow">
      <w:rPr>
        <w:b/>
        <w:color w:val="d99695"/>
      </w:rPr>
      <w:tcPr>
        <w:tcBorders>
          <w:top w:val="single" w:color="D99695" w:sz="4" w:space="0"/>
        </w:tcBorders>
      </w:tcPr>
    </w:tblStylePr>
  </w:style>
  <w:style w:type="table" w:styleId="810" w:customStyle="1">
    <w:name w:val="List Table 6 Colorful - Accent 3"/>
    <w:basedOn w:val="689"/>
    <w:uiPriority w:val="99"/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blStylePr w:type="band1Horz">
      <w:rPr>
        <w:rFonts w:ascii="Arial" w:hAnsi="Arial"/>
        <w:color w:val="c3d69b"/>
        <w:sz w:val="22"/>
      </w:rPr>
      <w:tcPr>
        <w:shd w:val="clear" w:color="e5eed5" w:fill="e5eed5"/>
      </w:tcPr>
    </w:tblStylePr>
    <w:tblStylePr w:type="band1Vert"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  <w:tblStylePr w:type="firstCol">
      <w:rPr>
        <w:b/>
        <w:color w:val="c3d69b"/>
      </w:rPr>
    </w:tblStylePr>
    <w:tblStylePr w:type="firstRow">
      <w:rPr>
        <w:b/>
        <w:color w:val="c3d69b"/>
      </w:r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</w:tblStylePr>
    <w:tblStylePr w:type="lastRow">
      <w:rPr>
        <w:b/>
        <w:color w:val="c3d69b"/>
      </w:rPr>
      <w:tcPr>
        <w:tcBorders>
          <w:top w:val="single" w:color="C3D69B" w:sz="4" w:space="0"/>
        </w:tcBorders>
      </w:tcPr>
    </w:tblStylePr>
  </w:style>
  <w:style w:type="table" w:styleId="811" w:customStyle="1">
    <w:name w:val="List Table 6 Colorful - Accent 4"/>
    <w:basedOn w:val="689"/>
    <w:uiPriority w:val="99"/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blStylePr w:type="band1Horz">
      <w:rPr>
        <w:rFonts w:ascii="Arial" w:hAnsi="Arial"/>
        <w:color w:val="b2a1c6"/>
        <w:sz w:val="22"/>
      </w:rPr>
      <w:tcPr>
        <w:shd w:val="clear" w:color="dfd8e7" w:fill="dfd8e7"/>
      </w:tcPr>
    </w:tblStylePr>
    <w:tblStylePr w:type="band1Vert"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b/>
        <w:color w:val="b2a1c6"/>
      </w:rPr>
    </w:tblStylePr>
    <w:tblStylePr w:type="firstRow">
      <w:rPr>
        <w:b/>
        <w:color w:val="b2a1c6"/>
      </w:r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</w:tblStylePr>
    <w:tblStylePr w:type="lastRow">
      <w:rPr>
        <w:b/>
        <w:color w:val="b2a1c6"/>
      </w:rPr>
      <w:tcPr>
        <w:tcBorders>
          <w:top w:val="single" w:color="B2A1C6" w:sz="4" w:space="0"/>
        </w:tcBorders>
      </w:tcPr>
    </w:tblStylePr>
  </w:style>
  <w:style w:type="table" w:styleId="812" w:customStyle="1">
    <w:name w:val="List Table 6 Colorful - Accent 5"/>
    <w:basedOn w:val="689"/>
    <w:uiPriority w:val="99"/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blStylePr w:type="band1Horz">
      <w:rPr>
        <w:rFonts w:ascii="Arial" w:hAnsi="Arial"/>
        <w:color w:val="92ccdc"/>
        <w:sz w:val="22"/>
      </w:rPr>
      <w:tcPr>
        <w:shd w:val="clear" w:color="d1eaf0" w:fill="d1eaf0"/>
      </w:tcPr>
    </w:tblStylePr>
    <w:tblStylePr w:type="band1Vert"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  <w:tblStylePr w:type="firstCol">
      <w:rPr>
        <w:b/>
        <w:color w:val="92ccdc"/>
      </w:rPr>
    </w:tblStylePr>
    <w:tblStylePr w:type="firstRow">
      <w:rPr>
        <w:b/>
        <w:color w:val="92ccdc"/>
      </w:r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</w:tblStylePr>
    <w:tblStylePr w:type="lastRow">
      <w:rPr>
        <w:b/>
        <w:color w:val="92ccdc"/>
      </w:rPr>
      <w:tcPr>
        <w:tcBorders>
          <w:top w:val="single" w:color="92CCDC" w:sz="4" w:space="0"/>
        </w:tcBorders>
      </w:tcPr>
    </w:tblStylePr>
  </w:style>
  <w:style w:type="table" w:styleId="813" w:customStyle="1">
    <w:name w:val="List Table 6 Colorful - Accent 6"/>
    <w:basedOn w:val="689"/>
    <w:uiPriority w:val="99"/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blStylePr w:type="band1Horz">
      <w:rPr>
        <w:rFonts w:ascii="Arial" w:hAnsi="Arial"/>
        <w:color w:val="fac090"/>
        <w:sz w:val="22"/>
      </w:rPr>
      <w:tcPr>
        <w:shd w:val="clear" w:color="fde4d0" w:fill="fde4d0"/>
      </w:tcPr>
    </w:tblStylePr>
    <w:tblStylePr w:type="band1Vert"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  <w:tblStylePr w:type="firstCol">
      <w:rPr>
        <w:b/>
        <w:color w:val="fac090"/>
      </w:rPr>
    </w:tblStylePr>
    <w:tblStylePr w:type="firstRow">
      <w:rPr>
        <w:b/>
        <w:color w:val="fac090"/>
      </w:r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</w:tblStylePr>
    <w:tblStylePr w:type="lastRow">
      <w:rPr>
        <w:b/>
        <w:color w:val="fac090"/>
      </w:rPr>
      <w:tcPr>
        <w:tcBorders>
          <w:top w:val="single" w:color="FAC090" w:sz="4" w:space="0"/>
        </w:tcBorders>
      </w:tcPr>
    </w:tblStylePr>
  </w:style>
  <w:style w:type="table" w:styleId="814">
    <w:name w:val="List Table 7 Colorful"/>
    <w:basedOn w:val="689"/>
    <w:uiPriority w:val="99"/>
    <w:tblPr>
      <w:tblStyleRowBandSize w:val="1"/>
      <w:tblStyleColBandSize w:val="1"/>
      <w:tblBorders>
        <w:right w:val="single" w:color="7F7F7F" w:sz="4" w:space="0"/>
      </w:tblBorders>
    </w:tblPr>
    <w:tblStylePr w:type="band1Horz">
      <w:rPr>
        <w:rFonts w:ascii="Arial" w:hAnsi="Arial"/>
        <w:color w:val="7f7f7f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rFonts w:ascii="Arial" w:hAnsi="Arial"/>
        <w:i/>
        <w:color w:val="7f7f7f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/>
        <w:sz w:val="22"/>
      </w:r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7 Colorful - Accent 1"/>
    <w:basedOn w:val="689"/>
    <w:uiPriority w:val="99"/>
    <w:tblPr>
      <w:tblStyleRowBandSize w:val="1"/>
      <w:tblStyleColBandSize w:val="1"/>
      <w:tblBorders>
        <w:right w:val="single" w:color="4F81BD" w:sz="4" w:space="0"/>
      </w:tblBorders>
    </w:tblPr>
    <w:tblStylePr w:type="band1Horz">
      <w:rPr>
        <w:rFonts w:ascii="Arial" w:hAnsi="Arial"/>
        <w:color w:val="2a4a71"/>
        <w:sz w:val="22"/>
      </w:rPr>
      <w:tcPr>
        <w:shd w:val="clear" w:color="d2dfee" w:fill="d2dfee"/>
      </w:tcPr>
    </w:tblStylePr>
    <w:tblStylePr w:type="band1Vert"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  <w:tblStylePr w:type="firstCol">
      <w:rPr>
        <w:rFonts w:ascii="Arial" w:hAnsi="Arial"/>
        <w:i/>
        <w:color w:val="2a4a71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/>
        <w:sz w:val="22"/>
      </w:r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/>
        <w:sz w:val="22"/>
      </w:r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7 Colorful - Accent 2"/>
    <w:basedOn w:val="689"/>
    <w:uiPriority w:val="99"/>
    <w:tblPr>
      <w:tblStyleRowBandSize w:val="1"/>
      <w:tblStyleColBandSize w:val="1"/>
      <w:tblBorders>
        <w:right w:val="single" w:color="D99695" w:sz="4" w:space="0"/>
      </w:tblBorders>
    </w:tblPr>
    <w:tblStylePr w:type="band1Horz">
      <w:rPr>
        <w:rFonts w:ascii="Arial" w:hAnsi="Arial"/>
        <w:color w:val="d99695"/>
        <w:sz w:val="22"/>
      </w:rPr>
      <w:tcPr>
        <w:shd w:val="clear" w:color="efd2d2" w:fill="efd2d2"/>
      </w:tcPr>
    </w:tblStylePr>
    <w:tblStylePr w:type="band1Vert"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rFonts w:ascii="Arial" w:hAnsi="Arial"/>
        <w:i/>
        <w:color w:val="d996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/>
        <w:sz w:val="22"/>
      </w:r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7 Colorful - Accent 3"/>
    <w:basedOn w:val="689"/>
    <w:uiPriority w:val="99"/>
    <w:tblPr>
      <w:tblStyleRowBandSize w:val="1"/>
      <w:tblStyleColBandSize w:val="1"/>
      <w:tblBorders>
        <w:right w:val="single" w:color="C3D69B" w:sz="4" w:space="0"/>
      </w:tblBorders>
    </w:tblPr>
    <w:tblStylePr w:type="band1Horz">
      <w:rPr>
        <w:rFonts w:ascii="Arial" w:hAnsi="Arial"/>
        <w:color w:val="c3d69b"/>
        <w:sz w:val="22"/>
      </w:rPr>
      <w:tcPr>
        <w:shd w:val="clear" w:color="e5eed5" w:fill="e5eed5"/>
      </w:tcPr>
    </w:tblStylePr>
    <w:tblStylePr w:type="band1Vert"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  <w:tblStylePr w:type="firstCol">
      <w:rPr>
        <w:rFonts w:ascii="Arial" w:hAnsi="Arial"/>
        <w:i/>
        <w:color w:val="c3d69b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3D69B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/>
        <w:sz w:val="22"/>
      </w:rPr>
      <w:tcPr>
        <w:shd w:val="clear" w:color="ffffff" w:fill="auto"/>
        <w:tcBorders>
          <w:top w:val="none" w:color="000000" w:sz="4" w:space="0"/>
          <w:left w:val="single" w:color="C3D69B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/>
        <w:sz w:val="22"/>
      </w:rPr>
      <w:tcPr>
        <w:shd w:val="clear" w:color="ffffff" w:fill="ffffff"/>
        <w:tcBorders>
          <w:top w:val="single" w:color="C3D69B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7 Colorful - Accent 4"/>
    <w:basedOn w:val="689"/>
    <w:uiPriority w:val="99"/>
    <w:tblPr>
      <w:tblStyleRowBandSize w:val="1"/>
      <w:tblStyleColBandSize w:val="1"/>
      <w:tblBorders>
        <w:right w:val="single" w:color="B2A1C6" w:sz="4" w:space="0"/>
      </w:tblBorders>
    </w:tblPr>
    <w:tblStylePr w:type="band1Horz">
      <w:rPr>
        <w:rFonts w:ascii="Arial" w:hAnsi="Arial"/>
        <w:color w:val="b2a1c6"/>
        <w:sz w:val="22"/>
      </w:rPr>
      <w:tcPr>
        <w:shd w:val="clear" w:color="dfd8e7" w:fill="dfd8e7"/>
      </w:tcPr>
    </w:tblStylePr>
    <w:tblStylePr w:type="band1Vert"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rFonts w:ascii="Arial" w:hAnsi="Arial"/>
        <w:i/>
        <w:color w:val="b2a1c6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/>
        <w:sz w:val="22"/>
      </w:r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5"/>
    <w:basedOn w:val="689"/>
    <w:uiPriority w:val="99"/>
    <w:tblPr>
      <w:tblStyleRowBandSize w:val="1"/>
      <w:tblStyleColBandSize w:val="1"/>
      <w:tblBorders>
        <w:right w:val="single" w:color="92CCDC" w:sz="4" w:space="0"/>
      </w:tblBorders>
    </w:tblPr>
    <w:tblStylePr w:type="band1Horz">
      <w:rPr>
        <w:rFonts w:ascii="Arial" w:hAnsi="Arial"/>
        <w:color w:val="92ccdc"/>
        <w:sz w:val="22"/>
      </w:rPr>
      <w:tcPr>
        <w:shd w:val="clear" w:color="d1eaf0" w:fill="d1eaf0"/>
      </w:tcPr>
    </w:tblStylePr>
    <w:tblStylePr w:type="band1Vert"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  <w:tblStylePr w:type="firstCol">
      <w:rPr>
        <w:rFonts w:ascii="Arial" w:hAnsi="Arial"/>
        <w:i/>
        <w:color w:val="92ccdc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2CCDC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/>
        <w:sz w:val="22"/>
      </w:rPr>
      <w:tcPr>
        <w:shd w:val="clear" w:color="ffffff" w:fill="auto"/>
        <w:tcBorders>
          <w:top w:val="none" w:color="000000" w:sz="4" w:space="0"/>
          <w:left w:val="single" w:color="92CCDC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/>
        <w:sz w:val="22"/>
      </w:rPr>
      <w:tcPr>
        <w:shd w:val="clear" w:color="ffffff" w:fill="ffffff"/>
        <w:tcBorders>
          <w:top w:val="single" w:color="92CCDC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6"/>
    <w:basedOn w:val="689"/>
    <w:uiPriority w:val="99"/>
    <w:tblPr>
      <w:tblStyleRowBandSize w:val="1"/>
      <w:tblStyleColBandSize w:val="1"/>
      <w:tblBorders>
        <w:right w:val="single" w:color="FAC090" w:sz="4" w:space="0"/>
      </w:tblBorders>
    </w:tblPr>
    <w:tblStylePr w:type="band1Horz">
      <w:rPr>
        <w:rFonts w:ascii="Arial" w:hAnsi="Arial"/>
        <w:color w:val="fac090"/>
        <w:sz w:val="22"/>
      </w:rPr>
      <w:tcPr>
        <w:shd w:val="clear" w:color="fde4d0" w:fill="fde4d0"/>
      </w:tcPr>
    </w:tblStylePr>
    <w:tblStylePr w:type="band1Vert"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  <w:tblStylePr w:type="firstCol">
      <w:rPr>
        <w:rFonts w:ascii="Arial" w:hAnsi="Arial"/>
        <w:i/>
        <w:color w:val="fac09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0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/>
        <w:sz w:val="22"/>
      </w:rPr>
      <w:tcPr>
        <w:shd w:val="clear" w:color="ffffff" w:fill="auto"/>
        <w:tcBorders>
          <w:top w:val="none" w:color="000000" w:sz="4" w:space="0"/>
          <w:left w:val="single" w:color="FAC0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/>
        <w:sz w:val="22"/>
      </w:rPr>
      <w:tcPr>
        <w:shd w:val="clear" w:color="ffffff" w:fill="ffffff"/>
        <w:tcBorders>
          <w:top w:val="single" w:color="FAC0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ned - Accent"/>
    <w:basedOn w:val="68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/>
      </w:tcPr>
    </w:tblStylePr>
  </w:style>
  <w:style w:type="table" w:styleId="822" w:customStyle="1">
    <w:name w:val="Lined - Accent 1"/>
    <w:basedOn w:val="68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ac2"/>
      </w:tcPr>
    </w:tblStylePr>
  </w:style>
  <w:style w:type="table" w:styleId="823" w:customStyle="1">
    <w:name w:val="Lined - Accent 2"/>
    <w:basedOn w:val="68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695"/>
      </w:tcPr>
    </w:tblStylePr>
  </w:style>
  <w:style w:type="table" w:styleId="824" w:customStyle="1">
    <w:name w:val="Lined - Accent 3"/>
    <w:basedOn w:val="68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abb59"/>
      </w:tcPr>
    </w:tblStylePr>
  </w:style>
  <w:style w:type="table" w:styleId="825" w:customStyle="1">
    <w:name w:val="Lined - Accent 4"/>
    <w:basedOn w:val="68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/>
      </w:tcPr>
    </w:tblStylePr>
  </w:style>
  <w:style w:type="table" w:styleId="826" w:customStyle="1">
    <w:name w:val="Lined - Accent 5"/>
    <w:basedOn w:val="68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/>
      </w:tcPr>
    </w:tblStylePr>
  </w:style>
  <w:style w:type="table" w:styleId="827" w:customStyle="1">
    <w:name w:val="Lined - Accent 6"/>
    <w:basedOn w:val="68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/>
      </w:tcPr>
    </w:tblStylePr>
  </w:style>
  <w:style w:type="table" w:styleId="828" w:customStyle="1">
    <w:name w:val="Bordered &amp; Lined - Accent"/>
    <w:basedOn w:val="689"/>
    <w:uiPriority w:val="99"/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/>
      </w:tcPr>
    </w:tblStylePr>
  </w:style>
  <w:style w:type="table" w:styleId="829" w:customStyle="1">
    <w:name w:val="Bordered &amp; Lined - Accent 1"/>
    <w:basedOn w:val="689"/>
    <w:uiPriority w:val="99"/>
    <w:rPr>
      <w:color w:val="40404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ac2"/>
      </w:tcPr>
    </w:tblStylePr>
  </w:style>
  <w:style w:type="table" w:styleId="830" w:customStyle="1">
    <w:name w:val="Bordered &amp; Lined - Accent 2"/>
    <w:basedOn w:val="689"/>
    <w:uiPriority w:val="99"/>
    <w:rPr>
      <w:color w:val="40404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695"/>
      </w:tcPr>
    </w:tblStylePr>
  </w:style>
  <w:style w:type="table" w:styleId="831" w:customStyle="1">
    <w:name w:val="Bordered &amp; Lined - Accent 3"/>
    <w:basedOn w:val="689"/>
    <w:uiPriority w:val="99"/>
    <w:rPr>
      <w:color w:val="40404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abb59"/>
      </w:tcPr>
    </w:tblStylePr>
  </w:style>
  <w:style w:type="table" w:styleId="832" w:customStyle="1">
    <w:name w:val="Bordered &amp; Lined - Accent 4"/>
    <w:basedOn w:val="689"/>
    <w:uiPriority w:val="99"/>
    <w:rPr>
      <w:color w:val="40404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/>
      </w:tcPr>
    </w:tblStylePr>
  </w:style>
  <w:style w:type="table" w:styleId="833" w:customStyle="1">
    <w:name w:val="Bordered &amp; Lined - Accent 5"/>
    <w:basedOn w:val="689"/>
    <w:uiPriority w:val="99"/>
    <w:rPr>
      <w:color w:val="40404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/>
      </w:tcPr>
    </w:tblStylePr>
  </w:style>
  <w:style w:type="table" w:styleId="834" w:customStyle="1">
    <w:name w:val="Bordered &amp; Lined - Accent 6"/>
    <w:basedOn w:val="689"/>
    <w:uiPriority w:val="99"/>
    <w:rPr>
      <w:color w:val="40404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/>
      </w:tcPr>
    </w:tblStylePr>
  </w:style>
  <w:style w:type="table" w:styleId="835" w:customStyle="1">
    <w:name w:val="Bordered"/>
    <w:basedOn w:val="689"/>
    <w:uiPriority w:val="99"/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836" w:customStyle="1">
    <w:name w:val="Bordered - Accent 1"/>
    <w:basedOn w:val="689"/>
    <w:uiPriority w:val="99"/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837" w:customStyle="1">
    <w:name w:val="Bordered - Accent 2"/>
    <w:basedOn w:val="689"/>
    <w:uiPriority w:val="99"/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/>
        </w:tcBorders>
      </w:tcPr>
    </w:tblStylePr>
  </w:style>
  <w:style w:type="table" w:styleId="838" w:customStyle="1">
    <w:name w:val="Bordered - Accent 3"/>
    <w:basedOn w:val="689"/>
    <w:uiPriority w:val="99"/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/>
        </w:tcBorders>
      </w:tcPr>
    </w:tblStylePr>
  </w:style>
  <w:style w:type="table" w:styleId="839" w:customStyle="1">
    <w:name w:val="Bordered - Accent 4"/>
    <w:basedOn w:val="689"/>
    <w:uiPriority w:val="99"/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/>
        </w:tcBorders>
      </w:tcPr>
    </w:tblStylePr>
  </w:style>
  <w:style w:type="table" w:styleId="840" w:customStyle="1">
    <w:name w:val="Bordered - Accent 5"/>
    <w:basedOn w:val="689"/>
    <w:uiPriority w:val="99"/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/>
        </w:tcBorders>
      </w:tcPr>
    </w:tblStylePr>
  </w:style>
  <w:style w:type="table" w:styleId="841" w:customStyle="1">
    <w:name w:val="Bordered - Accent 6"/>
    <w:basedOn w:val="689"/>
    <w:uiPriority w:val="99"/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/>
        </w:tcBorders>
      </w:tcPr>
    </w:tblStylePr>
  </w:style>
  <w:style w:type="character" w:styleId="842">
    <w:name w:val="Hyperlink"/>
    <w:uiPriority w:val="99"/>
    <w:unhideWhenUsed/>
    <w:rPr>
      <w:color w:val="0000ff"/>
      <w:u w:val="single"/>
    </w:rPr>
  </w:style>
  <w:style w:type="paragraph" w:styleId="843">
    <w:name w:val="footnote text"/>
    <w:basedOn w:val="678"/>
    <w:link w:val="844"/>
    <w:uiPriority w:val="99"/>
    <w:semiHidden/>
    <w:unhideWhenUsed/>
    <w:pPr>
      <w:spacing w:after="40"/>
    </w:pPr>
    <w:rPr>
      <w:sz w:val="18"/>
    </w:rPr>
  </w:style>
  <w:style w:type="character" w:styleId="844" w:customStyle="1">
    <w:name w:val="Текст сноски Знак"/>
    <w:link w:val="843"/>
    <w:uiPriority w:val="99"/>
    <w:rPr>
      <w:sz w:val="18"/>
    </w:rPr>
  </w:style>
  <w:style w:type="character" w:styleId="845">
    <w:name w:val="footnote reference"/>
    <w:uiPriority w:val="99"/>
    <w:unhideWhenUsed/>
    <w:rPr>
      <w:vertAlign w:val="superscript"/>
    </w:rPr>
  </w:style>
  <w:style w:type="paragraph" w:styleId="846">
    <w:name w:val="endnote text"/>
    <w:basedOn w:val="678"/>
    <w:link w:val="847"/>
    <w:uiPriority w:val="99"/>
    <w:semiHidden/>
    <w:unhideWhenUsed/>
    <w:rPr>
      <w:sz w:val="20"/>
    </w:rPr>
  </w:style>
  <w:style w:type="character" w:styleId="847" w:customStyle="1">
    <w:name w:val="Текст концевой сноски Знак"/>
    <w:link w:val="846"/>
    <w:uiPriority w:val="99"/>
    <w:rPr>
      <w:sz w:val="20"/>
    </w:rPr>
  </w:style>
  <w:style w:type="character" w:styleId="848">
    <w:name w:val="endnote reference"/>
    <w:link w:val="894"/>
    <w:uiPriority w:val="99"/>
    <w:semiHidden/>
    <w:unhideWhenUsed/>
    <w:rPr>
      <w:vertAlign w:val="superscript"/>
    </w:rPr>
  </w:style>
  <w:style w:type="paragraph" w:styleId="849">
    <w:name w:val="toc 1"/>
    <w:basedOn w:val="678"/>
    <w:next w:val="678"/>
    <w:uiPriority w:val="39"/>
    <w:unhideWhenUsed/>
    <w:pPr>
      <w:spacing w:after="57"/>
    </w:pPr>
  </w:style>
  <w:style w:type="paragraph" w:styleId="850">
    <w:name w:val="toc 2"/>
    <w:basedOn w:val="678"/>
    <w:next w:val="678"/>
    <w:uiPriority w:val="39"/>
    <w:unhideWhenUsed/>
    <w:pPr>
      <w:ind w:left="283"/>
      <w:spacing w:after="57"/>
    </w:pPr>
  </w:style>
  <w:style w:type="paragraph" w:styleId="851">
    <w:name w:val="toc 3"/>
    <w:basedOn w:val="678"/>
    <w:next w:val="678"/>
    <w:uiPriority w:val="39"/>
    <w:unhideWhenUsed/>
    <w:pPr>
      <w:ind w:left="567"/>
      <w:spacing w:after="57"/>
    </w:pPr>
  </w:style>
  <w:style w:type="paragraph" w:styleId="852">
    <w:name w:val="toc 4"/>
    <w:basedOn w:val="678"/>
    <w:next w:val="678"/>
    <w:uiPriority w:val="39"/>
    <w:unhideWhenUsed/>
    <w:pPr>
      <w:ind w:left="850"/>
      <w:spacing w:after="57"/>
    </w:pPr>
  </w:style>
  <w:style w:type="paragraph" w:styleId="853">
    <w:name w:val="toc 5"/>
    <w:basedOn w:val="678"/>
    <w:next w:val="678"/>
    <w:uiPriority w:val="39"/>
    <w:unhideWhenUsed/>
    <w:pPr>
      <w:ind w:left="1134"/>
      <w:spacing w:after="57"/>
    </w:pPr>
  </w:style>
  <w:style w:type="paragraph" w:styleId="854">
    <w:name w:val="toc 6"/>
    <w:basedOn w:val="678"/>
    <w:next w:val="678"/>
    <w:uiPriority w:val="39"/>
    <w:unhideWhenUsed/>
    <w:pPr>
      <w:ind w:left="1417"/>
      <w:spacing w:after="57"/>
    </w:pPr>
  </w:style>
  <w:style w:type="paragraph" w:styleId="855">
    <w:name w:val="toc 7"/>
    <w:basedOn w:val="678"/>
    <w:next w:val="678"/>
    <w:uiPriority w:val="39"/>
    <w:unhideWhenUsed/>
    <w:pPr>
      <w:ind w:left="1701"/>
      <w:spacing w:after="57"/>
    </w:pPr>
  </w:style>
  <w:style w:type="paragraph" w:styleId="856">
    <w:name w:val="toc 8"/>
    <w:basedOn w:val="678"/>
    <w:next w:val="678"/>
    <w:uiPriority w:val="39"/>
    <w:unhideWhenUsed/>
    <w:pPr>
      <w:ind w:left="1984"/>
      <w:spacing w:after="57"/>
    </w:pPr>
  </w:style>
  <w:style w:type="paragraph" w:styleId="857">
    <w:name w:val="toc 9"/>
    <w:basedOn w:val="678"/>
    <w:next w:val="678"/>
    <w:uiPriority w:val="39"/>
    <w:unhideWhenUsed/>
    <w:pPr>
      <w:ind w:left="2268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678"/>
    <w:next w:val="678"/>
    <w:uiPriority w:val="99"/>
    <w:unhideWhenUsed/>
  </w:style>
  <w:style w:type="character" w:styleId="860" w:customStyle="1">
    <w:name w:val="WW8Num1z0"/>
  </w:style>
  <w:style w:type="character" w:styleId="861" w:customStyle="1">
    <w:name w:val="WW8Num1z1"/>
  </w:style>
  <w:style w:type="character" w:styleId="862" w:customStyle="1">
    <w:name w:val="WW8Num1z2"/>
  </w:style>
  <w:style w:type="character" w:styleId="863" w:customStyle="1">
    <w:name w:val="WW8Num1z3"/>
  </w:style>
  <w:style w:type="character" w:styleId="864" w:customStyle="1">
    <w:name w:val="WW8Num1z4"/>
  </w:style>
  <w:style w:type="character" w:styleId="865" w:customStyle="1">
    <w:name w:val="WW8Num1z5"/>
  </w:style>
  <w:style w:type="character" w:styleId="866" w:customStyle="1">
    <w:name w:val="WW8Num1z6"/>
  </w:style>
  <w:style w:type="character" w:styleId="867" w:customStyle="1">
    <w:name w:val="WW8Num1z7"/>
  </w:style>
  <w:style w:type="character" w:styleId="868" w:customStyle="1">
    <w:name w:val="WW8Num1z8"/>
  </w:style>
  <w:style w:type="character" w:styleId="869" w:customStyle="1">
    <w:name w:val="WW8Num2z0"/>
  </w:style>
  <w:style w:type="character" w:styleId="870" w:customStyle="1">
    <w:name w:val="WW8Num2z1"/>
  </w:style>
  <w:style w:type="character" w:styleId="871" w:customStyle="1">
    <w:name w:val="WW8Num2z2"/>
  </w:style>
  <w:style w:type="character" w:styleId="872" w:customStyle="1">
    <w:name w:val="WW8Num2z3"/>
  </w:style>
  <w:style w:type="character" w:styleId="873" w:customStyle="1">
    <w:name w:val="WW8Num2z4"/>
  </w:style>
  <w:style w:type="character" w:styleId="874" w:customStyle="1">
    <w:name w:val="WW8Num2z5"/>
  </w:style>
  <w:style w:type="character" w:styleId="875" w:customStyle="1">
    <w:name w:val="WW8Num2z6"/>
  </w:style>
  <w:style w:type="character" w:styleId="876" w:customStyle="1">
    <w:name w:val="WW8Num2z7"/>
  </w:style>
  <w:style w:type="character" w:styleId="877" w:customStyle="1">
    <w:name w:val="WW8Num2z8"/>
  </w:style>
  <w:style w:type="character" w:styleId="878" w:customStyle="1">
    <w:name w:val="Символ нумерации"/>
  </w:style>
  <w:style w:type="paragraph" w:styleId="879">
    <w:name w:val="Body Text"/>
    <w:basedOn w:val="678"/>
    <w:pPr>
      <w:spacing w:after="140" w:line="288" w:lineRule="auto"/>
    </w:pPr>
  </w:style>
  <w:style w:type="paragraph" w:styleId="880">
    <w:name w:val="List"/>
    <w:basedOn w:val="879"/>
  </w:style>
  <w:style w:type="paragraph" w:styleId="881" w:customStyle="1">
    <w:name w:val="Название"/>
    <w:basedOn w:val="678"/>
    <w:pPr>
      <w:spacing w:before="120" w:after="120"/>
      <w:suppressLineNumbers/>
    </w:pPr>
    <w:rPr>
      <w:i/>
      <w:iCs/>
    </w:rPr>
  </w:style>
  <w:style w:type="paragraph" w:styleId="882">
    <w:name w:val="index heading"/>
    <w:basedOn w:val="678"/>
    <w:pPr>
      <w:suppressLineNumbers/>
    </w:pPr>
  </w:style>
  <w:style w:type="paragraph" w:styleId="883" w:customStyle="1">
    <w:name w:val="Содержимое таблицы"/>
    <w:basedOn w:val="678"/>
    <w:pPr>
      <w:suppressLineNumbers/>
    </w:pPr>
  </w:style>
  <w:style w:type="paragraph" w:styleId="884" w:customStyle="1">
    <w:name w:val="Заголовок таблицы"/>
    <w:basedOn w:val="883"/>
    <w:pPr>
      <w:jc w:val="center"/>
    </w:pPr>
    <w:rPr>
      <w:b/>
      <w:bCs/>
    </w:rPr>
  </w:style>
  <w:style w:type="paragraph" w:styleId="885" w:customStyle="1">
    <w:name w:val="Ñîäåðæèìîå òàáëèöû"/>
    <w:basedOn w:val="678"/>
    <w:rPr>
      <w:rFonts w:ascii="Times New Roman" w:hAnsi="Times New Roman"/>
    </w:rPr>
  </w:style>
  <w:style w:type="paragraph" w:styleId="886" w:customStyle="1">
    <w:name w:val="Çàãîëîâîê òàáëèöû"/>
    <w:basedOn w:val="885"/>
    <w:pPr>
      <w:jc w:val="center"/>
    </w:pPr>
    <w:rPr>
      <w:b/>
      <w:bCs/>
    </w:rPr>
  </w:style>
  <w:style w:type="paragraph" w:styleId="887" w:customStyle="1">
    <w:name w:val="Îñíîâíîé òåêñò"/>
    <w:basedOn w:val="678"/>
    <w:pPr>
      <w:spacing w:after="120"/>
    </w:pPr>
    <w:rPr>
      <w:rFonts w:ascii="Times New Roman" w:hAnsi="Times New Roman"/>
    </w:rPr>
  </w:style>
  <w:style w:type="paragraph" w:styleId="888" w:customStyle="1">
    <w:name w:val="Ñïèñîê"/>
    <w:basedOn w:val="887"/>
    <w:rPr>
      <w:rFonts w:eastAsia="Arial"/>
    </w:rPr>
  </w:style>
  <w:style w:type="paragraph" w:styleId="889" w:customStyle="1">
    <w:name w:val="Íàçâàíèå"/>
    <w:basedOn w:val="678"/>
    <w:pPr>
      <w:spacing w:before="120" w:after="120"/>
    </w:pPr>
    <w:rPr>
      <w:rFonts w:ascii="Times New Roman" w:hAnsi="Times New Roman" w:eastAsia="Arial"/>
      <w:i/>
      <w:iCs/>
    </w:rPr>
  </w:style>
  <w:style w:type="paragraph" w:styleId="890" w:customStyle="1">
    <w:name w:val="Óêàçàòåëü"/>
    <w:basedOn w:val="678"/>
    <w:rPr>
      <w:rFonts w:ascii="Times New Roman" w:hAnsi="Times New Roman" w:eastAsia="Arial"/>
    </w:rPr>
  </w:style>
  <w:style w:type="paragraph" w:styleId="891" w:customStyle="1">
    <w:name w:val="Обычный (веб)"/>
    <w:basedOn w:val="678"/>
    <w:pPr>
      <w:spacing w:before="280" w:after="280"/>
    </w:pPr>
  </w:style>
  <w:style w:type="paragraph" w:styleId="892" w:customStyle="1">
    <w:name w:val="Standard"/>
    <w:pPr>
      <w:spacing w:after="200" w:line="276" w:lineRule="auto"/>
    </w:pPr>
    <w:rPr>
      <w:rFonts w:ascii="Calibri" w:hAnsi="Calibri" w:cs="F"/>
      <w:color w:val="00000a"/>
      <w:sz w:val="22"/>
      <w:szCs w:val="22"/>
      <w:lang w:eastAsia="zh-CN"/>
    </w:rPr>
  </w:style>
  <w:style w:type="character" w:styleId="893" w:customStyle="1">
    <w:name w:val="Normal text"/>
    <w:rPr>
      <w:sz w:val="20"/>
    </w:rPr>
  </w:style>
  <w:style w:type="paragraph" w:styleId="894" w:customStyle="1">
    <w:name w:val="Без интервала1"/>
    <w:link w:val="848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hAnsi="Calibri" w:eastAsia="Calibri" w:cs="Calibri"/>
      <w:sz w:val="22"/>
      <w:szCs w:val="22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consultantplus://offline/ref=0BF27D08722344FF2B1CD748AF9EC02323B9600BAB2C398E46106B2AF66662A9F49BC72EF0AE5649A39F0391B2C160AA5FB447FA722BE726r8v5J" TargetMode="External"/><Relationship Id="rId10" Type="http://schemas.openxmlformats.org/officeDocument/2006/relationships/hyperlink" Target="consultantplus://offline/ref=728EF677774E84B639076035FA074EE84AE2375990BD93192442198873513672060670795BE7CE480EB8F0A1917508E12F457947BA598402c0D6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u003</cp:lastModifiedBy>
  <cp:revision>70</cp:revision>
  <dcterms:created xsi:type="dcterms:W3CDTF">2019-06-20T07:46:00Z</dcterms:created>
  <dcterms:modified xsi:type="dcterms:W3CDTF">2026-08-11T09:00:12Z</dcterms:modified>
</cp:coreProperties>
</file>