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8C6A99" w:rsidRPr="008C6A99">
        <w:t>261771703244077170100100010380000244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B13C3C" w:rsidRPr="00426031">
        <w:rPr>
          <w:rFonts w:eastAsia="Calibri"/>
        </w:rPr>
        <w:t xml:space="preserve">Поставка </w:t>
      </w:r>
      <w:r w:rsidR="008C6A99">
        <w:rPr>
          <w:rFonts w:eastAsia="Calibri"/>
        </w:rPr>
        <w:t>огнетушителей и подставок под огнетушители</w:t>
      </w:r>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2.4. Цена Контракта включает в себя: стоимость Товара, расходы, связанные с доставкой, разгрузкой - погрузкой, сборкой (при необходимости),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w:t>
      </w:r>
      <w:r>
        <w:lastRenderedPageBreak/>
        <w:t>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8"/>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1"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1"/>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lastRenderedPageBreak/>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bookmarkStart w:id="2" w:name="_GoBack"/>
      <w:bookmarkEnd w:id="2"/>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8C6A99" w:rsidRDefault="008C6A99">
      <w:pPr>
        <w:spacing w:line="240" w:lineRule="exact"/>
        <w:jc w:val="center"/>
        <w:rPr>
          <w:b/>
        </w:rPr>
      </w:pPr>
    </w:p>
    <w:p w:rsidR="008C6A99" w:rsidRPr="008C6A99" w:rsidRDefault="008C6A99" w:rsidP="008C6A99">
      <w:pPr>
        <w:spacing w:line="240" w:lineRule="exact"/>
        <w:jc w:val="center"/>
        <w:rPr>
          <w:b/>
        </w:rPr>
      </w:pPr>
      <w:r w:rsidRPr="008C6A99">
        <w:rPr>
          <w:b/>
        </w:rPr>
        <w:t>Функциональные, технические и качественные характеристики,</w:t>
      </w:r>
    </w:p>
    <w:p w:rsidR="008C6A99" w:rsidRPr="008C6A99" w:rsidRDefault="008C6A99" w:rsidP="008C6A99">
      <w:pPr>
        <w:spacing w:line="240" w:lineRule="exact"/>
        <w:jc w:val="center"/>
        <w:rPr>
          <w:b/>
        </w:rPr>
      </w:pPr>
      <w:r w:rsidRPr="008C6A99">
        <w:rPr>
          <w:b/>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8C6A99" w:rsidRDefault="008C6A99" w:rsidP="008C6A99">
      <w:pPr>
        <w:spacing w:line="240" w:lineRule="exact"/>
        <w:jc w:val="center"/>
        <w:rPr>
          <w:b/>
        </w:rPr>
      </w:pPr>
      <w:r w:rsidRPr="008C6A99">
        <w:rPr>
          <w:b/>
        </w:rPr>
        <w:t>которые не могут изменяться</w:t>
      </w:r>
    </w:p>
    <w:p w:rsidR="0049554E" w:rsidRDefault="0049554E">
      <w:pPr>
        <w:pStyle w:val="af1"/>
        <w:spacing w:line="240" w:lineRule="exact"/>
        <w:ind w:left="0"/>
        <w:rPr>
          <w:b/>
        </w:rPr>
      </w:pPr>
    </w:p>
    <w:tbl>
      <w:tblPr>
        <w:tblStyle w:val="100"/>
        <w:tblW w:w="10682" w:type="dxa"/>
        <w:tblLayout w:type="fixed"/>
        <w:tblLook w:val="04A0" w:firstRow="1" w:lastRow="0" w:firstColumn="1" w:lastColumn="0" w:noHBand="0" w:noVBand="1"/>
      </w:tblPr>
      <w:tblGrid>
        <w:gridCol w:w="919"/>
        <w:gridCol w:w="5105"/>
        <w:gridCol w:w="3610"/>
        <w:gridCol w:w="1048"/>
      </w:tblGrid>
      <w:tr w:rsidR="008C6A99" w:rsidRPr="008C6A99" w:rsidTr="001A0958">
        <w:tc>
          <w:tcPr>
            <w:tcW w:w="919" w:type="dxa"/>
          </w:tcPr>
          <w:p w:rsidR="008C6A99" w:rsidRPr="008C6A99" w:rsidRDefault="008C6A99" w:rsidP="008C6A99">
            <w:pPr>
              <w:jc w:val="center"/>
              <w:rPr>
                <w:b/>
                <w:bCs/>
                <w:color w:val="000000"/>
              </w:rPr>
            </w:pPr>
            <w:bookmarkStart w:id="3" w:name="_Hlk198633921"/>
            <w:r w:rsidRPr="008C6A99">
              <w:rPr>
                <w:b/>
                <w:kern w:val="28"/>
              </w:rPr>
              <w:t>№ п/п</w:t>
            </w:r>
          </w:p>
        </w:tc>
        <w:tc>
          <w:tcPr>
            <w:tcW w:w="5105" w:type="dxa"/>
          </w:tcPr>
          <w:p w:rsidR="008C6A99" w:rsidRPr="008C6A99" w:rsidRDefault="008C6A99" w:rsidP="008C6A99">
            <w:pPr>
              <w:jc w:val="center"/>
              <w:rPr>
                <w:b/>
                <w:bCs/>
                <w:color w:val="000000"/>
              </w:rPr>
            </w:pPr>
            <w:r w:rsidRPr="008C6A99">
              <w:rPr>
                <w:rFonts w:eastAsia="Calibri"/>
                <w:b/>
              </w:rPr>
              <w:t>Наименование товара, его показателей (характеристик), потребительских свойств</w:t>
            </w:r>
          </w:p>
        </w:tc>
        <w:tc>
          <w:tcPr>
            <w:tcW w:w="3610" w:type="dxa"/>
          </w:tcPr>
          <w:p w:rsidR="008C6A99" w:rsidRPr="008C6A99" w:rsidRDefault="008C6A99" w:rsidP="008C6A99">
            <w:pPr>
              <w:jc w:val="center"/>
              <w:rPr>
                <w:b/>
                <w:bCs/>
                <w:color w:val="000000"/>
              </w:rPr>
            </w:pPr>
            <w:r w:rsidRPr="008C6A99">
              <w:rPr>
                <w:rFonts w:eastAsia="Calibri"/>
                <w:b/>
              </w:rPr>
              <w:t>Значение показателя (характеристики)</w:t>
            </w:r>
          </w:p>
        </w:tc>
        <w:tc>
          <w:tcPr>
            <w:tcW w:w="1048" w:type="dxa"/>
          </w:tcPr>
          <w:p w:rsidR="008C6A99" w:rsidRPr="008C6A99" w:rsidRDefault="008C6A99" w:rsidP="008C6A99">
            <w:pPr>
              <w:jc w:val="center"/>
              <w:rPr>
                <w:b/>
                <w:bCs/>
                <w:color w:val="000000"/>
              </w:rPr>
            </w:pPr>
            <w:r w:rsidRPr="008C6A99">
              <w:rPr>
                <w:b/>
                <w:bCs/>
                <w:color w:val="000000"/>
              </w:rPr>
              <w:t>Количество</w:t>
            </w:r>
          </w:p>
        </w:tc>
      </w:tr>
      <w:tr w:rsidR="008C6A99" w:rsidRPr="008C6A99" w:rsidTr="001A0958">
        <w:trPr>
          <w:trHeight w:val="90"/>
        </w:trPr>
        <w:tc>
          <w:tcPr>
            <w:tcW w:w="10682" w:type="dxa"/>
            <w:gridSpan w:val="4"/>
            <w:vAlign w:val="center"/>
          </w:tcPr>
          <w:p w:rsidR="008C6A99" w:rsidRPr="008C6A99" w:rsidRDefault="008C6A99" w:rsidP="008C6A99">
            <w:pPr>
              <w:autoSpaceDE w:val="0"/>
              <w:autoSpaceDN w:val="0"/>
              <w:adjustRightInd w:val="0"/>
              <w:spacing w:line="240" w:lineRule="exact"/>
              <w:rPr>
                <w:rFonts w:eastAsia="Calibri"/>
                <w:b/>
                <w:bCs/>
                <w:lang w:eastAsia="en-US"/>
              </w:rPr>
            </w:pPr>
          </w:p>
        </w:tc>
      </w:tr>
      <w:tr w:rsidR="008C6A99" w:rsidRPr="008C6A99" w:rsidTr="001A0958">
        <w:trPr>
          <w:trHeight w:val="370"/>
        </w:trPr>
        <w:tc>
          <w:tcPr>
            <w:tcW w:w="919" w:type="dxa"/>
          </w:tcPr>
          <w:p w:rsidR="008C6A99" w:rsidRPr="008C6A99" w:rsidRDefault="008C6A99" w:rsidP="008C6A99">
            <w:r w:rsidRPr="008C6A99">
              <w:rPr>
                <w:b/>
                <w:bCs/>
              </w:rPr>
              <w:t>1</w:t>
            </w:r>
          </w:p>
        </w:tc>
        <w:tc>
          <w:tcPr>
            <w:tcW w:w="5105" w:type="dxa"/>
          </w:tcPr>
          <w:p w:rsidR="008C6A99" w:rsidRPr="008C6A99" w:rsidRDefault="008C6A99" w:rsidP="008C6A99">
            <w:pPr>
              <w:autoSpaceDE w:val="0"/>
              <w:autoSpaceDN w:val="0"/>
              <w:adjustRightInd w:val="0"/>
              <w:rPr>
                <w:rFonts w:eastAsia="SimSun"/>
                <w:color w:val="000000" w:themeColor="text1"/>
                <w:lang w:eastAsia="zh-CN"/>
              </w:rPr>
            </w:pPr>
            <w:r w:rsidRPr="008C6A99">
              <w:rPr>
                <w:rFonts w:eastAsia="Roboto"/>
                <w:b/>
                <w:bCs/>
                <w:color w:val="000000" w:themeColor="text1"/>
                <w:shd w:val="clear" w:color="auto" w:fill="FFFFFF"/>
                <w:lang w:eastAsia="zh-CN" w:bidi="ar"/>
              </w:rPr>
              <w:t xml:space="preserve">Огнетушитель </w:t>
            </w:r>
          </w:p>
        </w:tc>
        <w:tc>
          <w:tcPr>
            <w:tcW w:w="3610" w:type="dxa"/>
          </w:tcPr>
          <w:p w:rsidR="008C6A99" w:rsidRPr="008C6A99" w:rsidRDefault="008C6A99" w:rsidP="008C6A99">
            <w:r w:rsidRPr="008C6A99">
              <w:rPr>
                <w:noProof/>
              </w:rPr>
              <mc:AlternateContent>
                <mc:Choice Requires="wps">
                  <w:drawing>
                    <wp:inline distT="0" distB="0" distL="0" distR="0" wp14:anchorId="3B5351AB" wp14:editId="0670D522">
                      <wp:extent cx="304800" cy="304800"/>
                      <wp:effectExtent l="0" t="0" r="0" b="0"/>
                      <wp:docPr id="1" name="Прямоугольник 1" descr="https://mk-27.ru/upload/resize_cache/iblock/53c/1920_1024_1/5fbsxabozs8x9mh9e1yljczvaujg4lpd.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983DF6" id="Прямоугольник 1" o:spid="_x0000_s1026" alt="https://mk-27.ru/upload/resize_cache/iblock/53c/1920_1024_1/5fbsxabozs8x9mh9e1yljczvaujg4lpd.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llzgsKgMAADIGAAAO&#10;AAAAAAAAAAAAAAAAAC4CAABkcnMvZTJvRG9jLnhtbFBLAQItABQABgAIAAAAIQBMoOks2AAAAAMB&#10;AAAPAAAAAAAAAAAAAAAAAIQFAABkcnMvZG93bnJldi54bWxQSwUGAAAAAAQABADzAAAAiQYAAAAA&#10;" filled="f" stroked="f">
                      <o:lock v:ext="edit" aspectratio="t"/>
                      <w10:anchorlock/>
                    </v:rect>
                  </w:pict>
                </mc:Fallback>
              </mc:AlternateContent>
            </w:r>
            <w:r w:rsidRPr="008C6A99">
              <w:rPr>
                <w:noProof/>
              </w:rPr>
              <w:drawing>
                <wp:inline distT="0" distB="0" distL="0" distR="0">
                  <wp:extent cx="1670050" cy="1987550"/>
                  <wp:effectExtent l="0" t="0" r="6350" b="0"/>
                  <wp:docPr id="3" name="Рисунок 3" descr="Огнетушитель оу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гнетушитель оу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0050" cy="1987550"/>
                          </a:xfrm>
                          <a:prstGeom prst="rect">
                            <a:avLst/>
                          </a:prstGeom>
                          <a:noFill/>
                          <a:ln>
                            <a:noFill/>
                          </a:ln>
                        </pic:spPr>
                      </pic:pic>
                    </a:graphicData>
                  </a:graphic>
                </wp:inline>
              </w:drawing>
            </w:r>
          </w:p>
        </w:tc>
        <w:tc>
          <w:tcPr>
            <w:tcW w:w="1048" w:type="dxa"/>
          </w:tcPr>
          <w:p w:rsidR="008C6A99" w:rsidRPr="008C6A99" w:rsidRDefault="008C6A99" w:rsidP="008C6A99">
            <w:pPr>
              <w:jc w:val="center"/>
            </w:pPr>
            <w:r w:rsidRPr="008C6A99">
              <w:t>12</w:t>
            </w:r>
          </w:p>
        </w:tc>
      </w:tr>
      <w:tr w:rsidR="008C6A99" w:rsidRPr="008C6A99" w:rsidTr="001A0958">
        <w:trPr>
          <w:trHeight w:val="370"/>
        </w:trPr>
        <w:tc>
          <w:tcPr>
            <w:tcW w:w="919" w:type="dxa"/>
          </w:tcPr>
          <w:p w:rsidR="008C6A99" w:rsidRPr="008C6A99" w:rsidRDefault="008C6A99" w:rsidP="008C6A99">
            <w:r w:rsidRPr="008C6A99">
              <w:t>1.1</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 xml:space="preserve">Код позиции КТРУ 28.29.22.110-00000014 </w:t>
            </w:r>
          </w:p>
        </w:tc>
        <w:tc>
          <w:tcPr>
            <w:tcW w:w="3610" w:type="dxa"/>
          </w:tcPr>
          <w:p w:rsidR="008C6A99" w:rsidRPr="008C6A99" w:rsidRDefault="008C6A99" w:rsidP="008C6A99">
            <w:pPr>
              <w:rPr>
                <w:color w:val="000000" w:themeColor="text1"/>
                <w:sz w:val="26"/>
                <w:szCs w:val="26"/>
              </w:rPr>
            </w:pPr>
          </w:p>
        </w:tc>
        <w:tc>
          <w:tcPr>
            <w:tcW w:w="1048" w:type="dxa"/>
          </w:tcPr>
          <w:p w:rsidR="008C6A99" w:rsidRPr="008C6A99" w:rsidRDefault="008C6A99" w:rsidP="008C6A99"/>
        </w:tc>
      </w:tr>
      <w:bookmarkEnd w:id="3"/>
      <w:tr w:rsidR="008C6A99" w:rsidRPr="008C6A99" w:rsidTr="001A0958">
        <w:trPr>
          <w:trHeight w:val="370"/>
        </w:trPr>
        <w:tc>
          <w:tcPr>
            <w:tcW w:w="919" w:type="dxa"/>
          </w:tcPr>
          <w:p w:rsidR="008C6A99" w:rsidRPr="008C6A99" w:rsidRDefault="008C6A99" w:rsidP="008C6A99">
            <w:r w:rsidRPr="008C6A99">
              <w:t>1.2</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 xml:space="preserve">Величина рабочего давления, </w:t>
            </w:r>
            <w:proofErr w:type="spellStart"/>
            <w:r w:rsidRPr="008C6A99">
              <w:rPr>
                <w:color w:val="000000" w:themeColor="text1"/>
                <w:sz w:val="26"/>
                <w:szCs w:val="26"/>
              </w:rPr>
              <w:t>Мегапаскаль</w:t>
            </w:r>
            <w:proofErr w:type="spellEnd"/>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&gt; 2.5</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1.3</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Вид (по типу огнетушащего вещества)</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Газовый углекислотный (ОУ)</w:t>
            </w:r>
          </w:p>
        </w:tc>
        <w:tc>
          <w:tcPr>
            <w:tcW w:w="1048" w:type="dxa"/>
          </w:tcPr>
          <w:p w:rsidR="008C6A99" w:rsidRPr="008C6A99" w:rsidRDefault="008C6A99" w:rsidP="008C6A99">
            <w:r w:rsidRPr="008C6A99">
              <w:t>Огнетушитель ОУ-5</w:t>
            </w:r>
          </w:p>
        </w:tc>
      </w:tr>
      <w:tr w:rsidR="008C6A99" w:rsidRPr="008C6A99" w:rsidTr="001A0958">
        <w:trPr>
          <w:trHeight w:val="370"/>
        </w:trPr>
        <w:tc>
          <w:tcPr>
            <w:tcW w:w="919" w:type="dxa"/>
          </w:tcPr>
          <w:p w:rsidR="008C6A99" w:rsidRPr="008C6A99" w:rsidRDefault="008C6A99" w:rsidP="008C6A99">
            <w:r w:rsidRPr="008C6A99">
              <w:t>1.4</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Тип по принципу создания избыточного давления газа</w:t>
            </w:r>
          </w:p>
        </w:tc>
        <w:tc>
          <w:tcPr>
            <w:tcW w:w="3610" w:type="dxa"/>
          </w:tcPr>
          <w:p w:rsidR="008C6A99" w:rsidRPr="008C6A99" w:rsidRDefault="008C6A99" w:rsidP="008C6A99">
            <w:pPr>
              <w:rPr>
                <w:color w:val="000000" w:themeColor="text1"/>
                <w:sz w:val="26"/>
                <w:szCs w:val="26"/>
              </w:rPr>
            </w:pPr>
            <w:proofErr w:type="spellStart"/>
            <w:r w:rsidRPr="008C6A99">
              <w:rPr>
                <w:color w:val="000000" w:themeColor="text1"/>
                <w:sz w:val="26"/>
                <w:szCs w:val="26"/>
              </w:rPr>
              <w:t>Закачной</w:t>
            </w:r>
            <w:proofErr w:type="spellEnd"/>
            <w:r w:rsidRPr="008C6A99">
              <w:rPr>
                <w:color w:val="000000" w:themeColor="text1"/>
                <w:sz w:val="26"/>
                <w:szCs w:val="26"/>
              </w:rPr>
              <w:t xml:space="preserve"> (з)</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1.5</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Возможность перезарядки</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Перезаряжаемый</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1.6</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Длина струи ОТВ, метр</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 3</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1.7</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Минимальная температура эксплуатации</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 -40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1.8</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Назначение по классу пожара</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В, С, Е.</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1.9</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Номинальная масса огнетушащего вещества, кг</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 xml:space="preserve">&gt; </w:t>
            </w:r>
            <w:proofErr w:type="gramStart"/>
            <w:r w:rsidRPr="008C6A99">
              <w:rPr>
                <w:color w:val="000000" w:themeColor="text1"/>
                <w:sz w:val="26"/>
                <w:szCs w:val="26"/>
              </w:rPr>
              <w:t>3  и</w:t>
            </w:r>
            <w:proofErr w:type="gramEnd"/>
            <w:r w:rsidRPr="008C6A99">
              <w:rPr>
                <w:color w:val="000000" w:themeColor="text1"/>
                <w:sz w:val="26"/>
                <w:szCs w:val="26"/>
              </w:rPr>
              <w:t>  ≤ 5</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1.10</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Максимальное рабочее напряжение электрооборудования, подлежащего тушению, вольт</w:t>
            </w: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 10000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1.11</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color w:val="000000" w:themeColor="text1"/>
                <w:sz w:val="26"/>
                <w:szCs w:val="26"/>
              </w:rPr>
              <w:t>Тип</w:t>
            </w:r>
            <w:r w:rsidRPr="008C6A99">
              <w:rPr>
                <w:color w:val="000000" w:themeColor="text1"/>
                <w:sz w:val="26"/>
                <w:szCs w:val="26"/>
              </w:rPr>
              <w:br/>
            </w:r>
          </w:p>
          <w:p w:rsidR="008C6A99" w:rsidRPr="008C6A99" w:rsidRDefault="008C6A99" w:rsidP="008C6A99">
            <w:pPr>
              <w:shd w:val="clear" w:color="auto" w:fill="FFFFFF"/>
              <w:autoSpaceDE w:val="0"/>
              <w:autoSpaceDN w:val="0"/>
              <w:adjustRightInd w:val="0"/>
              <w:textAlignment w:val="baseline"/>
              <w:rPr>
                <w:color w:val="000000" w:themeColor="text1"/>
                <w:sz w:val="26"/>
                <w:szCs w:val="26"/>
              </w:rPr>
            </w:pPr>
          </w:p>
          <w:p w:rsidR="008C6A99" w:rsidRPr="008C6A99" w:rsidRDefault="008C6A99" w:rsidP="008C6A99">
            <w:pPr>
              <w:shd w:val="clear" w:color="auto" w:fill="FFFFFF"/>
              <w:autoSpaceDE w:val="0"/>
              <w:autoSpaceDN w:val="0"/>
              <w:adjustRightInd w:val="0"/>
              <w:textAlignment w:val="baseline"/>
              <w:rPr>
                <w:color w:val="000000" w:themeColor="text1"/>
                <w:sz w:val="26"/>
                <w:szCs w:val="26"/>
              </w:rPr>
            </w:pPr>
          </w:p>
        </w:tc>
        <w:tc>
          <w:tcPr>
            <w:tcW w:w="3610" w:type="dxa"/>
          </w:tcPr>
          <w:p w:rsidR="008C6A99" w:rsidRPr="008C6A99" w:rsidRDefault="008C6A99" w:rsidP="008C6A99">
            <w:pPr>
              <w:rPr>
                <w:color w:val="000000" w:themeColor="text1"/>
                <w:sz w:val="26"/>
                <w:szCs w:val="26"/>
              </w:rPr>
            </w:pPr>
            <w:r w:rsidRPr="008C6A99">
              <w:rPr>
                <w:color w:val="000000" w:themeColor="text1"/>
                <w:sz w:val="26"/>
                <w:szCs w:val="26"/>
              </w:rPr>
              <w:t>переносной</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pPr>
              <w:autoSpaceDE w:val="0"/>
              <w:autoSpaceDN w:val="0"/>
              <w:adjustRightInd w:val="0"/>
            </w:pPr>
            <w:r w:rsidRPr="008C6A99">
              <w:rPr>
                <w:rFonts w:eastAsia="Roboto"/>
                <w:b/>
                <w:bCs/>
                <w:color w:val="000000" w:themeColor="text1"/>
                <w:shd w:val="clear" w:color="auto" w:fill="FFFFFF"/>
                <w:lang w:eastAsia="zh-CN" w:bidi="ar"/>
              </w:rPr>
              <w:lastRenderedPageBreak/>
              <w:t>2</w:t>
            </w:r>
          </w:p>
        </w:tc>
        <w:tc>
          <w:tcPr>
            <w:tcW w:w="5105" w:type="dxa"/>
          </w:tcPr>
          <w:p w:rsidR="008C6A99" w:rsidRPr="008C6A99" w:rsidRDefault="008C6A99" w:rsidP="008C6A99">
            <w:pPr>
              <w:autoSpaceDE w:val="0"/>
              <w:autoSpaceDN w:val="0"/>
              <w:adjustRightInd w:val="0"/>
              <w:rPr>
                <w:color w:val="000000" w:themeColor="text1"/>
                <w:sz w:val="26"/>
                <w:szCs w:val="26"/>
              </w:rPr>
            </w:pPr>
            <w:r w:rsidRPr="008C6A99">
              <w:rPr>
                <w:rFonts w:eastAsia="Roboto"/>
                <w:b/>
                <w:bCs/>
                <w:color w:val="000000" w:themeColor="text1"/>
                <w:shd w:val="clear" w:color="auto" w:fill="FFFFFF"/>
                <w:lang w:eastAsia="zh-CN" w:bidi="ar"/>
              </w:rPr>
              <w:t>Подставка под огнетушитель П-20 разборная «Урна»</w:t>
            </w:r>
          </w:p>
        </w:tc>
        <w:tc>
          <w:tcPr>
            <w:tcW w:w="3610" w:type="dxa"/>
          </w:tcPr>
          <w:p w:rsidR="008C6A99" w:rsidRPr="008C6A99" w:rsidRDefault="008C6A99" w:rsidP="008C6A99">
            <w:pPr>
              <w:rPr>
                <w:color w:val="000000" w:themeColor="text1"/>
                <w:sz w:val="26"/>
                <w:szCs w:val="26"/>
              </w:rPr>
            </w:pPr>
            <w:r w:rsidRPr="008C6A99">
              <w:rPr>
                <w:noProof/>
                <w:color w:val="000000" w:themeColor="text1"/>
                <w:sz w:val="26"/>
                <w:szCs w:val="26"/>
              </w:rPr>
              <w:drawing>
                <wp:inline distT="0" distB="0" distL="0" distR="0" wp14:anchorId="31AD1BD2" wp14:editId="5911100B">
                  <wp:extent cx="2155190" cy="2403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5190" cy="2403475"/>
                          </a:xfrm>
                          <a:prstGeom prst="rect">
                            <a:avLst/>
                          </a:prstGeom>
                        </pic:spPr>
                      </pic:pic>
                    </a:graphicData>
                  </a:graphic>
                </wp:inline>
              </w:drawing>
            </w:r>
          </w:p>
        </w:tc>
        <w:tc>
          <w:tcPr>
            <w:tcW w:w="1048" w:type="dxa"/>
          </w:tcPr>
          <w:p w:rsidR="008C6A99" w:rsidRPr="008C6A99" w:rsidRDefault="008C6A99" w:rsidP="008C6A99">
            <w:r w:rsidRPr="008C6A99">
              <w:t>12 шт.</w:t>
            </w:r>
          </w:p>
        </w:tc>
      </w:tr>
      <w:tr w:rsidR="008C6A99" w:rsidRPr="008C6A99" w:rsidTr="001A0958">
        <w:trPr>
          <w:trHeight w:val="370"/>
        </w:trPr>
        <w:tc>
          <w:tcPr>
            <w:tcW w:w="919" w:type="dxa"/>
          </w:tcPr>
          <w:p w:rsidR="008C6A99" w:rsidRPr="008C6A99" w:rsidRDefault="008C6A99" w:rsidP="008C6A99">
            <w:r w:rsidRPr="008C6A99">
              <w:t>2.1</w:t>
            </w:r>
          </w:p>
        </w:tc>
        <w:tc>
          <w:tcPr>
            <w:tcW w:w="5105" w:type="dxa"/>
          </w:tcPr>
          <w:p w:rsidR="008C6A99" w:rsidRPr="008C6A99" w:rsidRDefault="008C6A99" w:rsidP="008C6A99">
            <w:pPr>
              <w:autoSpaceDE w:val="0"/>
              <w:autoSpaceDN w:val="0"/>
              <w:adjustRightInd w:val="0"/>
            </w:pPr>
            <w:r w:rsidRPr="008C6A99">
              <w:rPr>
                <w:bCs/>
                <w:color w:val="000000" w:themeColor="text1"/>
                <w:sz w:val="26"/>
                <w:szCs w:val="26"/>
              </w:rPr>
              <w:t>25.99.29.190</w:t>
            </w:r>
            <w:r w:rsidRPr="008C6A99">
              <w:rPr>
                <w:color w:val="000000" w:themeColor="text1"/>
                <w:sz w:val="26"/>
                <w:szCs w:val="26"/>
              </w:rPr>
              <w:t> — код в классификаторе ОКПД-2, который означает </w:t>
            </w:r>
            <w:r w:rsidRPr="008C6A99">
              <w:rPr>
                <w:bCs/>
                <w:color w:val="000000" w:themeColor="text1"/>
                <w:sz w:val="26"/>
                <w:szCs w:val="26"/>
              </w:rPr>
              <w:t>«Изделия прочие из недрагоценных металлов, не включенные в другие группировки»</w:t>
            </w:r>
          </w:p>
        </w:tc>
        <w:tc>
          <w:tcPr>
            <w:tcW w:w="3610" w:type="dxa"/>
          </w:tcPr>
          <w:p w:rsidR="008C6A99" w:rsidRPr="008C6A99" w:rsidRDefault="008C6A99" w:rsidP="008C6A99"/>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2.2.</w:t>
            </w:r>
          </w:p>
        </w:tc>
        <w:tc>
          <w:tcPr>
            <w:tcW w:w="5105" w:type="dxa"/>
          </w:tcPr>
          <w:p w:rsidR="008C6A99" w:rsidRPr="008C6A99" w:rsidRDefault="008C6A99" w:rsidP="008C6A99">
            <w:pPr>
              <w:tabs>
                <w:tab w:val="left" w:pos="1140"/>
              </w:tabs>
              <w:autoSpaceDE w:val="0"/>
              <w:autoSpaceDN w:val="0"/>
              <w:adjustRightInd w:val="0"/>
              <w:rPr>
                <w:rFonts w:eastAsia="SimSun"/>
                <w:color w:val="000000" w:themeColor="text1"/>
                <w:lang w:eastAsia="zh-CN"/>
              </w:rPr>
            </w:pPr>
            <w:r w:rsidRPr="008C6A99">
              <w:rPr>
                <w:rFonts w:eastAsia="SimSun"/>
                <w:color w:val="000000" w:themeColor="text1"/>
                <w:lang w:eastAsia="zh-CN"/>
              </w:rPr>
              <w:t xml:space="preserve">Вариант исполнения </w:t>
            </w:r>
          </w:p>
        </w:tc>
        <w:tc>
          <w:tcPr>
            <w:tcW w:w="3610" w:type="dxa"/>
          </w:tcPr>
          <w:p w:rsidR="008C6A99" w:rsidRPr="008C6A99" w:rsidRDefault="008C6A99" w:rsidP="008C6A99">
            <w:r w:rsidRPr="008C6A99">
              <w:t xml:space="preserve">Напольная </w:t>
            </w:r>
          </w:p>
        </w:tc>
        <w:tc>
          <w:tcPr>
            <w:tcW w:w="1048" w:type="dxa"/>
          </w:tcPr>
          <w:p w:rsidR="008C6A99" w:rsidRPr="008C6A99" w:rsidRDefault="008C6A99" w:rsidP="008C6A99">
            <w:pPr>
              <w:jc w:val="center"/>
            </w:pPr>
          </w:p>
        </w:tc>
      </w:tr>
      <w:tr w:rsidR="008C6A99" w:rsidRPr="008C6A99" w:rsidTr="001A0958">
        <w:trPr>
          <w:trHeight w:val="370"/>
        </w:trPr>
        <w:tc>
          <w:tcPr>
            <w:tcW w:w="919" w:type="dxa"/>
          </w:tcPr>
          <w:p w:rsidR="008C6A99" w:rsidRPr="008C6A99" w:rsidRDefault="008C6A99" w:rsidP="008C6A99">
            <w:r w:rsidRPr="008C6A99">
              <w:t>2.3.</w:t>
            </w:r>
          </w:p>
        </w:tc>
        <w:tc>
          <w:tcPr>
            <w:tcW w:w="5105" w:type="dxa"/>
          </w:tcPr>
          <w:p w:rsidR="008C6A99" w:rsidRPr="008C6A99" w:rsidRDefault="008C6A99" w:rsidP="008C6A99">
            <w:pPr>
              <w:tabs>
                <w:tab w:val="left" w:pos="1140"/>
              </w:tabs>
              <w:autoSpaceDE w:val="0"/>
              <w:autoSpaceDN w:val="0"/>
              <w:adjustRightInd w:val="0"/>
              <w:rPr>
                <w:rFonts w:eastAsia="SimSun"/>
                <w:color w:val="000000" w:themeColor="text1"/>
                <w:lang w:eastAsia="zh-CN"/>
              </w:rPr>
            </w:pPr>
            <w:r w:rsidRPr="008C6A99">
              <w:rPr>
                <w:rFonts w:eastAsia="SimSun"/>
                <w:color w:val="000000" w:themeColor="text1"/>
                <w:lang w:eastAsia="zh-CN"/>
              </w:rPr>
              <w:t>Тип изделия П-20</w:t>
            </w:r>
          </w:p>
        </w:tc>
        <w:tc>
          <w:tcPr>
            <w:tcW w:w="3610" w:type="dxa"/>
          </w:tcPr>
          <w:p w:rsidR="008C6A99" w:rsidRPr="008C6A99" w:rsidRDefault="008C6A99" w:rsidP="008C6A99"/>
        </w:tc>
        <w:tc>
          <w:tcPr>
            <w:tcW w:w="1048" w:type="dxa"/>
          </w:tcPr>
          <w:p w:rsidR="008C6A99" w:rsidRPr="008C6A99" w:rsidRDefault="008C6A99" w:rsidP="008C6A99">
            <w:pPr>
              <w:jc w:val="center"/>
            </w:pPr>
          </w:p>
        </w:tc>
      </w:tr>
      <w:tr w:rsidR="008C6A99" w:rsidRPr="008C6A99" w:rsidTr="001A0958">
        <w:trPr>
          <w:trHeight w:val="370"/>
        </w:trPr>
        <w:tc>
          <w:tcPr>
            <w:tcW w:w="919" w:type="dxa"/>
          </w:tcPr>
          <w:p w:rsidR="008C6A99" w:rsidRPr="008C6A99" w:rsidRDefault="008C6A99" w:rsidP="008C6A99">
            <w:r w:rsidRPr="008C6A99">
              <w:t>2.4.</w:t>
            </w:r>
          </w:p>
        </w:tc>
        <w:tc>
          <w:tcPr>
            <w:tcW w:w="5105" w:type="dxa"/>
          </w:tcPr>
          <w:p w:rsidR="008C6A99" w:rsidRPr="008C6A99" w:rsidRDefault="008C6A99" w:rsidP="008C6A99">
            <w:pPr>
              <w:autoSpaceDE w:val="0"/>
              <w:autoSpaceDN w:val="0"/>
              <w:adjustRightInd w:val="0"/>
              <w:rPr>
                <w:rFonts w:eastAsia="SimSun"/>
                <w:color w:val="000000" w:themeColor="text1"/>
                <w:lang w:eastAsia="zh-CN"/>
              </w:rPr>
            </w:pPr>
            <w:r w:rsidRPr="008C6A99">
              <w:rPr>
                <w:rFonts w:eastAsia="SimSun"/>
                <w:color w:val="000000" w:themeColor="text1"/>
                <w:lang w:eastAsia="zh-CN"/>
              </w:rPr>
              <w:t xml:space="preserve">Расчетная нагрузка, масса размещаемого </w:t>
            </w:r>
            <w:proofErr w:type="gramStart"/>
            <w:r w:rsidRPr="008C6A99">
              <w:rPr>
                <w:rFonts w:eastAsia="SimSun"/>
                <w:color w:val="000000" w:themeColor="text1"/>
                <w:lang w:eastAsia="zh-CN"/>
              </w:rPr>
              <w:t>огнетушителя ,</w:t>
            </w:r>
            <w:proofErr w:type="gramEnd"/>
            <w:r w:rsidRPr="008C6A99">
              <w:rPr>
                <w:rFonts w:eastAsia="SimSun"/>
                <w:color w:val="000000" w:themeColor="text1"/>
                <w:lang w:eastAsia="zh-CN"/>
              </w:rPr>
              <w:t xml:space="preserve"> кг</w:t>
            </w:r>
          </w:p>
        </w:tc>
        <w:tc>
          <w:tcPr>
            <w:tcW w:w="3610" w:type="dxa"/>
          </w:tcPr>
          <w:p w:rsidR="008C6A99" w:rsidRPr="008C6A99" w:rsidRDefault="008C6A99" w:rsidP="008C6A99">
            <w:pPr>
              <w:rPr>
                <w:color w:val="000000" w:themeColor="text1"/>
              </w:rPr>
            </w:pPr>
            <w:r w:rsidRPr="008C6A99">
              <w:rPr>
                <w:color w:val="000000" w:themeColor="text1"/>
                <w:sz w:val="26"/>
                <w:szCs w:val="26"/>
              </w:rPr>
              <w:t>&gt;14</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2.5.</w:t>
            </w:r>
          </w:p>
        </w:tc>
        <w:tc>
          <w:tcPr>
            <w:tcW w:w="5105" w:type="dxa"/>
          </w:tcPr>
          <w:p w:rsidR="008C6A99" w:rsidRPr="008C6A99" w:rsidRDefault="008C6A99" w:rsidP="008C6A99">
            <w:pPr>
              <w:autoSpaceDE w:val="0"/>
              <w:autoSpaceDN w:val="0"/>
              <w:adjustRightInd w:val="0"/>
              <w:rPr>
                <w:color w:val="000000" w:themeColor="text1"/>
              </w:rPr>
            </w:pPr>
            <w:r w:rsidRPr="008C6A99">
              <w:rPr>
                <w:rFonts w:eastAsia="SimSun"/>
                <w:color w:val="000000" w:themeColor="text1"/>
                <w:lang w:eastAsia="zh-CN"/>
              </w:rPr>
              <w:t xml:space="preserve">Диаметр </w:t>
            </w:r>
            <w:proofErr w:type="gramStart"/>
            <w:r w:rsidRPr="008C6A99">
              <w:rPr>
                <w:rFonts w:eastAsia="SimSun"/>
                <w:color w:val="000000" w:themeColor="text1"/>
                <w:lang w:eastAsia="zh-CN"/>
              </w:rPr>
              <w:t>корпуса  размещаемого</w:t>
            </w:r>
            <w:proofErr w:type="gramEnd"/>
            <w:r w:rsidRPr="008C6A99">
              <w:rPr>
                <w:rFonts w:eastAsia="SimSun"/>
                <w:color w:val="000000" w:themeColor="text1"/>
                <w:lang w:eastAsia="zh-CN"/>
              </w:rPr>
              <w:t xml:space="preserve"> огнетушителя , мм</w:t>
            </w:r>
          </w:p>
        </w:tc>
        <w:tc>
          <w:tcPr>
            <w:tcW w:w="3610" w:type="dxa"/>
          </w:tcPr>
          <w:p w:rsidR="008C6A99" w:rsidRPr="008C6A99" w:rsidRDefault="008C6A99" w:rsidP="008C6A99">
            <w:pPr>
              <w:rPr>
                <w:color w:val="000000" w:themeColor="text1"/>
              </w:rPr>
            </w:pPr>
            <w:r w:rsidRPr="008C6A99">
              <w:rPr>
                <w:color w:val="000000" w:themeColor="text1"/>
                <w:sz w:val="26"/>
                <w:szCs w:val="26"/>
              </w:rPr>
              <w:t>&gt;160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2.6.</w:t>
            </w:r>
          </w:p>
        </w:tc>
        <w:tc>
          <w:tcPr>
            <w:tcW w:w="5105" w:type="dxa"/>
          </w:tcPr>
          <w:p w:rsidR="008C6A99" w:rsidRPr="008C6A99" w:rsidRDefault="008C6A99" w:rsidP="008C6A99">
            <w:pPr>
              <w:autoSpaceDE w:val="0"/>
              <w:autoSpaceDN w:val="0"/>
              <w:adjustRightInd w:val="0"/>
              <w:rPr>
                <w:color w:val="000000" w:themeColor="text1"/>
              </w:rPr>
            </w:pPr>
            <w:r w:rsidRPr="008C6A99">
              <w:rPr>
                <w:color w:val="000000" w:themeColor="text1"/>
              </w:rPr>
              <w:t>Подходит для размещения следующих моделей огнетушителей</w:t>
            </w:r>
          </w:p>
        </w:tc>
        <w:tc>
          <w:tcPr>
            <w:tcW w:w="3610" w:type="dxa"/>
          </w:tcPr>
          <w:p w:rsidR="008C6A99" w:rsidRPr="008C6A99" w:rsidRDefault="008C6A99" w:rsidP="008C6A99">
            <w:pPr>
              <w:autoSpaceDE w:val="0"/>
              <w:autoSpaceDN w:val="0"/>
              <w:adjustRightInd w:val="0"/>
              <w:rPr>
                <w:color w:val="000000" w:themeColor="text1"/>
              </w:rPr>
            </w:pPr>
            <w:r w:rsidRPr="008C6A99">
              <w:rPr>
                <w:color w:val="000000" w:themeColor="text1"/>
              </w:rPr>
              <w:t>ОУ-5, ОУ-6, ОУ-</w:t>
            </w:r>
            <w:proofErr w:type="gramStart"/>
            <w:r w:rsidRPr="008C6A99">
              <w:rPr>
                <w:color w:val="000000" w:themeColor="text1"/>
              </w:rPr>
              <w:t>7,ОУ</w:t>
            </w:r>
            <w:proofErr w:type="gramEnd"/>
            <w:r w:rsidRPr="008C6A99">
              <w:rPr>
                <w:color w:val="000000" w:themeColor="text1"/>
              </w:rPr>
              <w:t xml:space="preserve">-8, </w:t>
            </w:r>
            <w:hyperlink r:id="rId12" w:history="1">
              <w:r w:rsidRPr="008C6A99">
                <w:rPr>
                  <w:color w:val="000000" w:themeColor="text1"/>
                </w:rPr>
                <w:t>ОП-5</w:t>
              </w:r>
            </w:hyperlink>
            <w:r w:rsidRPr="008C6A99">
              <w:rPr>
                <w:color w:val="000000" w:themeColor="text1"/>
              </w:rPr>
              <w:t>, ОП-6, ОП-8, ОП-10, ОВП-8, ОВП-10, ОВЭ-6.</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2.7.</w:t>
            </w:r>
          </w:p>
        </w:tc>
        <w:tc>
          <w:tcPr>
            <w:tcW w:w="5105" w:type="dxa"/>
          </w:tcPr>
          <w:p w:rsidR="008C6A99" w:rsidRPr="008C6A99" w:rsidRDefault="008C6A99" w:rsidP="008C6A99">
            <w:pPr>
              <w:autoSpaceDE w:val="0"/>
              <w:autoSpaceDN w:val="0"/>
              <w:adjustRightInd w:val="0"/>
              <w:rPr>
                <w:color w:val="000000" w:themeColor="text1"/>
              </w:rPr>
            </w:pPr>
            <w:r w:rsidRPr="008C6A99">
              <w:rPr>
                <w:color w:val="000000" w:themeColor="text1"/>
              </w:rPr>
              <w:t xml:space="preserve">Материал изготовления </w:t>
            </w:r>
          </w:p>
        </w:tc>
        <w:tc>
          <w:tcPr>
            <w:tcW w:w="3610" w:type="dxa"/>
          </w:tcPr>
          <w:p w:rsidR="008C6A99" w:rsidRPr="008C6A99" w:rsidRDefault="008C6A99" w:rsidP="008C6A99">
            <w:pPr>
              <w:rPr>
                <w:color w:val="000000" w:themeColor="text1"/>
              </w:rPr>
            </w:pPr>
            <w:r w:rsidRPr="008C6A99">
              <w:rPr>
                <w:color w:val="000000" w:themeColor="text1"/>
              </w:rPr>
              <w:t>Стальной лис</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2.8.</w:t>
            </w:r>
          </w:p>
        </w:tc>
        <w:tc>
          <w:tcPr>
            <w:tcW w:w="5105" w:type="dxa"/>
          </w:tcPr>
          <w:p w:rsidR="008C6A99" w:rsidRPr="008C6A99" w:rsidRDefault="008C6A99" w:rsidP="008C6A99">
            <w:pPr>
              <w:autoSpaceDE w:val="0"/>
              <w:autoSpaceDN w:val="0"/>
              <w:adjustRightInd w:val="0"/>
              <w:rPr>
                <w:color w:val="000000" w:themeColor="text1"/>
              </w:rPr>
            </w:pPr>
            <w:r w:rsidRPr="008C6A99">
              <w:rPr>
                <w:color w:val="000000" w:themeColor="text1"/>
              </w:rPr>
              <w:t>Технология покраски</w:t>
            </w:r>
          </w:p>
        </w:tc>
        <w:tc>
          <w:tcPr>
            <w:tcW w:w="3610" w:type="dxa"/>
          </w:tcPr>
          <w:p w:rsidR="008C6A99" w:rsidRPr="008C6A99" w:rsidRDefault="008C6A99" w:rsidP="008C6A99">
            <w:pPr>
              <w:rPr>
                <w:color w:val="000000" w:themeColor="text1"/>
              </w:rPr>
            </w:pPr>
            <w:r w:rsidRPr="008C6A99">
              <w:rPr>
                <w:color w:val="000000" w:themeColor="text1"/>
              </w:rPr>
              <w:t>порошковая</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2.9.</w:t>
            </w:r>
          </w:p>
        </w:tc>
        <w:tc>
          <w:tcPr>
            <w:tcW w:w="5105" w:type="dxa"/>
          </w:tcPr>
          <w:p w:rsidR="008C6A99" w:rsidRPr="008C6A99" w:rsidRDefault="008C6A99" w:rsidP="008C6A99">
            <w:pPr>
              <w:autoSpaceDE w:val="0"/>
              <w:autoSpaceDN w:val="0"/>
              <w:adjustRightInd w:val="0"/>
              <w:rPr>
                <w:color w:val="000000" w:themeColor="text1"/>
              </w:rPr>
            </w:pPr>
            <w:r w:rsidRPr="008C6A99">
              <w:rPr>
                <w:color w:val="000000" w:themeColor="text1"/>
              </w:rPr>
              <w:t xml:space="preserve">Цвет </w:t>
            </w:r>
          </w:p>
        </w:tc>
        <w:tc>
          <w:tcPr>
            <w:tcW w:w="3610" w:type="dxa"/>
          </w:tcPr>
          <w:p w:rsidR="008C6A99" w:rsidRPr="008C6A99" w:rsidRDefault="008C6A99" w:rsidP="008C6A99">
            <w:pPr>
              <w:rPr>
                <w:color w:val="000000" w:themeColor="text1"/>
              </w:rPr>
            </w:pPr>
            <w:r w:rsidRPr="008C6A99">
              <w:rPr>
                <w:color w:val="000000" w:themeColor="text1"/>
              </w:rPr>
              <w:t>Красный</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2.10.</w:t>
            </w:r>
          </w:p>
        </w:tc>
        <w:tc>
          <w:tcPr>
            <w:tcW w:w="5105" w:type="dxa"/>
          </w:tcPr>
          <w:p w:rsidR="008C6A99" w:rsidRPr="008C6A99" w:rsidRDefault="008C6A99" w:rsidP="008C6A99">
            <w:pPr>
              <w:autoSpaceDE w:val="0"/>
              <w:autoSpaceDN w:val="0"/>
              <w:adjustRightInd w:val="0"/>
              <w:rPr>
                <w:rFonts w:eastAsia="Roboto"/>
                <w:color w:val="000000" w:themeColor="text1"/>
                <w:shd w:val="clear" w:color="auto" w:fill="FFFFFF"/>
              </w:rPr>
            </w:pPr>
            <w:r w:rsidRPr="008C6A99">
              <w:rPr>
                <w:rFonts w:eastAsia="Roboto"/>
                <w:color w:val="000000" w:themeColor="text1"/>
                <w:shd w:val="clear" w:color="auto" w:fill="FFFFFF"/>
              </w:rPr>
              <w:t>Размер подставки Ширина, мм</w:t>
            </w:r>
          </w:p>
        </w:tc>
        <w:tc>
          <w:tcPr>
            <w:tcW w:w="3610" w:type="dxa"/>
          </w:tcPr>
          <w:p w:rsidR="008C6A99" w:rsidRPr="008C6A99" w:rsidRDefault="008C6A99" w:rsidP="008C6A99">
            <w:pPr>
              <w:rPr>
                <w:color w:val="000000" w:themeColor="text1"/>
              </w:rPr>
            </w:pPr>
            <w:r w:rsidRPr="008C6A99">
              <w:rPr>
                <w:color w:val="000000" w:themeColor="text1"/>
              </w:rPr>
              <w:t>≥ 230 и ≤ 240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2.11.</w:t>
            </w:r>
          </w:p>
        </w:tc>
        <w:tc>
          <w:tcPr>
            <w:tcW w:w="5105" w:type="dxa"/>
          </w:tcPr>
          <w:p w:rsidR="008C6A99" w:rsidRPr="008C6A99" w:rsidRDefault="008C6A99" w:rsidP="008C6A99">
            <w:pPr>
              <w:autoSpaceDE w:val="0"/>
              <w:autoSpaceDN w:val="0"/>
              <w:adjustRightInd w:val="0"/>
              <w:rPr>
                <w:rFonts w:eastAsia="Roboto"/>
                <w:color w:val="000000" w:themeColor="text1"/>
                <w:shd w:val="clear" w:color="auto" w:fill="FFFFFF"/>
              </w:rPr>
            </w:pPr>
            <w:r w:rsidRPr="008C6A99">
              <w:rPr>
                <w:rFonts w:eastAsia="Roboto"/>
                <w:color w:val="000000" w:themeColor="text1"/>
                <w:shd w:val="clear" w:color="auto" w:fill="FFFFFF"/>
              </w:rPr>
              <w:t>Размер подставки Глубина, мм</w:t>
            </w:r>
          </w:p>
        </w:tc>
        <w:tc>
          <w:tcPr>
            <w:tcW w:w="3610" w:type="dxa"/>
          </w:tcPr>
          <w:p w:rsidR="008C6A99" w:rsidRPr="008C6A99" w:rsidRDefault="008C6A99" w:rsidP="008C6A99">
            <w:pPr>
              <w:rPr>
                <w:color w:val="000000" w:themeColor="text1"/>
              </w:rPr>
            </w:pPr>
            <w:r w:rsidRPr="008C6A99">
              <w:rPr>
                <w:color w:val="000000" w:themeColor="text1"/>
              </w:rPr>
              <w:t>≥ 230 и ≤ 240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2.12.</w:t>
            </w:r>
          </w:p>
        </w:tc>
        <w:tc>
          <w:tcPr>
            <w:tcW w:w="5105" w:type="dxa"/>
          </w:tcPr>
          <w:p w:rsidR="008C6A99" w:rsidRPr="008C6A99" w:rsidRDefault="008C6A99" w:rsidP="008C6A99">
            <w:pPr>
              <w:autoSpaceDE w:val="0"/>
              <w:autoSpaceDN w:val="0"/>
              <w:adjustRightInd w:val="0"/>
              <w:rPr>
                <w:rFonts w:eastAsia="Roboto"/>
                <w:color w:val="000000" w:themeColor="text1"/>
                <w:shd w:val="clear" w:color="auto" w:fill="FFFFFF"/>
              </w:rPr>
            </w:pPr>
            <w:r w:rsidRPr="008C6A99">
              <w:rPr>
                <w:rFonts w:eastAsia="Roboto"/>
                <w:color w:val="000000" w:themeColor="text1"/>
                <w:shd w:val="clear" w:color="auto" w:fill="FFFFFF"/>
              </w:rPr>
              <w:t>Размер подставки Высота, мм</w:t>
            </w:r>
          </w:p>
        </w:tc>
        <w:tc>
          <w:tcPr>
            <w:tcW w:w="3610" w:type="dxa"/>
          </w:tcPr>
          <w:p w:rsidR="008C6A99" w:rsidRPr="008C6A99" w:rsidRDefault="008C6A99" w:rsidP="008C6A99">
            <w:pPr>
              <w:rPr>
                <w:color w:val="000000" w:themeColor="text1"/>
              </w:rPr>
            </w:pPr>
            <w:r w:rsidRPr="008C6A99">
              <w:rPr>
                <w:color w:val="000000" w:themeColor="text1"/>
              </w:rPr>
              <w:t>≥ 400 и ≤ 410</w:t>
            </w:r>
          </w:p>
        </w:tc>
        <w:tc>
          <w:tcPr>
            <w:tcW w:w="1048" w:type="dxa"/>
          </w:tcPr>
          <w:p w:rsidR="008C6A99" w:rsidRPr="008C6A99" w:rsidRDefault="008C6A99" w:rsidP="008C6A99"/>
        </w:tc>
      </w:tr>
      <w:tr w:rsidR="008C6A99" w:rsidRPr="008C6A99" w:rsidTr="001A0958">
        <w:trPr>
          <w:trHeight w:val="370"/>
        </w:trPr>
        <w:tc>
          <w:tcPr>
            <w:tcW w:w="919" w:type="dxa"/>
          </w:tcPr>
          <w:p w:rsidR="008C6A99" w:rsidRPr="008C6A99" w:rsidRDefault="008C6A99" w:rsidP="008C6A99">
            <w:r w:rsidRPr="008C6A99">
              <w:t>2.13.</w:t>
            </w:r>
          </w:p>
        </w:tc>
        <w:tc>
          <w:tcPr>
            <w:tcW w:w="5105" w:type="dxa"/>
          </w:tcPr>
          <w:p w:rsidR="008C6A99" w:rsidRPr="008C6A99" w:rsidRDefault="008C6A99" w:rsidP="008C6A99">
            <w:pPr>
              <w:spacing w:beforeAutospacing="1" w:afterAutospacing="1" w:line="300" w:lineRule="auto"/>
              <w:rPr>
                <w:color w:val="000000"/>
                <w:spacing w:val="-2"/>
                <w:sz w:val="26"/>
                <w:szCs w:val="26"/>
              </w:rPr>
            </w:pPr>
            <w:r w:rsidRPr="008C6A99">
              <w:rPr>
                <w:color w:val="000000"/>
                <w:spacing w:val="-2"/>
                <w:sz w:val="26"/>
                <w:szCs w:val="26"/>
              </w:rPr>
              <w:t>Наличие</w:t>
            </w:r>
            <w:r w:rsidRPr="008C6A99">
              <w:rPr>
                <w:sz w:val="26"/>
                <w:szCs w:val="26"/>
              </w:rPr>
              <w:t>-</w:t>
            </w:r>
            <w:r w:rsidRPr="008C6A99">
              <w:rPr>
                <w:color w:val="000000"/>
                <w:spacing w:val="-2"/>
                <w:sz w:val="26"/>
                <w:szCs w:val="26"/>
              </w:rPr>
              <w:t xml:space="preserve"> наклейка Знак пожарной безопасности «Огнетушитель»: </w:t>
            </w:r>
          </w:p>
          <w:p w:rsidR="008C6A99" w:rsidRPr="008C6A99" w:rsidRDefault="008C6A99" w:rsidP="008C6A99">
            <w:pPr>
              <w:autoSpaceDE w:val="0"/>
              <w:autoSpaceDN w:val="0"/>
              <w:adjustRightInd w:val="0"/>
              <w:rPr>
                <w:color w:val="000000" w:themeColor="text1"/>
              </w:rPr>
            </w:pPr>
          </w:p>
        </w:tc>
        <w:tc>
          <w:tcPr>
            <w:tcW w:w="3610" w:type="dxa"/>
          </w:tcPr>
          <w:p w:rsidR="008C6A99" w:rsidRPr="008C6A99" w:rsidRDefault="008C6A99" w:rsidP="008C6A99">
            <w:pPr>
              <w:rPr>
                <w:color w:val="000000" w:themeColor="text1"/>
              </w:rPr>
            </w:pPr>
            <w:r w:rsidRPr="008C6A99">
              <w:rPr>
                <w:color w:val="000000" w:themeColor="text1"/>
              </w:rPr>
              <w:t>да</w:t>
            </w:r>
          </w:p>
        </w:tc>
        <w:tc>
          <w:tcPr>
            <w:tcW w:w="1048" w:type="dxa"/>
          </w:tcPr>
          <w:p w:rsidR="008C6A99" w:rsidRPr="008C6A99" w:rsidRDefault="008C6A99" w:rsidP="008C6A99"/>
        </w:tc>
      </w:tr>
    </w:tbl>
    <w:p w:rsidR="00346FF9" w:rsidRDefault="00346FF9">
      <w:pPr>
        <w:autoSpaceDE w:val="0"/>
        <w:autoSpaceDN w:val="0"/>
        <w:adjustRightInd w:val="0"/>
        <w:spacing w:line="240" w:lineRule="exact"/>
        <w:jc w:val="center"/>
        <w:rPr>
          <w:rFonts w:eastAsia="Calibri"/>
          <w:b/>
          <w:bCs/>
          <w:lang w:eastAsia="en-US"/>
        </w:rPr>
      </w:pPr>
    </w:p>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4" w:name="_Hlk167797178"/>
      <w:bookmarkStart w:id="5" w:name="_Hlk180611327"/>
    </w:p>
    <w:tbl>
      <w:tblPr>
        <w:tblW w:w="10675"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Pr>
                <w:bCs/>
                <w:lang w:eastAsia="en-US"/>
              </w:rPr>
              <w:t>2025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4"/>
      <w:bookmarkEnd w:id="5"/>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DD" w:rsidRDefault="00BE65DD">
      <w:r>
        <w:separator/>
      </w:r>
    </w:p>
  </w:endnote>
  <w:endnote w:type="continuationSeparator" w:id="0">
    <w:p w:rsidR="00BE65DD" w:rsidRDefault="00BE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Roboto">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DD" w:rsidRDefault="00BE65DD">
      <w:r>
        <w:separator/>
      </w:r>
    </w:p>
  </w:footnote>
  <w:footnote w:type="continuationSeparator" w:id="0">
    <w:p w:rsidR="00BE65DD" w:rsidRDefault="00BE65DD">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8C6A99">
      <w:rPr>
        <w:noProof/>
      </w:rPr>
      <w:t>15</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8C6A99" w:rsidRPr="008C6A99">
      <w:rPr>
        <w:iCs/>
      </w:rPr>
      <w:t>261771703244077170100100010380000244</w:t>
    </w:r>
    <w:r w:rsidR="006E4DB7" w:rsidRPr="00183A8E">
      <w:rPr>
        <w:iCs/>
      </w:rPr>
      <w:t>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C6A99"/>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12" Type="http://schemas.openxmlformats.org/officeDocument/2006/relationships/hyperlink" Target="https://yarant.ru/product/ognetushitel-op-5-3-avse-zpu-al/"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5685</Words>
  <Characters>32410</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38019</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3</cp:revision>
  <cp:lastPrinted>2025-09-23T00:29:00Z</cp:lastPrinted>
  <dcterms:created xsi:type="dcterms:W3CDTF">2026-05-26T23:43:00Z</dcterms:created>
  <dcterms:modified xsi:type="dcterms:W3CDTF">2026-05-27T04:58:00Z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