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__» августа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Кабинка душевая</w:t>
      </w:r>
      <w:r>
        <w:rPr/>
        <w:t xml:space="preserve"> 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2"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2"/>
    </w:p>
    <w:p>
      <w:pPr>
        <w:pStyle w:val="Normal"/>
        <w:jc w:val="both"/>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4"/>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течении </w:t>
      </w:r>
      <w:r>
        <w:rPr/>
        <w:t xml:space="preserve">25 рабочих </w:t>
      </w:r>
      <w:r>
        <w:rPr/>
        <w:t>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5"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5"/>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6" w:name="_Hlk177570138"/>
      <w:r>
        <w:rPr>
          <w:rFonts w:ascii="Times New Roman" w:hAnsi="Times New Roman"/>
          <w:sz w:val="20"/>
          <w:szCs w:val="20"/>
        </w:rPr>
        <w:t>Настоящий Контракт вступает в силу с момента заключения и действует до 30.10.2026г., а в части оплаты – до исполнения обязательств.</w:t>
      </w:r>
      <w:bookmarkEnd w:id="6"/>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29"/>
        <w:gridCol w:w="4827"/>
      </w:tblGrid>
      <w:tr>
        <w:trPr>
          <w:trHeight w:val="7882" w:hRule="atLeast"/>
        </w:trPr>
        <w:tc>
          <w:tcPr>
            <w:tcW w:w="5629"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r>
          </w:p>
          <w:p>
            <w:pPr>
              <w:pStyle w:val="Normal"/>
              <w:rPr/>
            </w:pPr>
            <w:r>
              <w:rPr/>
              <w:t xml:space="preserve">Юридический и фактический адрес: </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Банк: УФК по Новосибирской области (НИИ КПССЗ л/с 20396Х66880)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22396Х66880)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21396Х66880)</w:t>
            </w:r>
          </w:p>
          <w:p>
            <w:pPr>
              <w:pStyle w:val="Normal"/>
              <w:rPr/>
            </w:pPr>
            <w:r>
              <w:rPr/>
              <w:t xml:space="preserve">р/с 03214643000000013900 </w:t>
            </w:r>
          </w:p>
          <w:p>
            <w:pPr>
              <w:pStyle w:val="Normal"/>
              <w:rPr/>
            </w:pPr>
            <w:r>
              <w:rPr/>
              <w:t xml:space="preserve">ИНН 4205012290 </w:t>
            </w:r>
          </w:p>
          <w:p>
            <w:pPr>
              <w:pStyle w:val="Normal"/>
              <w:rPr/>
            </w:pPr>
            <w:r>
              <w:rPr/>
              <w:t>КПП 420501001</w:t>
            </w:r>
          </w:p>
          <w:p>
            <w:pPr>
              <w:pStyle w:val="Normal"/>
              <w:rPr/>
            </w:pPr>
            <w:r>
              <w:rPr/>
              <w:t>ОТДЕЛЕНИЕ КЕМЕРОВО БАНКА РОССИИ//УФК по Кемеровской области – Кузбассу г. Кемерово БИК 013207212</w:t>
            </w:r>
          </w:p>
          <w:p>
            <w:pPr>
              <w:pStyle w:val="Normal"/>
              <w:rPr/>
            </w:pPr>
            <w:r>
              <w:rPr/>
              <w:t>к/с 40102810745370000032</w:t>
            </w:r>
          </w:p>
          <w:p>
            <w:pPr>
              <w:pStyle w:val="Normal"/>
              <w:rPr/>
            </w:pPr>
            <w:r>
              <w:rPr/>
              <w:t>КБК 00000000000000000130</w:t>
            </w:r>
          </w:p>
          <w:p>
            <w:pPr>
              <w:pStyle w:val="Normal"/>
              <w:rPr/>
            </w:pPr>
            <w:r>
              <w:rPr/>
              <w:t>ОГРН 1034205024479</w:t>
            </w:r>
          </w:p>
          <w:p>
            <w:pPr>
              <w:pStyle w:val="Normal"/>
              <w:jc w:val="both"/>
              <w:rPr/>
            </w:pPr>
            <w:r>
              <w:rPr/>
              <w:t>ОКПО 55608705 ОКАТО 32401000000</w:t>
            </w:r>
          </w:p>
          <w:p>
            <w:pPr>
              <w:pStyle w:val="Normal"/>
              <w:jc w:val="both"/>
              <w:rPr/>
            </w:pPr>
            <w:r>
              <w:rPr/>
              <w:t>ОКТМО 32701000 ОКФС 12</w:t>
            </w:r>
          </w:p>
          <w:p>
            <w:pPr>
              <w:pStyle w:val="Normal"/>
              <w:jc w:val="both"/>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rFonts w:cs="Times New Roman"/>
                <w:sz w:val="20"/>
                <w:szCs w:val="20"/>
              </w:rPr>
            </w:pPr>
            <w:r>
              <w:rPr>
                <w:rFonts w:cs="Times New Roman"/>
                <w:sz w:val="20"/>
                <w:szCs w:val="20"/>
              </w:rPr>
              <w:t>___________________ А.Е. Кузнецова</w:t>
            </w:r>
          </w:p>
          <w:p>
            <w:pPr>
              <w:pStyle w:val="Normal"/>
              <w:rPr>
                <w:rFonts w:cs="Times New Roman"/>
                <w:sz w:val="20"/>
                <w:szCs w:val="20"/>
              </w:rPr>
            </w:pPr>
            <w:r>
              <w:rPr>
                <w:rFonts w:cs="Times New Roman"/>
                <w:sz w:val="20"/>
                <w:szCs w:val="20"/>
              </w:rPr>
              <w:t>м.п.</w:t>
            </w:r>
          </w:p>
        </w:tc>
        <w:tc>
          <w:tcPr>
            <w:tcW w:w="4827"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7"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«_____» августа 2026г.</w:t>
      </w:r>
      <w:bookmarkEnd w:id="7"/>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845"/>
        <w:gridCol w:w="5528"/>
        <w:gridCol w:w="400"/>
        <w:gridCol w:w="1134"/>
        <w:gridCol w:w="25"/>
        <w:gridCol w:w="210"/>
        <w:gridCol w:w="1067"/>
        <w:gridCol w:w="1559"/>
        <w:gridCol w:w="1764"/>
        <w:gridCol w:w="1212"/>
        <w:gridCol w:w="1338"/>
        <w:gridCol w:w="3029"/>
      </w:tblGrid>
      <w:tr>
        <w:trPr>
          <w:trHeight w:val="572" w:hRule="atLeast"/>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55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16"/>
                <w:szCs w:val="16"/>
              </w:rPr>
            </w:pPr>
            <w:r>
              <w:rPr>
                <w:sz w:val="16"/>
                <w:szCs w:val="16"/>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Цена</w:t>
            </w:r>
            <w:r>
              <w:rPr>
                <w:color w:val="000000"/>
                <w:spacing w:val="-11"/>
                <w:sz w:val="16"/>
                <w:szCs w:val="16"/>
              </w:rPr>
              <w:t xml:space="preserve">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НДС, рублей</w:t>
            </w:r>
          </w:p>
        </w:tc>
        <w:tc>
          <w:tcPr>
            <w:tcW w:w="13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16"/>
                <w:szCs w:val="16"/>
              </w:rPr>
            </w:pPr>
            <w:r>
              <w:rPr>
                <w:color w:val="000000"/>
                <w:spacing w:val="-11"/>
                <w:sz w:val="16"/>
                <w:szCs w:val="16"/>
              </w:rPr>
              <w:t>Общая стоимость с НДС, рублей</w:t>
            </w:r>
          </w:p>
        </w:tc>
        <w:tc>
          <w:tcPr>
            <w:tcW w:w="3029" w:type="dxa"/>
            <w:tcBorders/>
          </w:tcPr>
          <w:p>
            <w:pPr>
              <w:pStyle w:val="Normal"/>
              <w:rPr>
                <w:sz w:val="16"/>
                <w:szCs w:val="16"/>
              </w:rPr>
            </w:pPr>
            <w:r>
              <w:rPr>
                <w:sz w:val="16"/>
                <w:szCs w:val="16"/>
              </w:rPr>
            </w:r>
          </w:p>
        </w:tc>
      </w:tr>
      <w:tr>
        <w:trPr>
          <w:trHeight w:val="405" w:hRule="atLeast"/>
        </w:trPr>
        <w:tc>
          <w:tcPr>
            <w:tcW w:w="845"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t>1</w:t>
            </w:r>
          </w:p>
        </w:tc>
        <w:tc>
          <w:tcPr>
            <w:tcW w:w="5528" w:type="dxa"/>
            <w:tcBorders>
              <w:top w:val="single" w:sz="4" w:space="0" w:color="000001"/>
              <w:start w:val="single" w:sz="4" w:space="0" w:color="000001"/>
              <w:bottom w:val="single" w:sz="4" w:space="0" w:color="000000"/>
              <w:end w:val="single" w:sz="4" w:space="0" w:color="000000"/>
            </w:tcBorders>
          </w:tcPr>
          <w:p>
            <w:pPr>
              <w:pStyle w:val="Normal"/>
              <w:rPr>
                <w:sz w:val="16"/>
                <w:szCs w:val="16"/>
              </w:rPr>
            </w:pPr>
            <w:r>
              <w:rPr>
                <w:b/>
                <w:bCs/>
                <w:sz w:val="16"/>
                <w:szCs w:val="16"/>
              </w:rPr>
              <w:t>Водонагреватель</w:t>
            </w:r>
          </w:p>
          <w:p>
            <w:pPr>
              <w:pStyle w:val="Normal"/>
              <w:rPr>
                <w:sz w:val="16"/>
                <w:szCs w:val="16"/>
              </w:rPr>
            </w:pPr>
            <w:r>
              <w:rPr>
                <w:sz w:val="16"/>
                <w:szCs w:val="16"/>
              </w:rPr>
            </w:r>
          </w:p>
          <w:p>
            <w:pPr>
              <w:pStyle w:val="Normal"/>
              <w:rPr>
                <w:sz w:val="16"/>
                <w:szCs w:val="16"/>
              </w:rPr>
            </w:pPr>
            <w:r>
              <w:rPr>
                <w:sz w:val="16"/>
                <w:szCs w:val="16"/>
              </w:rPr>
              <w:t>Антискользящее покрытие поддона</w:t>
              <w:tab/>
              <w:t>да</w:t>
              <w:tab/>
            </w:r>
          </w:p>
          <w:p>
            <w:pPr>
              <w:pStyle w:val="Normal"/>
              <w:rPr>
                <w:sz w:val="16"/>
                <w:szCs w:val="16"/>
              </w:rPr>
            </w:pPr>
            <w:r>
              <w:rPr>
                <w:sz w:val="16"/>
                <w:szCs w:val="16"/>
              </w:rPr>
              <w:t>Вид поддона</w:t>
              <w:tab/>
              <w:t>Низкий</w:t>
              <w:tab/>
            </w:r>
          </w:p>
          <w:p>
            <w:pPr>
              <w:pStyle w:val="Normal"/>
              <w:rPr>
                <w:sz w:val="16"/>
                <w:szCs w:val="16"/>
              </w:rPr>
            </w:pPr>
            <w:r>
              <w:rPr>
                <w:sz w:val="16"/>
                <w:szCs w:val="16"/>
              </w:rPr>
              <w:t>Высота</w:t>
              <w:tab/>
              <w:t>≥ 2150  и  &lt; 2200</w:t>
              <w:tab/>
              <w:t>Миллиметр</w:t>
            </w:r>
          </w:p>
          <w:p>
            <w:pPr>
              <w:pStyle w:val="Normal"/>
              <w:rPr>
                <w:sz w:val="16"/>
                <w:szCs w:val="16"/>
              </w:rPr>
            </w:pPr>
            <w:r>
              <w:rPr>
                <w:sz w:val="16"/>
                <w:szCs w:val="16"/>
              </w:rPr>
              <w:t>Глубина</w:t>
              <w:tab/>
              <w:t>≥ 900  и  &lt; 950</w:t>
              <w:tab/>
              <w:t>Миллиметр</w:t>
            </w:r>
          </w:p>
          <w:p>
            <w:pPr>
              <w:pStyle w:val="Normal"/>
              <w:rPr>
                <w:sz w:val="16"/>
                <w:szCs w:val="16"/>
              </w:rPr>
            </w:pPr>
            <w:r>
              <w:rPr>
                <w:sz w:val="16"/>
                <w:szCs w:val="16"/>
              </w:rPr>
              <w:t>Конструкция дверей</w:t>
              <w:tab/>
              <w:t xml:space="preserve"> Раздвижная</w:t>
              <w:tab/>
            </w:r>
          </w:p>
          <w:p>
            <w:pPr>
              <w:pStyle w:val="Normal"/>
              <w:rPr>
                <w:sz w:val="16"/>
                <w:szCs w:val="16"/>
              </w:rPr>
            </w:pPr>
            <w:r>
              <w:rPr>
                <w:sz w:val="16"/>
                <w:szCs w:val="16"/>
              </w:rPr>
              <w:t>Материал поддона</w:t>
              <w:tab/>
              <w:t>Акрил</w:t>
              <w:tab/>
            </w:r>
          </w:p>
          <w:p>
            <w:pPr>
              <w:pStyle w:val="Normal"/>
              <w:rPr>
                <w:sz w:val="16"/>
                <w:szCs w:val="16"/>
              </w:rPr>
            </w:pPr>
            <w:r>
              <w:rPr>
                <w:sz w:val="16"/>
                <w:szCs w:val="16"/>
              </w:rPr>
              <w:t>Наличие зеркала</w:t>
              <w:tab/>
              <w:t>нет</w:t>
              <w:tab/>
            </w:r>
          </w:p>
          <w:p>
            <w:pPr>
              <w:pStyle w:val="Normal"/>
              <w:rPr>
                <w:sz w:val="16"/>
                <w:szCs w:val="16"/>
              </w:rPr>
            </w:pPr>
            <w:r>
              <w:rPr>
                <w:sz w:val="16"/>
                <w:szCs w:val="16"/>
              </w:rPr>
              <w:t>Наличие крыши</w:t>
              <w:tab/>
              <w:t>Да</w:t>
              <w:tab/>
            </w:r>
          </w:p>
          <w:p>
            <w:pPr>
              <w:pStyle w:val="Normal"/>
              <w:rPr>
                <w:sz w:val="16"/>
                <w:szCs w:val="16"/>
              </w:rPr>
            </w:pPr>
            <w:r>
              <w:rPr>
                <w:sz w:val="16"/>
                <w:szCs w:val="16"/>
              </w:rPr>
              <w:t>Наличие сидения</w:t>
              <w:tab/>
              <w:t>Нет</w:t>
              <w:tab/>
            </w:r>
          </w:p>
          <w:p>
            <w:pPr>
              <w:pStyle w:val="Normal"/>
              <w:rPr>
                <w:sz w:val="16"/>
                <w:szCs w:val="16"/>
              </w:rPr>
            </w:pPr>
            <w:r>
              <w:rPr>
                <w:sz w:val="16"/>
                <w:szCs w:val="16"/>
              </w:rPr>
              <w:t>Тип</w:t>
              <w:tab/>
              <w:t>Кабина</w:t>
              <w:tab/>
            </w:r>
          </w:p>
          <w:p>
            <w:pPr>
              <w:pStyle w:val="Normal"/>
              <w:rPr>
                <w:sz w:val="16"/>
                <w:szCs w:val="16"/>
              </w:rPr>
            </w:pPr>
            <w:r>
              <w:rPr>
                <w:sz w:val="16"/>
                <w:szCs w:val="16"/>
              </w:rPr>
              <w:t>Управление</w:t>
              <w:tab/>
              <w:t>Ручное</w:t>
              <w:tab/>
            </w:r>
          </w:p>
          <w:p>
            <w:pPr>
              <w:pStyle w:val="Normal"/>
              <w:rPr>
                <w:sz w:val="16"/>
                <w:szCs w:val="16"/>
              </w:rPr>
            </w:pPr>
            <w:r>
              <w:rPr>
                <w:sz w:val="16"/>
                <w:szCs w:val="16"/>
              </w:rPr>
              <w:t>Форма</w:t>
              <w:tab/>
              <w:t>Квадратная</w:t>
              <w:tab/>
            </w:r>
          </w:p>
          <w:p>
            <w:pPr>
              <w:pStyle w:val="Normal"/>
              <w:rPr>
                <w:sz w:val="16"/>
                <w:szCs w:val="16"/>
              </w:rPr>
            </w:pPr>
            <w:r>
              <w:rPr>
                <w:sz w:val="16"/>
                <w:szCs w:val="16"/>
              </w:rPr>
              <w:t>Ширина</w:t>
              <w:tab/>
              <w:t>≥ 900  и  &lt; 1000</w:t>
              <w:tab/>
              <w:t>Миллиметр</w:t>
            </w:r>
          </w:p>
          <w:p>
            <w:pPr>
              <w:pStyle w:val="Normal"/>
              <w:rPr>
                <w:sz w:val="16"/>
                <w:szCs w:val="16"/>
              </w:rPr>
            </w:pPr>
            <w:r>
              <w:rPr>
                <w:sz w:val="16"/>
                <w:szCs w:val="16"/>
              </w:rPr>
              <w:t>Высота поддона</w:t>
              <w:tab/>
              <w:t>≥ 120  и  &lt; 175</w:t>
              <w:tab/>
              <w:t>Миллиметр</w:t>
            </w:r>
          </w:p>
          <w:p>
            <w:pPr>
              <w:pStyle w:val="Normal"/>
              <w:rPr>
                <w:sz w:val="16"/>
                <w:szCs w:val="16"/>
              </w:rPr>
            </w:pPr>
            <w:r>
              <w:rPr>
                <w:sz w:val="16"/>
                <w:szCs w:val="16"/>
              </w:rPr>
              <w:t>Ориентация</w:t>
              <w:tab/>
              <w:t>универсальная</w:t>
              <w:tab/>
            </w:r>
          </w:p>
          <w:p>
            <w:pPr>
              <w:pStyle w:val="Normal"/>
              <w:rPr>
                <w:sz w:val="16"/>
                <w:szCs w:val="16"/>
              </w:rPr>
            </w:pPr>
            <w:r>
              <w:rPr>
                <w:sz w:val="16"/>
                <w:szCs w:val="16"/>
              </w:rPr>
              <w:t>Материал профиля</w:t>
              <w:tab/>
              <w:t>Алюминий</w:t>
              <w:tab/>
            </w:r>
          </w:p>
          <w:p>
            <w:pPr>
              <w:pStyle w:val="Normal"/>
              <w:rPr>
                <w:sz w:val="16"/>
                <w:szCs w:val="16"/>
              </w:rPr>
            </w:pPr>
            <w:r>
              <w:rPr>
                <w:sz w:val="16"/>
                <w:szCs w:val="16"/>
              </w:rPr>
              <w:t>Цвет профиля</w:t>
              <w:tab/>
              <w:t>RAL 9005</w:t>
              <w:tab/>
            </w:r>
          </w:p>
          <w:p>
            <w:pPr>
              <w:pStyle w:val="Normal"/>
              <w:rPr>
                <w:sz w:val="16"/>
                <w:szCs w:val="16"/>
              </w:rPr>
            </w:pPr>
            <w:r>
              <w:rPr>
                <w:sz w:val="16"/>
                <w:szCs w:val="16"/>
              </w:rPr>
              <w:t>Цвет задней стенки</w:t>
              <w:tab/>
              <w:t>RAL 9010</w:t>
              <w:tab/>
            </w:r>
          </w:p>
          <w:p>
            <w:pPr>
              <w:pStyle w:val="Normal"/>
              <w:rPr>
                <w:sz w:val="16"/>
                <w:szCs w:val="16"/>
              </w:rPr>
            </w:pPr>
            <w:r>
              <w:rPr>
                <w:sz w:val="16"/>
                <w:szCs w:val="16"/>
              </w:rPr>
              <w:t>Верхний душ</w:t>
              <w:tab/>
              <w:t>Наличие</w:t>
              <w:tab/>
            </w:r>
          </w:p>
          <w:p>
            <w:pPr>
              <w:pStyle w:val="Normal"/>
              <w:rPr>
                <w:sz w:val="16"/>
                <w:szCs w:val="16"/>
              </w:rPr>
            </w:pPr>
            <w:r>
              <w:rPr>
                <w:sz w:val="16"/>
                <w:szCs w:val="16"/>
              </w:rPr>
              <w:t>Материал дверей</w:t>
              <w:tab/>
              <w:t>Стекло</w:t>
              <w:tab/>
            </w:r>
          </w:p>
          <w:p>
            <w:pPr>
              <w:pStyle w:val="Normal"/>
              <w:rPr>
                <w:sz w:val="16"/>
                <w:szCs w:val="16"/>
              </w:rPr>
            </w:pPr>
            <w:r>
              <w:rPr>
                <w:sz w:val="16"/>
                <w:szCs w:val="16"/>
              </w:rPr>
              <w:t>Отделка стекла</w:t>
              <w:tab/>
              <w:t>Прозрачный</w:t>
              <w:tab/>
            </w:r>
          </w:p>
          <w:p>
            <w:pPr>
              <w:pStyle w:val="Normal"/>
              <w:rPr>
                <w:sz w:val="16"/>
                <w:szCs w:val="16"/>
              </w:rPr>
            </w:pPr>
            <w:r>
              <w:rPr>
                <w:sz w:val="16"/>
                <w:szCs w:val="16"/>
              </w:rPr>
              <w:t>Душевой гарнитур</w:t>
              <w:tab/>
              <w:t>Наличие</w:t>
              <w:tab/>
            </w:r>
          </w:p>
          <w:p>
            <w:pPr>
              <w:pStyle w:val="Normal"/>
              <w:rPr>
                <w:sz w:val="16"/>
                <w:szCs w:val="16"/>
              </w:rPr>
            </w:pPr>
            <w:r>
              <w:rPr>
                <w:sz w:val="16"/>
                <w:szCs w:val="16"/>
              </w:rPr>
              <w:t>Сифон</w:t>
              <w:tab/>
              <w:t>Наличие</w:t>
              <w:tab/>
            </w:r>
          </w:p>
          <w:p>
            <w:pPr>
              <w:pStyle w:val="Normal"/>
              <w:rPr>
                <w:sz w:val="16"/>
                <w:szCs w:val="16"/>
              </w:rPr>
            </w:pPr>
            <w:r>
              <w:rPr>
                <w:sz w:val="16"/>
                <w:szCs w:val="16"/>
              </w:rPr>
            </w:r>
          </w:p>
          <w:p>
            <w:pPr>
              <w:pStyle w:val="Normal"/>
              <w:rPr>
                <w:sz w:val="16"/>
                <w:szCs w:val="16"/>
              </w:rPr>
            </w:pPr>
            <w:r>
              <w:rPr>
                <w:sz w:val="16"/>
                <w:szCs w:val="16"/>
              </w:rPr>
              <w:t>ОКПД2 25.99.11.140</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16"/>
                <w:szCs w:val="16"/>
                <w:lang w:val="en-US"/>
              </w:rPr>
            </w:pPr>
            <w:r>
              <w:rPr>
                <w:sz w:val="16"/>
                <w:szCs w:val="16"/>
                <w:lang w:val="en-US"/>
              </w:rPr>
            </w:r>
          </w:p>
        </w:tc>
        <w:tc>
          <w:tcPr>
            <w:tcW w:w="1277" w:type="dxa"/>
            <w:gridSpan w:val="2"/>
            <w:tcBorders>
              <w:top w:val="single" w:sz="4" w:space="0" w:color="000001"/>
              <w:start w:val="single" w:sz="4" w:space="0" w:color="000001"/>
              <w:bottom w:val="single" w:sz="4" w:space="0" w:color="000000"/>
            </w:tcBorders>
          </w:tcPr>
          <w:p>
            <w:pPr>
              <w:pStyle w:val="Normal"/>
              <w:jc w:val="center"/>
              <w:rPr>
                <w:sz w:val="16"/>
                <w:szCs w:val="16"/>
              </w:rPr>
            </w:pPr>
            <w:r>
              <w:rPr>
                <w:sz w:val="16"/>
                <w:szCs w:val="16"/>
                <w:lang w:val="en-US"/>
              </w:rPr>
              <w:t>1</w:t>
            </w:r>
          </w:p>
        </w:tc>
        <w:tc>
          <w:tcPr>
            <w:tcW w:w="1559" w:type="dxa"/>
            <w:tcBorders>
              <w:top w:val="single" w:sz="4" w:space="0" w:color="000001"/>
              <w:start w:val="single" w:sz="4" w:space="0" w:color="000001"/>
              <w:bottom w:val="single" w:sz="4" w:space="0" w:color="000000"/>
            </w:tcBorders>
          </w:tcPr>
          <w:p>
            <w:pPr>
              <w:pStyle w:val="Normal"/>
              <w:jc w:val="center"/>
              <w:rPr>
                <w:sz w:val="16"/>
                <w:szCs w:val="16"/>
              </w:rPr>
            </w:pPr>
            <w:r>
              <w:rPr>
                <w:sz w:val="16"/>
                <w:szCs w:val="16"/>
              </w:rPr>
              <w:t>штука</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16"/>
                <w:szCs w:val="16"/>
              </w:rPr>
            </w:pPr>
            <w:r>
              <w:rPr>
                <w:sz w:val="16"/>
                <w:szCs w:val="16"/>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16"/>
                <w:szCs w:val="16"/>
                <w:highlight w:val="yellow"/>
              </w:rPr>
            </w:pPr>
            <w:r>
              <w:rPr>
                <w:sz w:val="16"/>
                <w:szCs w:val="16"/>
                <w:highlight w:val="yellow"/>
              </w:rPr>
            </w:r>
          </w:p>
        </w:tc>
        <w:tc>
          <w:tcPr>
            <w:tcW w:w="1338"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end"/>
              <w:rPr>
                <w:highlight w:val="none"/>
                <w:shd w:fill="auto" w:val="clear"/>
              </w:rPr>
            </w:pPr>
            <w:r>
              <w:rPr>
                <w:b/>
                <w:bCs/>
                <w:sz w:val="16"/>
                <w:szCs w:val="16"/>
                <w:shd w:fill="auto" w:val="clear"/>
              </w:rPr>
              <w:t>ИТОГО:</w:t>
            </w:r>
          </w:p>
        </w:tc>
        <w:tc>
          <w:tcPr>
            <w:tcW w:w="1338" w:type="dxa"/>
            <w:tcBorders>
              <w:top w:val="single" w:sz="4" w:space="0" w:color="000000"/>
              <w:start w:val="single" w:sz="4" w:space="0" w:color="000000"/>
              <w:bottom w:val="single" w:sz="4" w:space="0" w:color="000000"/>
              <w:end w:val="single" w:sz="4" w:space="0" w:color="000000"/>
            </w:tcBorders>
          </w:tcPr>
          <w:p>
            <w:pPr>
              <w:pStyle w:val="Normal"/>
              <w:jc w:val="center"/>
              <w:rPr>
                <w:b/>
                <w:bCs/>
                <w:sz w:val="16"/>
                <w:szCs w:val="16"/>
                <w:highlight w:val="yellow"/>
              </w:rPr>
            </w:pPr>
            <w:r>
              <w:rPr>
                <w:b/>
                <w:bCs/>
                <w:sz w:val="16"/>
                <w:szCs w:val="16"/>
                <w:highlight w:val="yellow"/>
              </w:rPr>
            </w:r>
          </w:p>
        </w:tc>
        <w:tc>
          <w:tcPr>
            <w:tcW w:w="3029" w:type="dxa"/>
            <w:tcBorders/>
          </w:tcPr>
          <w:p>
            <w:pPr>
              <w:pStyle w:val="Normal"/>
              <w:rPr>
                <w:sz w:val="16"/>
                <w:szCs w:val="16"/>
              </w:rPr>
            </w:pPr>
            <w:r>
              <w:rPr>
                <w:sz w:val="16"/>
                <w:szCs w:val="16"/>
              </w:rPr>
            </w:r>
          </w:p>
        </w:tc>
      </w:tr>
      <w:tr>
        <w:trPr>
          <w:trHeight w:val="1827"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b w:val="false"/>
                <w:bCs w:val="false"/>
                <w:color w:val="000000"/>
                <w:sz w:val="20"/>
                <w:szCs w:val="20"/>
              </w:rPr>
            </w:pPr>
            <w:r>
              <w:rPr>
                <w:b w:val="false"/>
                <w:bCs w:val="false"/>
                <w:color w:val="000000"/>
                <w:sz w:val="20"/>
                <w:szCs w:val="20"/>
              </w:rPr>
              <w:t>___________________ А.Е. Кузнецова</w:t>
            </w:r>
          </w:p>
          <w:p>
            <w:pPr>
              <w:pStyle w:val="Normal"/>
              <w:rPr>
                <w:b w:val="false"/>
                <w:bCs w:val="false"/>
                <w:color w:val="000000"/>
                <w:sz w:val="20"/>
                <w:szCs w:val="20"/>
              </w:rPr>
            </w:pPr>
            <w:r>
              <w:rPr>
                <w:b w:val="false"/>
                <w:bCs w:val="false"/>
                <w:color w:val="000000"/>
                <w:sz w:val="20"/>
                <w:szCs w:val="20"/>
              </w:rPr>
              <w:t xml:space="preserve">м.п.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6">
    <w:name w:val="Содержимое врезки (user)"/>
    <w:basedOn w:val="Normal"/>
    <w:qFormat/>
    <w:pPr/>
    <w:rPr/>
  </w:style>
  <w:style w:type="numbering" w:styleId="Style23" w:default="1">
    <w:name w:val="Без списка"/>
    <w:uiPriority w:val="99"/>
    <w:semiHidden/>
    <w:unhideWhenUsed/>
    <w:qFormat/>
  </w:style>
  <w:style w:type="numbering" w:styleId="123user">
    <w:name w:val="Нумерованный 123 (user)"/>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59</TotalTime>
  <Application>LibreOffice/25.8.3.2$Linux_X86_64 LibreOffice_project/580$Build-2</Application>
  <AppVersion>15.0000</AppVersion>
  <Pages>7</Pages>
  <Words>3066</Words>
  <Characters>22061</Characters>
  <CharactersWithSpaces>25494</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2026-08-11T09:00:18Z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