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6"/>
        <w:keepNext w:val="false"/>
        <w:widowControl w:val="false"/>
        <w:pBdr/>
        <w:spacing/>
        <w:ind w:right="42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ПОСТАВКИ № ______/26-Б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Ростов-на-Дону                                                                                                                     </w:t>
      </w:r>
      <w:r>
        <w:rPr>
          <w:sz w:val="22"/>
          <w:szCs w:val="22"/>
        </w:rPr>
        <w:t xml:space="preserve">   «</w:t>
      </w:r>
      <w:r>
        <w:rPr>
          <w:sz w:val="22"/>
          <w:szCs w:val="22"/>
        </w:rPr>
        <w:t xml:space="preserve">___» ____ 2026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ru-RU"/>
        </w:rPr>
        <w:t xml:space="preserve"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</w:t>
      </w:r>
      <w:r>
        <w:rPr>
          <w:rFonts w:eastAsia="Calibri"/>
          <w:color w:val="00000a"/>
          <w:sz w:val="24"/>
          <w:szCs w:val="24"/>
          <w:lang w:eastAsia="ru-RU"/>
        </w:rPr>
        <w:t xml:space="preserve">ы прав потребителей и благополучия человека (ФКУЗ Ростовский-на-Дону противочумный институт Роспотребнадзора), выступающее от имени Российской Федерации, именуемое в дальнейшем «Заказчик», в лице Директора Гаевской Натальи Евгеньевны, действующего на основ</w:t>
      </w:r>
      <w:r>
        <w:rPr>
          <w:rFonts w:eastAsia="Calibri"/>
          <w:color w:val="00000a"/>
          <w:sz w:val="24"/>
          <w:szCs w:val="24"/>
          <w:lang w:eastAsia="ru-RU"/>
        </w:rPr>
        <w:t xml:space="preserve">ании Устава, с одной стороны, и ________________________________________ (_______________________), именуемое в дальнейшем «Поставщик», в лице _____________________________, действующего на основании _____________________, далее вместе именуемые «Стороны»,</w:t>
      </w:r>
      <w:r>
        <w:rPr>
          <w:color w:val="000000"/>
          <w:sz w:val="24"/>
          <w:szCs w:val="24"/>
          <w:lang w:eastAsia="ru-RU"/>
        </w:rPr>
        <w:t xml:space="preserve"> 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1. ПРЕДМЕТ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1.1. По настоящему Договору Поставщик обязуется поставить Заказ</w:t>
      </w:r>
      <w:r>
        <w:rPr>
          <w:sz w:val="24"/>
          <w:szCs w:val="24"/>
          <w:highlight w:val="white"/>
        </w:rPr>
        <w:t xml:space="preserve">чику</w:t>
      </w:r>
      <w:r>
        <w:t xml:space="preserve"> </w:t>
      </w:r>
      <w:r>
        <w:rPr>
          <w:sz w:val="24"/>
          <w:szCs w:val="24"/>
        </w:rPr>
        <w:t xml:space="preserve">периферийные устройства для персонального компьютера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highlight w:val="white"/>
        </w:rPr>
        <w:t xml:space="preserve">(далее по тексту – Товар) для ФКУЗ Ростовский-на-Дону противочумный институт Роспотребнадзора, в количестве, ассортименте и по ценам, согласно Спецификации</w:t>
      </w:r>
      <w:r>
        <w:rPr>
          <w:sz w:val="24"/>
          <w:szCs w:val="24"/>
          <w:highlight w:val="white"/>
          <w:lang w:eastAsia="zh-CN"/>
        </w:rPr>
        <w:t xml:space="preserve"> </w:t>
      </w:r>
      <w:r>
        <w:rPr>
          <w:sz w:val="24"/>
          <w:szCs w:val="24"/>
          <w:highlight w:val="white"/>
        </w:rPr>
        <w:t xml:space="preserve">(Приложение №1) к настоящему Договору, а Заказчик обязуется принять и оплатить только принятый в установленном Договором порядке Товар по цене, предусмотренной Договором.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21" w:firstLine="567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1.2. </w:t>
      </w:r>
      <w:r>
        <w:rPr>
          <w:color w:val="000000"/>
          <w:sz w:val="24"/>
          <w:szCs w:val="24"/>
          <w:highlight w:val="white"/>
          <w:lang w:eastAsia="ru-RU"/>
        </w:rPr>
        <w:t xml:space="preserve">Поставка Товара осуществляется силами и за счет Поставщика, транспортом Поставщика непосредственно по адресу, указанному в пункте 4.2 настоящего договора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1.3. Право собственности на поставленный Товар переходит от Поставщика к Заказчику в момент фактической передачи Заказчику Товара и подписания накладной.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widowControl w:val="false"/>
        <w:pBdr/>
        <w:spacing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2. КАЧЕСТВО ПОСТАВЛЯЕМОГО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Качество Товара должно соответствовать, техническим регламентам, государственным стандартам,</w:t>
      </w:r>
      <w:r>
        <w:rPr>
          <w:sz w:val="24"/>
          <w:szCs w:val="24"/>
        </w:rPr>
        <w:t xml:space="preserve">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 Товар поставляется в упаковке, соответствующей ее характеру и способу транспор</w:t>
      </w:r>
      <w:r>
        <w:rPr>
          <w:sz w:val="24"/>
          <w:szCs w:val="24"/>
        </w:rPr>
        <w:t xml:space="preserve">тировки. Упаковка должна предохранять Товар от всякого рода повреждений, утраты товарного вида при его перевозке с учетом возможных перегрузок в пути и длительного хранения. Отгрузка, доставка и разгрузка Товара осуществляется силами и за счет Поставщика.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Маркировка Товара должна содержать: наименование Товара, наименование фирмы-изготовителя, юридический адрес изготовителя, дату выпуска и срок годности. Маркировка упаковки должна строго соответствовать маркировке Товара.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 ЦЕНА ДОГОВОРА И ПОРЯДОК РАСЧЕТОВ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3.1. Цена Договора составл</w:t>
      </w:r>
      <w:r>
        <w:rPr>
          <w:sz w:val="24"/>
          <w:szCs w:val="24"/>
          <w:highlight w:val="white"/>
        </w:rPr>
        <w:t xml:space="preserve">яет ____________________ (__________________) рублей ___ копеек.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НДС: ___ %, - ____________________</w:t>
      </w:r>
      <w:r>
        <w:rPr>
          <w:sz w:val="24"/>
          <w:szCs w:val="24"/>
          <w:highlight w:val="white"/>
        </w:rPr>
        <w:t xml:space="preserve">_  (</w:t>
      </w:r>
      <w:r>
        <w:rPr>
          <w:sz w:val="24"/>
          <w:szCs w:val="24"/>
          <w:highlight w:val="white"/>
        </w:rPr>
        <w:t xml:space="preserve">_________________) рублей  ___  копеек </w:t>
      </w:r>
      <w:r>
        <w:rPr>
          <w:sz w:val="22"/>
          <w:szCs w:val="22"/>
        </w:rPr>
        <w:t xml:space="preserve">(если облагается)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firstLine="567"/>
        <w:jc w:val="both"/>
        <w:rPr>
          <w:color w:val="000000"/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КБК: </w:t>
      </w:r>
      <w:r>
        <w:rPr>
          <w:sz w:val="24"/>
          <w:szCs w:val="24"/>
          <w:highlight w:val="none"/>
        </w:rPr>
        <w:t xml:space="preserve">141 0907 01 4 03 90059 242</w:t>
      </w:r>
      <w:r>
        <w:rPr>
          <w:color w:val="000000"/>
          <w:sz w:val="24"/>
          <w:szCs w:val="24"/>
          <w:highlight w:val="none"/>
        </w:rPr>
        <w:t xml:space="preserve">.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Цена Договора включает в себ</w:t>
      </w:r>
      <w:r>
        <w:rPr>
          <w:sz w:val="24"/>
          <w:szCs w:val="24"/>
        </w:rPr>
        <w:t xml:space="preserve">я стоимость Товара, тары, упаковки и маркировки, расходы на перевозку, доставку, разгрузку, а также все затраты на страхование, уплату налогов (в т.ч. НДС), таможенных пошлин, сборов и других обязательных платежей, связанных с исполнением условий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о Контрактной системе и иным действующим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Цена Договора может быть снижена по соглашению сторон без изменения предусмотренных Договором количества Товара и иных условий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Оплата по Договору осуществляется путем безналичного расчета за счет средств федерального бюджета, в валюте РФ – рубли.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В случае изменения своего расчетного счета Поставщик обязан в течение 3 ра</w:t>
      </w:r>
      <w:r>
        <w:rPr>
          <w:sz w:val="24"/>
          <w:szCs w:val="24"/>
        </w:rPr>
        <w:t xml:space="preserve">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Обязательства Заказчика по оплате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Расчет за поставленный Товар производится Заказчиком по факту поставки, в </w:t>
      </w:r>
      <w:r>
        <w:rPr>
          <w:sz w:val="24"/>
          <w:szCs w:val="24"/>
        </w:rPr>
        <w:t xml:space="preserve">течение 10 (Десяти) рабочих дней с даты исполнения Поставщиком в полном объеме принятых на себя обязательств в соответствии с пунктом 1.1. - 1.3. настоящего Договора и подписания сторонами документа о приемке, на основании выставленного Поставщиком счёта.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 w:bidi="en-US"/>
        </w:rPr>
        <w:t xml:space="preserve">4. СРОКИ И УСЛОВИЯ ПОСТАВКИ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67"/>
        <w:contextualSpacing w:val="true"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4.1. Поставка Товара осуществляется силами Поставщика и за его счет в соответствующее помещение по указанию Заказчика, </w:t>
      </w:r>
      <w:r>
        <w:rPr>
          <w:spacing w:val="-8"/>
          <w:sz w:val="24"/>
          <w:szCs w:val="24"/>
          <w:lang w:eastAsia="en-US" w:bidi="en-US"/>
        </w:rPr>
        <w:t xml:space="preserve">согласно спецификации на Товар (Приложение №1). </w:t>
      </w:r>
      <w:r>
        <w:rPr>
          <w:sz w:val="24"/>
          <w:szCs w:val="24"/>
          <w:lang w:eastAsia="en-US" w:bidi="en-US"/>
        </w:rPr>
        <w:t xml:space="preserve">Срок поставки Товара: 15 (Пятнадцать) рабочих дней </w:t>
      </w:r>
      <w:r>
        <w:rPr>
          <w:sz w:val="24"/>
          <w:szCs w:val="24"/>
          <w:lang w:eastAsia="ru-RU"/>
        </w:rPr>
        <w:t xml:space="preserve">с даты заключения контракта</w:t>
      </w:r>
      <w:r>
        <w:rPr>
          <w:bCs/>
          <w:sz w:val="24"/>
          <w:szCs w:val="24"/>
          <w:highlight w:val="white"/>
          <w:lang w:eastAsia="en-US" w:bidi="en-US"/>
        </w:rPr>
        <w:t xml:space="preserve">.</w:t>
      </w:r>
      <w:r>
        <w:rPr>
          <w:bCs/>
          <w:sz w:val="24"/>
          <w:szCs w:val="24"/>
          <w:lang w:eastAsia="en-US" w:bidi="en-US"/>
        </w:rPr>
        <w:t xml:space="preserve"> Товар поставляется в рабочие дни с 09.00 до 16.00 по московскому времени. </w:t>
      </w:r>
      <w:r>
        <w:rPr>
          <w:sz w:val="24"/>
          <w:szCs w:val="24"/>
          <w:lang w:eastAsia="ru-RU"/>
        </w:rPr>
        <w:t xml:space="preserve">Дата и время доставки Товара должно быть сообщено Поставщиком Заказчику предварительно не менее чем за три дня.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  <w:lang w:eastAsia="ru-RU"/>
        </w:rPr>
        <w:t xml:space="preserve">4.2. Поставка Товара по настоящему Договору осуществляется </w:t>
      </w:r>
      <w:r>
        <w:rPr>
          <w:sz w:val="24"/>
          <w:szCs w:val="24"/>
          <w:lang w:eastAsia="zh-CN"/>
        </w:rPr>
        <w:t xml:space="preserve">по адресу: </w:t>
      </w:r>
      <w:r>
        <w:rPr>
          <w:sz w:val="24"/>
          <w:szCs w:val="24"/>
          <w:lang w:eastAsia="ru-RU"/>
        </w:rPr>
        <w:t xml:space="preserve">г. Ростов-на-Дону, ул. Горького 117/40, ФКУЗ Ростовский-на-Дону противочумный институт Роспотребнадзора, транспортом Поставщика. </w:t>
      </w:r>
      <w:r>
        <w:rPr>
          <w:sz w:val="24"/>
          <w:szCs w:val="24"/>
          <w:lang w:eastAsia="zh-CN"/>
        </w:rPr>
        <w:t xml:space="preserve">Моментом поставки является доставка и разгрузка Товара Заказчику по месту назначения и в указанном Заказчиком месте.</w:t>
      </w:r>
      <w:r>
        <w:rPr>
          <w:spacing w:val="-8"/>
          <w:sz w:val="24"/>
          <w:szCs w:val="24"/>
        </w:rPr>
      </w:r>
      <w:r>
        <w:rPr>
          <w:spacing w:val="-8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4.3. Датой поставки Товара считается дата подписания Сторонами (или их представителями) всех необходимых документов (счет, Товарная/транспортная накладная, счет-фактура (при наличии), акт приема-сдачи Товара и т.д.).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2099"/>
          <w:tab w:val="left" w:leader="none" w:pos="2810"/>
          <w:tab w:val="center" w:leader="none" w:pos="5669"/>
        </w:tabs>
        <w:spacing/>
        <w:ind w:firstLine="567"/>
        <w:rPr>
          <w:b/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4.5. Некачественный (некомплектный) Товар считается не поставленным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</w:t>
      </w:r>
      <w:r>
        <w:rPr>
          <w:b/>
          <w:bCs/>
          <w:sz w:val="24"/>
          <w:szCs w:val="24"/>
          <w:lang w:eastAsia="zh-CN" w:bidi="en-US"/>
        </w:rPr>
        <w:t xml:space="preserve"> ПОРЯДОК ПРИЕМКИ ТОВАРА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5.1. Поставщик передаёт Заказчику вместе с Товаром следующую документацию: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а) К</w:t>
      </w:r>
      <w:r>
        <w:rPr>
          <w:sz w:val="24"/>
          <w:szCs w:val="24"/>
          <w:lang w:eastAsia="zh-CN" w:bidi="en-US"/>
        </w:rPr>
        <w:t xml:space="preserve">опию па</w:t>
      </w:r>
      <w:r>
        <w:rPr>
          <w:sz w:val="24"/>
          <w:szCs w:val="24"/>
          <w:lang w:eastAsia="zh-CN" w:bidi="en-US"/>
        </w:rPr>
        <w:t xml:space="preserve">спорта производителя на каждую серию (при наличии), копию сертификата соответствия или копию другого документа, подтверждающего соответствие качества Товара; сертификаты анализа (при наличии), сведения о регистрации декларации о соответствии (при наличии);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б) Счет, счет-фактуру (при наличии), выставленные Заказчику;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в) Товарную/транспортную накладную в 2-х экз. (акт приема-передачи Товара).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ab/>
        <w:t xml:space="preserve">Д</w:t>
      </w:r>
      <w:r>
        <w:rPr>
          <w:sz w:val="24"/>
          <w:szCs w:val="24"/>
          <w:lang w:eastAsia="zh-CN" w:bidi="en-US"/>
        </w:rPr>
        <w:t xml:space="preserve">окументы, предоставляемые в копиях, должны быть заверены подписью должностного лица Поставщика или уполномоченного им лица с приложением доверенности, с указанием Ф.И.О., должности, даты заверения документа. Подпись должна быть заверена печатью Поставщика.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5.2. Приемка Товара по количеству, комплектности и качеству осуществляется уполномоченным представителем Заказчика или приемочной комиссией Заказчика. Предста</w:t>
      </w:r>
      <w:r>
        <w:rPr>
          <w:sz w:val="24"/>
          <w:szCs w:val="24"/>
          <w:lang w:eastAsia="zh-CN" w:bidi="en-US"/>
        </w:rPr>
        <w:t xml:space="preserve">витель Заказчика или приемочная комиссия Заказчика пересчитывает Товар; производит осмотр Товара, упаковки и маркировки на соответствие условиям Договора; осматривает на предмет недостатков. Приемка Товара осуществляется в течение 10 (Десяти) рабочих дней.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5.3. Приемка Товара по качеству, комплектности и объему требований, установленным настоящим Договором, производится в точном соответствии со Спецификацией к настоящему Договору и иными условиями настоящего Договора, а также по сопроводительным документам.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5.4. Основаниями для составления мотивированного отказа являются отсутствие сопроводительных документов или н</w:t>
      </w:r>
      <w:r>
        <w:rPr>
          <w:sz w:val="24"/>
          <w:szCs w:val="24"/>
          <w:lang w:eastAsia="zh-CN" w:bidi="en-US"/>
        </w:rPr>
        <w:t xml:space="preserve">екоторых из них; несоответствие Товара, маркировки поступившего Товара, тары или упаковки условиям настоящего Договора; недостатки Товара. При этом Заказчик может отказаться от приемки Товара и потребовать заменить его в течение 20 (Двадцати) рабочих дней.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5.5.</w:t>
      </w:r>
      <w:r>
        <w:rPr>
          <w:rFonts w:ascii="Calibri" w:hAnsi="Calibri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zh-CN" w:bidi="en-US"/>
        </w:rPr>
        <w:t xml:space="preserve">В случае получения мотивированного отказа от подписания документа о приемке Поставщик вправе ус</w:t>
      </w:r>
      <w:r>
        <w:rPr>
          <w:sz w:val="24"/>
          <w:szCs w:val="24"/>
          <w:lang w:eastAsia="zh-CN" w:bidi="en-US"/>
        </w:rPr>
        <w:t xml:space="preserve">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5.6. По итогам приемки То</w:t>
      </w:r>
      <w:r>
        <w:rPr>
          <w:sz w:val="24"/>
          <w:szCs w:val="24"/>
          <w:lang w:eastAsia="zh-CN" w:bidi="en-US"/>
        </w:rPr>
        <w:t xml:space="preserve">вара при наличии документов, указанных в п. 5.1 настоящего Договора, и при отсутствии претензий относительно качества, количества, ассортимента, комплектности и других характеристик Товара, Заказчик подписывает Товарную/транспортную накладную (акт приемки-</w:t>
      </w:r>
      <w:r>
        <w:rPr>
          <w:sz w:val="24"/>
          <w:szCs w:val="24"/>
          <w:lang w:eastAsia="zh-CN" w:bidi="en-US"/>
        </w:rPr>
        <w:t xml:space="preserve">передачи Товара) в 2 (Двух) экземплярах и передает один экземпляр Поставщику.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5.7. Для проверки постав</w:t>
      </w:r>
      <w:r>
        <w:rPr>
          <w:sz w:val="24"/>
          <w:szCs w:val="24"/>
          <w:lang w:eastAsia="en-US" w:bidi="en-US"/>
        </w:rPr>
        <w:t xml:space="preserve">ленного Товара в части его соответствия условиям Договора,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Договоров/Контрактов.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6. ПРАВА И ОБЯЗАННОСТИ СТОРОН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sz w:val="24"/>
          <w:szCs w:val="24"/>
        </w:rPr>
        <w:t xml:space="preserve">Поставщик обязан: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6.1.1. Своевременно и надлежащим образом произвести поставку Товара на условиях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6.1.2.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6.1.3. Предоставить Заказчику декларацию о наименовании страны происхождения Товар</w:t>
      </w:r>
      <w:r>
        <w:rPr>
          <w:sz w:val="24"/>
          <w:szCs w:val="24"/>
        </w:rPr>
        <w:t xml:space="preserve">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Договором. Такие документы передаются вместе с Товаром;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6.1.4.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6.1.5. Представить Заказчику сведения об изменении своего фактического </w:t>
      </w:r>
      <w:r>
        <w:rPr>
          <w:sz w:val="24"/>
          <w:szCs w:val="24"/>
        </w:rPr>
        <w:t xml:space="preserve">местонахождения в срок не позднее 3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Передавать Поставщику по его запросу необходимую для исполнения Договора информацию;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Оплатить Товар по факту поставки в течение 10 (Десяти) рабочих дней. Заказчик оплачивает Товар по реквизитам, указанным в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6.3. Поставщик вправе: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6.3.1. Требовать подписания Заказчиком документа о приемке Товара по настоящему Договору;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6.3.2. Требовать своевременной оплаты за поставленный Товар;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Запрашивать у Заказчика предоставления разъяснений и уточнений по вопросам поставки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Заказчик вправе: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6.4.1. Требовать от Поставщика надлежащего исполнения обязательств в соответствии с условиями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6.4.3. Запрашивать у Поставщика информацию о ходе и состоянии исполнения обязательств Поставщика по настоящему Договору;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6.4.4. Осуществлять контроль порядка и сроков поставки Товара;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поставляемого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7. ГАРАНТИИ И ТРЕБОВАНИЯ К КАЧЕСТВУ ТОВАРА.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Товар должен иметь сертификаты соответствия (при наличии), декларации о соответствии (при наличии), регистрационное удостоверение (при наличии), инструкции на р</w:t>
      </w:r>
      <w:r>
        <w:rPr>
          <w:sz w:val="24"/>
          <w:szCs w:val="24"/>
        </w:rPr>
        <w:t xml:space="preserve">усском языке,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Поставщик гарантирует соответствие качества и безопасности поставленного по Договору Товара требованиям настоящего Договора. Поставщик отвечает за любые недостатки Товара, обнаруженные в течение гарантийного</w:t>
      </w:r>
      <w:r>
        <w:rPr>
          <w:sz w:val="24"/>
          <w:szCs w:val="24"/>
        </w:rPr>
        <w:t xml:space="preserve"> срока хранения, за исключением случаев, если недостатки Товара возникли после его принятия Заказчиком вследствие нарушения Заказчиком правил пользования Товаром или его хранения. При выявлении в течение гарантийного срока недостатков поставленного Товара </w:t>
      </w:r>
      <w:r>
        <w:rPr>
          <w:sz w:val="24"/>
          <w:szCs w:val="24"/>
        </w:rPr>
        <w:t xml:space="preserve">Поставщик по требованию Заказчика обязан в срок не более 20 рабочих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Остаточный срок годности товара на момент поставки должен составлять не менее 80% от гарантированного производителем срока годности относительно каждой единицы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2324"/>
          <w:tab w:val="left" w:leader="none" w:pos="3060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В случае неоднократного выяв</w:t>
      </w:r>
      <w:r>
        <w:rPr>
          <w:sz w:val="24"/>
          <w:szCs w:val="24"/>
        </w:rPr>
        <w:t xml:space="preserve">ления недостатков поставленного Товара в течение гарантийного срока Поставщик по требованию Заказчика обязан за свой счет в срок не более 10 (Десяти) рабочих дней заменить Товар ненадлежащего качества Товаром, соответствующим условиям настоящего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Правилами определения размера штрафа, начисляемого в случае нена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color w:val="000000"/>
          <w:sz w:val="24"/>
          <w:szCs w:val="24"/>
          <w:lang w:eastAsia="ru-RU"/>
        </w:rPr>
        <w:t xml:space="preserve">,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Правительства РФ от 30.08.2017 г. № 1042 (далее - Правила).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bCs/>
          <w:color w:val="00000a"/>
          <w:sz w:val="24"/>
          <w:szCs w:val="24"/>
          <w:lang w:eastAsia="ru-RU"/>
        </w:rPr>
        <w:t xml:space="preserve">8.3.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гарантийного обязательства),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а) 10 процентов цены Договора (этапа) в случае, если цена Договора (этапа) не превышает 3 млн. рублей и составляет _____________________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 (________________________) рублей ___ копеек.</w:t>
      </w:r>
      <w:r>
        <w:rPr>
          <w:color w:val="00000a"/>
          <w:sz w:val="24"/>
          <w:szCs w:val="24"/>
          <w:highlight w:val="white"/>
          <w:shd w:val="clear" w:color="auto" w:fill="ffffff"/>
        </w:rPr>
      </w:r>
      <w:r>
        <w:rPr>
          <w:color w:val="00000a"/>
          <w:sz w:val="24"/>
          <w:szCs w:val="24"/>
          <w:highlight w:val="white"/>
          <w:shd w:val="clear" w:color="auto" w:fill="ffffff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8.4. За каждый факт неис</w:t>
      </w:r>
      <w:r>
        <w:rPr>
          <w:color w:val="00000a"/>
          <w:sz w:val="24"/>
          <w:szCs w:val="24"/>
          <w:lang w:eastAsia="ru-RU"/>
        </w:rPr>
        <w:t xml:space="preserve">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рублей;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567"/>
        </w:tabs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8.5. </w:t>
      </w:r>
      <w:r>
        <w:rPr>
          <w:color w:val="00000a"/>
          <w:sz w:val="24"/>
          <w:szCs w:val="24"/>
          <w:lang w:eastAsia="ru-RU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а) 1000 рублей, если цена договора не превышает 3 млн. рублей (включительно);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8.6. В случ</w:t>
      </w:r>
      <w:r>
        <w:rPr>
          <w:bCs/>
          <w:sz w:val="24"/>
          <w:szCs w:val="24"/>
          <w:lang w:eastAsia="ru-RU"/>
        </w:rPr>
        <w:t xml:space="preserve">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</w:t>
      </w:r>
      <w:r>
        <w:rPr>
          <w:bCs/>
          <w:color w:val="00000a"/>
          <w:sz w:val="24"/>
          <w:szCs w:val="24"/>
          <w:lang w:eastAsia="ru-RU"/>
        </w:rPr>
        <w:t xml:space="preserve">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Поставщиком обязательств (в том чис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9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Размер пени = (цена договора – объем выполненных обязательств) / 300×ключевая ставка × количество дней просрочки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shd w:val="clear" w:color="auto" w:fill="ffffff"/>
        <w:spacing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993"/>
        </w:tabs>
        <w:spacing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8.10. </w:t>
      </w:r>
      <w:r>
        <w:rPr>
          <w:color w:val="00000a"/>
          <w:sz w:val="24"/>
          <w:szCs w:val="24"/>
          <w:lang w:eastAsia="ru-RU"/>
        </w:rPr>
        <w:t xml:space="preserve"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bCs/>
          <w:color w:val="00000a"/>
          <w:sz w:val="24"/>
          <w:szCs w:val="24"/>
        </w:rPr>
      </w:r>
      <w:r>
        <w:rPr>
          <w:bCs/>
          <w:color w:val="00000a"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 xml:space="preserve">8.11. Уплата неустойки, пени, штрафов не освобождает стороны от исполнения обязательств, принятых на себя по Договору</w:t>
      </w:r>
      <w:r>
        <w:rPr>
          <w:color w:val="00000a"/>
          <w:sz w:val="24"/>
          <w:szCs w:val="24"/>
        </w:rPr>
      </w:r>
      <w:r>
        <w:rPr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709"/>
        </w:tabs>
        <w:spacing/>
        <w:ind w:firstLine="567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en-US"/>
        </w:rPr>
        <w:t xml:space="preserve">8.12. При нарушении сроков поставки более чем на 20 (Двадцать) дней, Заказчик вправе расторгнуть Договор в одностороннем порядке. </w:t>
      </w:r>
      <w:r>
        <w:rPr>
          <w:rFonts w:eastAsia="Calibri"/>
          <w:color w:val="00000a"/>
          <w:sz w:val="24"/>
          <w:szCs w:val="24"/>
        </w:rPr>
      </w:r>
      <w:r>
        <w:rPr>
          <w:rFonts w:eastAsia="Calibri"/>
          <w:color w:val="00000a"/>
          <w:sz w:val="24"/>
          <w:szCs w:val="24"/>
        </w:rPr>
      </w:r>
    </w:p>
    <w:p>
      <w:pPr>
        <w:widowControl w:val="false"/>
        <w:pBdr/>
        <w:tabs>
          <w:tab w:val="left" w:leader="none" w:pos="2108"/>
          <w:tab w:val="center" w:leader="none" w:pos="5648"/>
        </w:tabs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9. ФОРС-МАЖОР (ДЕЙСТВИЯ НЕПРЕОДОЛИМОЙ СИЛЫ)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9.1</w:t>
      </w:r>
      <w:r>
        <w:rPr>
          <w:sz w:val="24"/>
          <w:szCs w:val="24"/>
        </w:rPr>
        <w:t xml:space="preserve">. Ни одна из сторон не несёт ответственности перед другой стороной за невыполнение обязательств, обусловленное</w:t>
      </w:r>
      <w:r>
        <w:rPr>
          <w:sz w:val="24"/>
          <w:szCs w:val="24"/>
        </w:rPr>
        <w:t xml:space="preserve">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9.2. </w:t>
      </w:r>
      <w:r>
        <w:rPr>
          <w:sz w:val="24"/>
          <w:szCs w:val="24"/>
        </w:rPr>
        <w:t xml:space="preserve"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>
        <w:rPr>
          <w:sz w:val="24"/>
          <w:szCs w:val="24"/>
        </w:rPr>
        <w:t xml:space="preserve"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 xml:space="preserve">10. АНТИКОРРУПЦИОННАЯ ОГОВОРКА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widowControl w:val="false"/>
        <w:pBdr/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</w:t>
      </w:r>
      <w:r>
        <w:rPr>
          <w:rFonts w:eastAsia="Calibri"/>
          <w:sz w:val="24"/>
          <w:szCs w:val="24"/>
          <w:lang w:eastAsia="en-US"/>
        </w:rPr>
        <w:t xml:space="preserve">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</w:t>
      </w:r>
      <w:r>
        <w:rPr>
          <w:rFonts w:eastAsia="Calibri"/>
          <w:sz w:val="24"/>
          <w:szCs w:val="24"/>
          <w:lang w:eastAsia="en-US"/>
        </w:rPr>
        <w:t xml:space="preserve"> настоящего Договора законодательством, как дача/получение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tabs>
          <w:tab w:val="left" w:leader="none" w:pos="993"/>
          <w:tab w:val="left" w:leader="none" w:pos="2487"/>
        </w:tabs>
        <w:spacing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10.2. В случае нарушения одной Стороной обязательств воздерживаться от запрещенных в предыдущем пункте действий, другая Сторона имеет право расторгнуть Договор в одностороннем порядке полностью ил</w:t>
      </w:r>
      <w:r>
        <w:rPr>
          <w:rFonts w:eastAsia="Calibri"/>
          <w:sz w:val="24"/>
          <w:szCs w:val="24"/>
          <w:lang w:eastAsia="en-US"/>
        </w:rPr>
        <w:t xml:space="preserve">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11. РАЗРЕШЕНИЕ СПОРОВ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</w:t>
      </w:r>
      <w:r>
        <w:rPr>
          <w:sz w:val="24"/>
          <w:szCs w:val="24"/>
        </w:rPr>
        <w:t xml:space="preserve">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(Десяти) рабочих дней от дня ее получения.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11.2. Все споры и разногласия, не урегулированные путем претензионного порядка, подлежат рассмотрению в Арбитражном суде Ростовской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12. СРОК ДЕЙСТВИЯ ДОГОВОРА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12.1. Настоящий Договор вступает в действие со дня его подписания Сторонами и действует до полного исполнения сторонами принятых на себя обязательств, но не позднее</w:t>
      </w:r>
      <w:r>
        <w:rPr>
          <w:b/>
          <w:bCs/>
          <w:sz w:val="24"/>
          <w:szCs w:val="24"/>
          <w:highlight w:val="white"/>
        </w:rPr>
        <w:t xml:space="preserve"> 30 октября </w:t>
      </w:r>
      <w:r>
        <w:rPr>
          <w:b/>
          <w:sz w:val="24"/>
          <w:szCs w:val="24"/>
          <w:highlight w:val="white"/>
        </w:rPr>
        <w:t xml:space="preserve">2026 г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договора, а также от ответственности за нарушение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13.  ЗАКЛЮЧИТЕЛЬНЫЕ ПОЛОЖЕНИЯ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13.2. Все уведомления Сторон, связанные с исполнением настоящего Договора, </w:t>
      </w:r>
      <w:r>
        <w:rPr>
          <w:sz w:val="24"/>
          <w:szCs w:val="24"/>
        </w:rPr>
        <w:t xml:space="preserve">направляются в письменной форме по почте заказным письмом по фактическому адресу Стороны или по электронной почте, указанным в части 14 настоящего Договора, или с использованием факсимильной связи, электронной почты с последующим представлением оригинала.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отправления уведомлений посредством факсимильной связи уведомления считаются полученными Стороной в день их отправки.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отправке доку</w:t>
      </w:r>
      <w:r>
        <w:rPr>
          <w:sz w:val="24"/>
          <w:szCs w:val="24"/>
        </w:rPr>
        <w:t xml:space="preserve">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Сообщения направляются по следующим адресам электронной почты: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Заказчик: ks.plague@mail.ru – отдел закупок, popova_av@antiplague.ru - бухгалтерия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- Поставщик: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</w:t>
      </w:r>
      <w:r>
        <w:rPr>
          <w:sz w:val="24"/>
          <w:szCs w:val="24"/>
        </w:rPr>
        <w:t xml:space="preserve"> рамках настоящего Договора. Документы, направленные с других электронных адресов, или на другие электронные адреса, не имеют юридической силы. Настоящий Договор подписан в двух экземплярах, имеющих равную юридическую силу, по одному для каждой из сторон.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13.3.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13.4. Неотъемлемой частью Договора является: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1- «Спецификация»;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– «Акт приема-передачи товара».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tabs>
          <w:tab w:val="left" w:leader="none" w:pos="0"/>
          <w:tab w:val="left" w:leader="none" w:pos="567"/>
        </w:tabs>
        <w:spacing/>
        <w:ind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14. АДРЕСА СТОРОН И ИХ БАНКОВСКИЕ РЕКВИЗИТЫ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495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554"/>
      </w:tblGrid>
      <w:tr>
        <w:trPr>
          <w:trHeight w:val="5141"/>
        </w:trPr>
        <w:tc>
          <w:tcPr>
            <w:tcBorders/>
            <w:tcW w:w="5210" w:type="dxa"/>
          </w:tcPr>
          <w:p>
            <w:pPr>
              <w:widowControl w:val="false"/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ФКУЗ Ростовский-на-Дону противочумный институт Роспотребнадзора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6164101841    КПП 616401001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344002, Ростовская область, г. Ростов-на-Дону,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М. Горького, 117/40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Тел/факс: (863) 267-02-23; (863) 242-50-11 - отдел закупок, (863) 244-08-32 - бухгалтерия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plague@aaanet.ru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03211643000000013230 УФК по Нижегородской области (ФКУЗ Ростовский-на-Дону противочумный институт Роспотребнадзора, л/с 05581131810) ОКЦ № 1 ВВГУ Банка России // УФК по Нижегородской области, г. Нижний Новгород,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40102810745370000024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012202102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Директор </w:t>
            </w:r>
            <w:r>
              <w:rPr>
                <w:rFonts w:eastAsia="SimSun"/>
                <w:spacing w:val="-2"/>
                <w:sz w:val="22"/>
                <w:szCs w:val="22"/>
              </w:rPr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0"/>
                <w:tab w:val="left" w:leader="none" w:pos="2324"/>
              </w:tabs>
              <w:spacing/>
              <w:ind w:right="21"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____________________/ Н.Е. Гаевская /</w:t>
            </w:r>
            <w:r>
              <w:rPr>
                <w:rFonts w:eastAsia="SimSun"/>
                <w:spacing w:val="-2"/>
                <w:sz w:val="22"/>
                <w:szCs w:val="22"/>
              </w:rPr>
            </w:r>
            <w:r>
              <w:rPr>
                <w:rFonts w:eastAsia="SimSun"/>
                <w:spacing w:val="-2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Э.П.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670" w:type="dxa"/>
          </w:tcPr>
          <w:p>
            <w:pPr>
              <w:widowControl w:val="false"/>
              <w:pBdr/>
              <w:spacing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_____________________/</w:t>
            </w:r>
            <w:r>
              <w:rPr>
                <w:color w:val="000000"/>
                <w:sz w:val="22"/>
                <w:szCs w:val="22"/>
              </w:rPr>
              <w:t xml:space="preserve"> _____________ 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 xml:space="preserve">/</w:t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  <w:r>
              <w:rPr>
                <w:color w:val="000000"/>
                <w:sz w:val="22"/>
                <w:szCs w:val="22"/>
                <w:lang w:eastAsia="en-US" w:bidi="en-US"/>
              </w:rPr>
            </w:r>
          </w:p>
          <w:p>
            <w:pPr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Э.П.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80"/>
        <w:widowControl w:val="false"/>
        <w:pBdr/>
        <w:spacing w:after="0"/>
        <w:ind/>
        <w:rPr>
          <w:sz w:val="22"/>
          <w:szCs w:val="22"/>
        </w:rPr>
        <w:sectPr>
          <w:footnotePr/>
          <w:endnotePr/>
          <w:type w:val="continuous"/>
          <w:pgSz w:h="16838" w:orient="portrait" w:w="11906"/>
          <w:pgMar w:top="567" w:right="567" w:bottom="567" w:left="567" w:header="284" w:footer="284" w:gutter="0"/>
          <w:cols w:num="1" w:sep="0" w:space="720" w:equalWidth="1"/>
        </w:sect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80"/>
        <w:widowControl w:val="false"/>
        <w:pBdr/>
        <w:spacing w:after="0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Договору поставки </w:t>
      </w:r>
      <w:r>
        <w:rPr>
          <w:sz w:val="24"/>
          <w:szCs w:val="24"/>
          <w:lang w:eastAsia="en-US" w:bidi="en-US"/>
        </w:rPr>
        <w:t xml:space="preserve">№ ____</w:t>
      </w:r>
      <w:r>
        <w:rPr>
          <w:sz w:val="24"/>
          <w:szCs w:val="24"/>
        </w:rPr>
        <w:t xml:space="preserve">/26-Б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 w:bidi="en-US"/>
        </w:rPr>
        <w:t xml:space="preserve">от «___» _______ </w:t>
      </w:r>
      <w:r>
        <w:rPr>
          <w:sz w:val="24"/>
          <w:szCs w:val="24"/>
          <w:lang w:eastAsia="en-US" w:bidi="en-US"/>
        </w:rPr>
        <w:t xml:space="preserve">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  <w:r>
        <w:rPr>
          <w:lang w:eastAsia="en-US" w:bidi="en-US"/>
        </w:rPr>
      </w:r>
    </w:p>
    <w:p>
      <w:pPr>
        <w:widowControl w:val="false"/>
        <w:pBdr/>
        <w:spacing/>
        <w:ind w:right="42"/>
        <w:jc w:val="center"/>
        <w:rPr>
          <w:b/>
          <w:lang w:eastAsia="en-US" w:bidi="en-US"/>
        </w:rPr>
      </w:pPr>
      <w:r>
        <w:rPr>
          <w:b/>
          <w:lang w:eastAsia="en-US" w:bidi="en-US"/>
        </w:rPr>
        <w:t xml:space="preserve">СПЕЦИФИКАЦИЯ</w:t>
      </w:r>
      <w:r>
        <w:rPr>
          <w:b/>
          <w:lang w:eastAsia="en-US" w:bidi="en-US"/>
        </w:rPr>
      </w:r>
      <w:r>
        <w:rPr>
          <w:b/>
          <w:lang w:eastAsia="en-US" w:bidi="en-US"/>
        </w:rPr>
      </w:r>
    </w:p>
    <w:p>
      <w:pPr>
        <w:widowControl w:val="false"/>
        <w:pBdr/>
        <w:spacing/>
        <w:ind w:right="42" w:firstLine="567"/>
        <w:jc w:val="right"/>
        <w:rPr>
          <w:lang w:eastAsia="en-US" w:bidi="en-US"/>
        </w:rPr>
      </w:pPr>
      <w:r>
        <w:rPr>
          <w:lang w:eastAsia="en-US" w:bidi="en-US"/>
        </w:rPr>
      </w:r>
      <w:r>
        <w:rPr>
          <w:lang w:eastAsia="en-US" w:bidi="en-US"/>
        </w:rPr>
      </w:r>
      <w:r>
        <w:rPr>
          <w:lang w:eastAsia="en-US" w:bidi="en-US"/>
        </w:rPr>
      </w:r>
    </w:p>
    <w:tbl>
      <w:tblPr>
        <w:tblInd w:w="113" w:type="dxa"/>
        <w:tblW w:w="5079" w:type="pct"/>
        <w:tblBorders/>
        <w:tblLayout w:type="fixed"/>
        <w:tblLook w:val="04A0" w:firstRow="1" w:lastRow="0" w:firstColumn="1" w:lastColumn="0" w:noHBand="0" w:noVBand="1"/>
      </w:tblPr>
      <w:tblGrid>
        <w:gridCol w:w="539"/>
        <w:gridCol w:w="5158"/>
        <w:gridCol w:w="1276"/>
        <w:gridCol w:w="851"/>
        <w:gridCol w:w="1559"/>
        <w:gridCol w:w="155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8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товара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Страна происхождения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изм.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Цена за ед.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sz w:val="24"/>
                <w:szCs w:val="24"/>
                <w:lang w:eastAsia="ru-RU"/>
              </w:rPr>
              <w:t xml:space="preserve">), руб.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lang w:eastAsia="ru-RU"/>
              </w:rPr>
              <w:t xml:space="preserve">(в т.ч. НДС, НДС не облагается</w:t>
            </w:r>
            <w:r>
              <w:rPr>
                <w:vertAlign w:val="superscript"/>
                <w:lang w:eastAsia="ru-RU"/>
              </w:rPr>
              <w:footnoteReference w:id="3"/>
            </w:r>
            <w:r>
              <w:rPr>
                <w:lang w:eastAsia="ru-RU"/>
              </w:rPr>
              <w:t xml:space="preserve">),</w:t>
            </w:r>
            <w:r>
              <w:rPr>
                <w:sz w:val="24"/>
                <w:szCs w:val="24"/>
                <w:lang w:eastAsia="ru-RU"/>
              </w:rPr>
              <w:t xml:space="preserve"> руб.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8" w:type="dxa"/>
            <w:vAlign w:val="center"/>
          </w:tcPr>
          <w:p w14:paraId="107C8685"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 (клавиатура+мышь) Defender York C-777, USB 2.0, проводной, цвет черный. </w:t>
            </w:r>
            <w:r>
              <w:rPr>
                <w:b/>
                <w:bCs/>
                <w:sz w:val="24"/>
                <w:szCs w:val="24"/>
              </w:rPr>
            </w:r>
          </w:p>
          <w:p w14:paraId="588FA718"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Страна происхождения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" w:type="dxa"/>
            <w:vAlign w:val="center"/>
            <w:vMerge w:val="restart"/>
          </w:tcPr>
          <w:p w14:paraId="0CE4750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both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8" w:type="dxa"/>
            <w:vAlign w:val="center"/>
            <w:vMerge w:val="restart"/>
          </w:tcPr>
          <w:p w14:paraId="107C8685"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Мышь проводная Defender Classic MB-230, цвет черный. </w:t>
            </w:r>
            <w:r>
              <w:rPr>
                <w:b/>
                <w:bCs/>
                <w:sz w:val="24"/>
                <w:szCs w:val="24"/>
              </w:rPr>
            </w:r>
          </w:p>
          <w:p w14:paraId="04643F52"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t xml:space="preserve">Страна происхождения</w:t>
            </w:r>
            <w:r>
              <w:rPr>
                <w:b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</w:tcPr>
          <w:p w14:paraId="1B1A1EF2"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</w:tcPr>
          <w:p w14:paraId="522689F2"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17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</w:tcPr>
          <w:p w14:paraId="31B0D1F1"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</w:tcPr>
          <w:p w14:paraId="1F3DFBF9"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452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4" w:type="dxa"/>
            <w:vAlign w:val="center"/>
          </w:tcPr>
          <w:p>
            <w:pPr>
              <w:pBdr/>
              <w:spacing/>
              <w:ind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5353"/>
        <w:gridCol w:w="5245"/>
      </w:tblGrid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left="-10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Директор  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5353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spacing/>
              <w:ind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 /</w:t>
            </w:r>
            <w:r>
              <w:rPr>
                <w:sz w:val="24"/>
                <w:szCs w:val="24"/>
              </w:rPr>
              <w:t xml:space="preserve"> Н.Е. Гаевская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Э.П.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/>
            <w:tcW w:w="5245" w:type="dxa"/>
          </w:tcPr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____________________ /_____________ /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Э.П.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widowControl w:val="false"/>
              <w:pBdr/>
              <w:tabs>
                <w:tab w:val="left" w:leader="none" w:pos="2324"/>
              </w:tabs>
              <w:spacing/>
              <w:ind w:right="2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980"/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567" w:right="567" w:bottom="567" w:left="567" w:header="284" w:footer="28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Calibri">
    <w:panose1 w:val="020F0502020204030204"/>
  </w:font>
  <w:font w:name="Andale Sans UI">
    <w:panose1 w:val="05040102010807070707"/>
  </w:font>
  <w:font w:name="Tahoma">
    <w:panose1 w:val="020B0604030504040204"/>
  </w:font>
  <w:font w:name="Arial Unicode MS">
    <w:panose1 w:val="020B06040202020202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id="2">
    <w:p>
      <w:pPr>
        <w:pStyle w:val="924"/>
        <w:pBdr/>
        <w:spacing/>
        <w:ind/>
        <w:rPr>
          <w:rFonts w:cs="Calibri"/>
          <w:sz w:val="16"/>
          <w:szCs w:val="16"/>
        </w:rPr>
      </w:pPr>
      <w:r>
        <w:rPr>
          <w:rStyle w:val="926"/>
          <w:sz w:val="16"/>
          <w:szCs w:val="16"/>
        </w:rPr>
        <w:footnoteRef/>
      </w:r>
      <w:r>
        <w:rPr>
          <w:sz w:val="16"/>
          <w:szCs w:val="16"/>
        </w:rPr>
        <w:t xml:space="preserve"> В случае работы Исполнителя по упрощенной системе налогообложения.</w:t>
      </w:r>
      <w:r>
        <w:rPr>
          <w:rFonts w:cs="Calibri"/>
          <w:sz w:val="16"/>
          <w:szCs w:val="16"/>
        </w:rPr>
      </w:r>
      <w:r>
        <w:rPr>
          <w:rFonts w:cs="Calibri"/>
          <w:sz w:val="16"/>
          <w:szCs w:val="16"/>
        </w:rPr>
      </w:r>
    </w:p>
  </w:footnote>
  <w:footnote w:id="3">
    <w:p>
      <w:pPr>
        <w:pStyle w:val="924"/>
        <w:pBdr/>
        <w:spacing/>
        <w:ind/>
        <w:rPr>
          <w:sz w:val="16"/>
          <w:szCs w:val="16"/>
        </w:rPr>
      </w:pPr>
      <w:r>
        <w:rPr>
          <w:rStyle w:val="926"/>
        </w:rPr>
        <w:footnoteRef/>
      </w:r>
      <w:r>
        <w:rPr>
          <w:sz w:val="16"/>
          <w:szCs w:val="16"/>
        </w:rPr>
        <w:t xml:space="preserve">В случае работы Исполнителя по упрощенной системе налогообложения.</w:t>
      </w:r>
      <w:r>
        <w:rPr>
          <w:sz w:val="16"/>
          <w:szCs w:val="16"/>
        </w:rPr>
      </w:r>
      <w:r>
        <w:rPr>
          <w:sz w:val="16"/>
          <w:szCs w:val="16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1657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nsid w:val="2563754C"/>
    <w:lvl w:ilvl="0">
      <w:isLgl w:val="false"/>
      <w:lvlJc w:val="left"/>
      <w:lvlText w:val=""/>
      <w:numFmt w:val="decimal"/>
      <w:pPr>
        <w:pBdr/>
        <w:tabs>
          <w:tab w:val="num" w:leader="none" w:pos="432"/>
        </w:tabs>
        <w:spacing/>
        <w:ind w:hanging="432" w:left="432"/>
      </w:pPr>
      <w:pStyle w:val="736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576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2">
    <w:nsid w:val="2AA40795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0196F61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4">
    <w:nsid w:val="4F5D6B1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5" w:default="1">
    <w:name w:val="Normal"/>
    <w:qFormat/>
    <w:pPr>
      <w:pBdr/>
      <w:spacing/>
      <w:ind/>
    </w:pPr>
    <w:rPr>
      <w:lang w:eastAsia="ar-SA"/>
    </w:rPr>
  </w:style>
  <w:style w:type="paragraph" w:styleId="736">
    <w:name w:val="Heading 1"/>
    <w:basedOn w:val="735"/>
    <w:next w:val="980"/>
    <w:link w:val="773"/>
    <w:qFormat/>
    <w:pPr>
      <w:keepNext w:val="true"/>
      <w:numPr>
        <w:numId w:val="1"/>
      </w:numPr>
      <w:pBdr/>
      <w:tabs>
        <w:tab w:val="left" w:leader="none" w:pos="0"/>
      </w:tabs>
      <w:spacing/>
      <w:ind w:right="-1333" w:firstLine="284" w:left="0"/>
      <w:outlineLvl w:val="0"/>
    </w:pPr>
    <w:rPr>
      <w:sz w:val="24"/>
    </w:rPr>
  </w:style>
  <w:style w:type="paragraph" w:styleId="737">
    <w:name w:val="Heading 2"/>
    <w:basedOn w:val="735"/>
    <w:next w:val="735"/>
    <w:link w:val="77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8">
    <w:name w:val="Heading 3"/>
    <w:basedOn w:val="735"/>
    <w:next w:val="735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9">
    <w:name w:val="Heading 4"/>
    <w:basedOn w:val="735"/>
    <w:next w:val="735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735"/>
    <w:next w:val="735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2">
    <w:name w:val="Heading 7"/>
    <w:basedOn w:val="735"/>
    <w:next w:val="735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735"/>
    <w:next w:val="735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735"/>
    <w:next w:val="735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pPr>
      <w:pBdr/>
      <w:spacing/>
      <w:ind/>
    </w:pPr>
  </w:style>
  <w:style w:type="table" w:styleId="74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 w:default="1">
    <w:name w:val="No List"/>
    <w:uiPriority w:val="99"/>
    <w:semiHidden/>
    <w:unhideWhenUsed/>
    <w:pPr>
      <w:pBdr/>
      <w:spacing/>
      <w:ind/>
    </w:pPr>
  </w:style>
  <w:style w:type="character" w:styleId="748">
    <w:name w:val="Intense Emphasis"/>
    <w:basedOn w:val="74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9">
    <w:name w:val="Intense Reference"/>
    <w:basedOn w:val="74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0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1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52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3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4">
    <w:name w:val="FollowedHyperlink"/>
    <w:basedOn w:val="74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5">
    <w:name w:val="Placeholder Text"/>
    <w:basedOn w:val="745"/>
    <w:uiPriority w:val="99"/>
    <w:semiHidden/>
    <w:pPr>
      <w:pBdr/>
      <w:spacing/>
      <w:ind/>
    </w:pPr>
    <w:rPr>
      <w:color w:val="666666"/>
    </w:rPr>
  </w:style>
  <w:style w:type="character" w:styleId="756" w:customStyle="1">
    <w:name w:val="Heading 1 Char"/>
    <w:basedOn w:val="74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7" w:customStyle="1">
    <w:name w:val="Heading 2 Char"/>
    <w:basedOn w:val="74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8" w:customStyle="1">
    <w:name w:val="Heading 3 Char"/>
    <w:basedOn w:val="74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9" w:customStyle="1">
    <w:name w:val="Heading 4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Heading 5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Heading 6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Heading 7 Char"/>
    <w:basedOn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8 Char"/>
    <w:basedOn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Heading 9 Char"/>
    <w:basedOn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Title Char"/>
    <w:basedOn w:val="745"/>
    <w:uiPriority w:val="10"/>
    <w:pPr>
      <w:pBdr/>
      <w:spacing/>
      <w:ind/>
    </w:pPr>
    <w:rPr>
      <w:sz w:val="48"/>
      <w:szCs w:val="48"/>
    </w:rPr>
  </w:style>
  <w:style w:type="character" w:styleId="766" w:customStyle="1">
    <w:name w:val="Subtitle Char"/>
    <w:basedOn w:val="745"/>
    <w:uiPriority w:val="11"/>
    <w:pPr>
      <w:pBdr/>
      <w:spacing/>
      <w:ind/>
    </w:pPr>
    <w:rPr>
      <w:sz w:val="24"/>
      <w:szCs w:val="24"/>
    </w:rPr>
  </w:style>
  <w:style w:type="character" w:styleId="767" w:customStyle="1">
    <w:name w:val="Quote Char"/>
    <w:uiPriority w:val="29"/>
    <w:pPr>
      <w:pBdr/>
      <w:spacing/>
      <w:ind/>
    </w:pPr>
    <w:rPr>
      <w:i/>
    </w:rPr>
  </w:style>
  <w:style w:type="character" w:styleId="768" w:customStyle="1">
    <w:name w:val="Intense Quote Char"/>
    <w:uiPriority w:val="30"/>
    <w:pPr>
      <w:pBdr/>
      <w:spacing/>
      <w:ind/>
    </w:pPr>
    <w:rPr>
      <w:i/>
    </w:rPr>
  </w:style>
  <w:style w:type="character" w:styleId="769" w:customStyle="1">
    <w:name w:val="Header Char"/>
    <w:basedOn w:val="745"/>
    <w:uiPriority w:val="99"/>
    <w:pPr>
      <w:pBdr/>
      <w:spacing/>
      <w:ind/>
    </w:pPr>
  </w:style>
  <w:style w:type="character" w:styleId="770" w:customStyle="1">
    <w:name w:val="Caption Char"/>
    <w:basedOn w:val="745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771" w:customStyle="1">
    <w:name w:val="Footnote Text Char"/>
    <w:uiPriority w:val="99"/>
    <w:pPr>
      <w:pBdr/>
      <w:spacing/>
      <w:ind/>
    </w:pPr>
    <w:rPr>
      <w:sz w:val="18"/>
    </w:rPr>
  </w:style>
  <w:style w:type="character" w:styleId="772" w:customStyle="1">
    <w:name w:val="Endnote Text Char"/>
    <w:uiPriority w:val="99"/>
    <w:pPr>
      <w:pBdr/>
      <w:spacing/>
      <w:ind/>
    </w:pPr>
    <w:rPr>
      <w:sz w:val="20"/>
    </w:rPr>
  </w:style>
  <w:style w:type="character" w:styleId="773" w:customStyle="1">
    <w:name w:val="Заголовок 1 Знак"/>
    <w:basedOn w:val="745"/>
    <w:link w:val="7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4" w:customStyle="1">
    <w:name w:val="Заголовок 2 Знак"/>
    <w:basedOn w:val="745"/>
    <w:link w:val="73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5" w:customStyle="1">
    <w:name w:val="Заголовок 3 Знак"/>
    <w:basedOn w:val="745"/>
    <w:link w:val="73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6" w:customStyle="1">
    <w:name w:val="Заголовок 4 Знак"/>
    <w:basedOn w:val="745"/>
    <w:link w:val="73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Заголовок 5 Знак"/>
    <w:basedOn w:val="745"/>
    <w:link w:val="74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Заголовок 6 Знак"/>
    <w:basedOn w:val="745"/>
    <w:link w:val="74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Заголовок 7 Знак"/>
    <w:basedOn w:val="745"/>
    <w:link w:val="74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Заголовок 8 Знак"/>
    <w:basedOn w:val="745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Заголовок 9 Знак"/>
    <w:basedOn w:val="745"/>
    <w:link w:val="74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2">
    <w:name w:val="List Paragraph"/>
    <w:basedOn w:val="735"/>
    <w:uiPriority w:val="34"/>
    <w:qFormat/>
    <w:pPr>
      <w:pBdr/>
      <w:spacing/>
      <w:ind w:left="720"/>
      <w:contextualSpacing w:val="true"/>
    </w:pPr>
  </w:style>
  <w:style w:type="paragraph" w:styleId="783">
    <w:name w:val="No Spacing"/>
    <w:uiPriority w:val="1"/>
    <w:qFormat/>
    <w:pPr>
      <w:pBdr/>
      <w:spacing/>
      <w:ind/>
    </w:pPr>
  </w:style>
  <w:style w:type="paragraph" w:styleId="784">
    <w:name w:val="Title"/>
    <w:basedOn w:val="735"/>
    <w:next w:val="980"/>
    <w:link w:val="785"/>
    <w:pPr>
      <w:keepNext w:val="true"/>
      <w:pBdr/>
      <w:spacing w:after="120" w:before="240"/>
      <w:ind/>
    </w:pPr>
    <w:rPr>
      <w:rFonts w:ascii="Arial" w:hAnsi="Arial" w:eastAsia="Arial Unicode MS" w:cs="Mangal"/>
      <w:sz w:val="28"/>
      <w:szCs w:val="28"/>
    </w:rPr>
  </w:style>
  <w:style w:type="character" w:styleId="785" w:customStyle="1">
    <w:name w:val="Заголовок Знак"/>
    <w:basedOn w:val="745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35"/>
    <w:next w:val="735"/>
    <w:link w:val="78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7" w:customStyle="1">
    <w:name w:val="Подзаголовок Знак"/>
    <w:basedOn w:val="745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35"/>
    <w:next w:val="735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Цитата 2 Знак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35"/>
    <w:next w:val="735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Выделенная цитата Знак"/>
    <w:link w:val="790"/>
    <w:uiPriority w:val="30"/>
    <w:pPr>
      <w:pBdr/>
      <w:spacing/>
      <w:ind/>
    </w:pPr>
    <w:rPr>
      <w:i/>
    </w:rPr>
  </w:style>
  <w:style w:type="paragraph" w:styleId="792">
    <w:name w:val="Header"/>
    <w:basedOn w:val="735"/>
    <w:link w:val="793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93" w:customStyle="1">
    <w:name w:val="Верхний колонтитул Знак"/>
    <w:basedOn w:val="745"/>
    <w:link w:val="792"/>
    <w:uiPriority w:val="99"/>
    <w:pPr>
      <w:pBdr/>
      <w:spacing/>
      <w:ind/>
    </w:pPr>
  </w:style>
  <w:style w:type="paragraph" w:styleId="794">
    <w:name w:val="Footer"/>
    <w:basedOn w:val="735"/>
    <w:link w:val="996"/>
    <w:uiPriority w:val="99"/>
    <w:pPr>
      <w:suppressLineNumbers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795" w:customStyle="1">
    <w:name w:val="Footer Char"/>
    <w:basedOn w:val="745"/>
    <w:uiPriority w:val="99"/>
    <w:pPr>
      <w:pBdr/>
      <w:spacing/>
      <w:ind/>
    </w:pPr>
  </w:style>
  <w:style w:type="character" w:styleId="796" w:customStyle="1">
    <w:name w:val="Название объекта Знак"/>
    <w:basedOn w:val="745"/>
    <w:link w:val="984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97">
    <w:name w:val="Table Grid"/>
    <w:basedOn w:val="746"/>
    <w:uiPriority w:val="59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6"/>
    <w:link w:val="998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1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2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3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5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6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pPr>
      <w:pBdr/>
      <w:spacing/>
      <w:ind/>
    </w:pPr>
    <w:rPr>
      <w:color w:val="0000ff"/>
      <w:u w:val="single"/>
      <w:lang w:val="en-US" w:eastAsia="en-US" w:bidi="en-US"/>
    </w:rPr>
  </w:style>
  <w:style w:type="paragraph" w:styleId="924">
    <w:name w:val="footnote text"/>
    <w:basedOn w:val="735"/>
    <w:link w:val="925"/>
    <w:uiPriority w:val="99"/>
    <w:semiHidden/>
    <w:unhideWhenUsed/>
    <w:pPr>
      <w:pBdr/>
      <w:spacing w:after="40"/>
      <w:ind/>
    </w:pPr>
    <w:rPr>
      <w:sz w:val="18"/>
    </w:rPr>
  </w:style>
  <w:style w:type="character" w:styleId="925" w:customStyle="1">
    <w:name w:val="Текст сноски Знак"/>
    <w:link w:val="924"/>
    <w:uiPriority w:val="99"/>
    <w:pPr>
      <w:pBdr/>
      <w:spacing/>
      <w:ind/>
    </w:pPr>
    <w:rPr>
      <w:sz w:val="18"/>
    </w:rPr>
  </w:style>
  <w:style w:type="character" w:styleId="926">
    <w:name w:val="footnote reference"/>
    <w:basedOn w:val="745"/>
    <w:uiPriority w:val="99"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735"/>
    <w:link w:val="928"/>
    <w:uiPriority w:val="99"/>
    <w:semiHidden/>
    <w:unhideWhenUsed/>
    <w:pPr>
      <w:pBdr/>
      <w:spacing/>
      <w:ind/>
    </w:pPr>
  </w:style>
  <w:style w:type="character" w:styleId="928" w:customStyle="1">
    <w:name w:val="Текст концевой сноски Знак"/>
    <w:link w:val="927"/>
    <w:uiPriority w:val="99"/>
    <w:pPr>
      <w:pBdr/>
      <w:spacing/>
      <w:ind/>
    </w:pPr>
    <w:rPr>
      <w:sz w:val="20"/>
    </w:rPr>
  </w:style>
  <w:style w:type="character" w:styleId="929">
    <w:name w:val="end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paragraph" w:styleId="930">
    <w:name w:val="toc 1"/>
    <w:basedOn w:val="735"/>
    <w:next w:val="735"/>
    <w:uiPriority w:val="39"/>
    <w:unhideWhenUsed/>
    <w:pPr>
      <w:pBdr/>
      <w:spacing w:after="57"/>
      <w:ind/>
    </w:pPr>
  </w:style>
  <w:style w:type="paragraph" w:styleId="931">
    <w:name w:val="toc 2"/>
    <w:basedOn w:val="735"/>
    <w:next w:val="735"/>
    <w:uiPriority w:val="39"/>
    <w:unhideWhenUsed/>
    <w:pPr>
      <w:pBdr/>
      <w:spacing w:after="57"/>
      <w:ind w:left="283"/>
    </w:pPr>
  </w:style>
  <w:style w:type="paragraph" w:styleId="932">
    <w:name w:val="toc 3"/>
    <w:basedOn w:val="735"/>
    <w:next w:val="735"/>
    <w:uiPriority w:val="39"/>
    <w:unhideWhenUsed/>
    <w:pPr>
      <w:pBdr/>
      <w:spacing w:after="57"/>
      <w:ind w:left="567"/>
    </w:pPr>
  </w:style>
  <w:style w:type="paragraph" w:styleId="933">
    <w:name w:val="toc 4"/>
    <w:basedOn w:val="735"/>
    <w:next w:val="735"/>
    <w:uiPriority w:val="39"/>
    <w:unhideWhenUsed/>
    <w:pPr>
      <w:pBdr/>
      <w:spacing w:after="57"/>
      <w:ind w:left="850"/>
    </w:pPr>
  </w:style>
  <w:style w:type="paragraph" w:styleId="934">
    <w:name w:val="toc 5"/>
    <w:basedOn w:val="735"/>
    <w:next w:val="735"/>
    <w:uiPriority w:val="39"/>
    <w:unhideWhenUsed/>
    <w:pPr>
      <w:pBdr/>
      <w:spacing w:after="57"/>
      <w:ind w:left="1134"/>
    </w:pPr>
  </w:style>
  <w:style w:type="paragraph" w:styleId="935">
    <w:name w:val="toc 6"/>
    <w:basedOn w:val="735"/>
    <w:next w:val="735"/>
    <w:uiPriority w:val="39"/>
    <w:unhideWhenUsed/>
    <w:pPr>
      <w:pBdr/>
      <w:spacing w:after="57"/>
      <w:ind w:left="1417"/>
    </w:pPr>
  </w:style>
  <w:style w:type="paragraph" w:styleId="936">
    <w:name w:val="toc 7"/>
    <w:basedOn w:val="735"/>
    <w:next w:val="735"/>
    <w:uiPriority w:val="39"/>
    <w:unhideWhenUsed/>
    <w:pPr>
      <w:pBdr/>
      <w:spacing w:after="57"/>
      <w:ind w:left="1701"/>
    </w:pPr>
  </w:style>
  <w:style w:type="paragraph" w:styleId="937">
    <w:name w:val="toc 8"/>
    <w:basedOn w:val="735"/>
    <w:next w:val="735"/>
    <w:uiPriority w:val="39"/>
    <w:unhideWhenUsed/>
    <w:pPr>
      <w:pBdr/>
      <w:spacing w:after="57"/>
      <w:ind w:left="1984"/>
    </w:pPr>
  </w:style>
  <w:style w:type="paragraph" w:styleId="938">
    <w:name w:val="toc 9"/>
    <w:basedOn w:val="735"/>
    <w:next w:val="735"/>
    <w:uiPriority w:val="39"/>
    <w:unhideWhenUsed/>
    <w:pPr>
      <w:pBdr/>
      <w:spacing w:after="57"/>
      <w:ind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>
    <w:name w:val="table of figures"/>
    <w:basedOn w:val="735"/>
    <w:next w:val="735"/>
    <w:uiPriority w:val="99"/>
    <w:unhideWhenUsed/>
    <w:pPr>
      <w:pBdr/>
      <w:spacing/>
      <w:ind/>
    </w:pPr>
  </w:style>
  <w:style w:type="character" w:styleId="941" w:customStyle="1">
    <w:name w:val="WW8Num1z0"/>
    <w:pPr>
      <w:pBdr/>
      <w:spacing/>
      <w:ind/>
    </w:pPr>
  </w:style>
  <w:style w:type="character" w:styleId="942" w:customStyle="1">
    <w:name w:val="WW8Num1z1"/>
    <w:pPr>
      <w:pBdr/>
      <w:spacing/>
      <w:ind/>
    </w:pPr>
  </w:style>
  <w:style w:type="character" w:styleId="943" w:customStyle="1">
    <w:name w:val="WW8Num1z2"/>
    <w:pPr>
      <w:pBdr/>
      <w:spacing/>
      <w:ind/>
    </w:pPr>
  </w:style>
  <w:style w:type="character" w:styleId="944" w:customStyle="1">
    <w:name w:val="WW8Num1z3"/>
    <w:pPr>
      <w:pBdr/>
      <w:spacing/>
      <w:ind/>
    </w:pPr>
  </w:style>
  <w:style w:type="character" w:styleId="945" w:customStyle="1">
    <w:name w:val="WW8Num1z4"/>
    <w:pPr>
      <w:pBdr/>
      <w:spacing/>
      <w:ind/>
    </w:pPr>
  </w:style>
  <w:style w:type="character" w:styleId="946" w:customStyle="1">
    <w:name w:val="WW8Num1z5"/>
    <w:pPr>
      <w:pBdr/>
      <w:spacing/>
      <w:ind/>
    </w:pPr>
  </w:style>
  <w:style w:type="character" w:styleId="947" w:customStyle="1">
    <w:name w:val="WW8Num1z6"/>
    <w:pPr>
      <w:pBdr/>
      <w:spacing/>
      <w:ind/>
    </w:pPr>
  </w:style>
  <w:style w:type="character" w:styleId="948" w:customStyle="1">
    <w:name w:val="WW8Num1z7"/>
    <w:pPr>
      <w:pBdr/>
      <w:spacing/>
      <w:ind/>
    </w:pPr>
  </w:style>
  <w:style w:type="character" w:styleId="949" w:customStyle="1">
    <w:name w:val="WW8Num1z8"/>
    <w:pPr>
      <w:pBdr/>
      <w:spacing/>
      <w:ind/>
    </w:pPr>
  </w:style>
  <w:style w:type="character" w:styleId="950" w:customStyle="1">
    <w:name w:val="WW8Num2z0"/>
    <w:pPr>
      <w:pBdr/>
      <w:spacing/>
      <w:ind/>
    </w:pPr>
  </w:style>
  <w:style w:type="character" w:styleId="951" w:customStyle="1">
    <w:name w:val="WW8Num3z0"/>
    <w:pPr>
      <w:pBdr/>
      <w:spacing/>
      <w:ind/>
    </w:pPr>
  </w:style>
  <w:style w:type="character" w:styleId="952" w:customStyle="1">
    <w:name w:val="WW8Num3z1"/>
    <w:pPr>
      <w:pBdr/>
      <w:spacing/>
      <w:ind/>
    </w:pPr>
  </w:style>
  <w:style w:type="character" w:styleId="953" w:customStyle="1">
    <w:name w:val="WW8Num3z2"/>
    <w:pPr>
      <w:pBdr/>
      <w:spacing/>
      <w:ind/>
    </w:pPr>
  </w:style>
  <w:style w:type="character" w:styleId="954" w:customStyle="1">
    <w:name w:val="WW8Num3z3"/>
    <w:pPr>
      <w:pBdr/>
      <w:spacing/>
      <w:ind/>
    </w:pPr>
  </w:style>
  <w:style w:type="character" w:styleId="955" w:customStyle="1">
    <w:name w:val="WW8Num3z4"/>
    <w:pPr>
      <w:pBdr/>
      <w:spacing/>
      <w:ind/>
    </w:pPr>
  </w:style>
  <w:style w:type="character" w:styleId="956" w:customStyle="1">
    <w:name w:val="WW8Num3z5"/>
    <w:pPr>
      <w:pBdr/>
      <w:spacing/>
      <w:ind/>
    </w:pPr>
  </w:style>
  <w:style w:type="character" w:styleId="957" w:customStyle="1">
    <w:name w:val="WW8Num3z6"/>
    <w:pPr>
      <w:pBdr/>
      <w:spacing/>
      <w:ind/>
    </w:pPr>
  </w:style>
  <w:style w:type="character" w:styleId="958" w:customStyle="1">
    <w:name w:val="WW8Num3z7"/>
    <w:pPr>
      <w:pBdr/>
      <w:spacing/>
      <w:ind/>
    </w:pPr>
  </w:style>
  <w:style w:type="character" w:styleId="959" w:customStyle="1">
    <w:name w:val="WW8Num3z8"/>
    <w:pPr>
      <w:pBdr/>
      <w:spacing/>
      <w:ind/>
    </w:pPr>
  </w:style>
  <w:style w:type="character" w:styleId="960" w:customStyle="1">
    <w:name w:val="WW8Num4z0"/>
    <w:pPr>
      <w:pBdr/>
      <w:spacing/>
      <w:ind/>
    </w:pPr>
  </w:style>
  <w:style w:type="character" w:styleId="961" w:customStyle="1">
    <w:name w:val="WW8Num4z1"/>
    <w:pPr>
      <w:pBdr/>
      <w:spacing/>
      <w:ind/>
    </w:pPr>
  </w:style>
  <w:style w:type="character" w:styleId="962" w:customStyle="1">
    <w:name w:val="WW8Num4z2"/>
    <w:pPr>
      <w:pBdr/>
      <w:spacing/>
      <w:ind/>
    </w:pPr>
  </w:style>
  <w:style w:type="character" w:styleId="963" w:customStyle="1">
    <w:name w:val="WW8Num4z3"/>
    <w:pPr>
      <w:pBdr/>
      <w:spacing/>
      <w:ind/>
    </w:pPr>
  </w:style>
  <w:style w:type="character" w:styleId="964" w:customStyle="1">
    <w:name w:val="WW8Num4z4"/>
    <w:pPr>
      <w:pBdr/>
      <w:spacing/>
      <w:ind/>
    </w:pPr>
  </w:style>
  <w:style w:type="character" w:styleId="965" w:customStyle="1">
    <w:name w:val="WW8Num4z5"/>
    <w:pPr>
      <w:pBdr/>
      <w:spacing/>
      <w:ind/>
    </w:pPr>
  </w:style>
  <w:style w:type="character" w:styleId="966" w:customStyle="1">
    <w:name w:val="WW8Num4z6"/>
    <w:pPr>
      <w:pBdr/>
      <w:spacing/>
      <w:ind/>
    </w:pPr>
  </w:style>
  <w:style w:type="character" w:styleId="967" w:customStyle="1">
    <w:name w:val="WW8Num4z7"/>
    <w:pPr>
      <w:pBdr/>
      <w:spacing/>
      <w:ind/>
    </w:pPr>
  </w:style>
  <w:style w:type="character" w:styleId="968" w:customStyle="1">
    <w:name w:val="WW8Num4z8"/>
    <w:pPr>
      <w:pBdr/>
      <w:spacing/>
      <w:ind/>
    </w:pPr>
  </w:style>
  <w:style w:type="character" w:styleId="969" w:customStyle="1">
    <w:name w:val="Основной шрифт абзаца2"/>
    <w:pPr>
      <w:pBdr/>
      <w:spacing/>
      <w:ind/>
    </w:pPr>
  </w:style>
  <w:style w:type="character" w:styleId="970" w:customStyle="1">
    <w:name w:val="Absatz-Standardschriftart"/>
    <w:pPr>
      <w:pBdr/>
      <w:spacing/>
      <w:ind/>
    </w:pPr>
  </w:style>
  <w:style w:type="character" w:styleId="971" w:customStyle="1">
    <w:name w:val="WW-Absatz-Standardschriftart"/>
    <w:pPr>
      <w:pBdr/>
      <w:spacing/>
      <w:ind/>
    </w:pPr>
  </w:style>
  <w:style w:type="character" w:styleId="972" w:customStyle="1">
    <w:name w:val="WW-Absatz-Standardschriftart1"/>
    <w:pPr>
      <w:pBdr/>
      <w:spacing/>
      <w:ind/>
    </w:pPr>
  </w:style>
  <w:style w:type="character" w:styleId="973" w:customStyle="1">
    <w:name w:val="WW-Absatz-Standardschriftart11"/>
    <w:pPr>
      <w:pBdr/>
      <w:spacing/>
      <w:ind/>
    </w:pPr>
  </w:style>
  <w:style w:type="character" w:styleId="974" w:customStyle="1">
    <w:name w:val="WW-Absatz-Standardschriftart111"/>
    <w:pPr>
      <w:pBdr/>
      <w:spacing/>
      <w:ind/>
    </w:pPr>
  </w:style>
  <w:style w:type="character" w:styleId="975" w:customStyle="1">
    <w:name w:val="WW-Absatz-Standardschriftart1111"/>
    <w:pPr>
      <w:pBdr/>
      <w:spacing/>
      <w:ind/>
    </w:pPr>
  </w:style>
  <w:style w:type="character" w:styleId="976" w:customStyle="1">
    <w:name w:val="WW-Absatz-Standardschriftart11111"/>
    <w:pPr>
      <w:pBdr/>
      <w:spacing/>
      <w:ind/>
    </w:pPr>
  </w:style>
  <w:style w:type="character" w:styleId="977" w:customStyle="1">
    <w:name w:val="WW-Absatz-Standardschriftart111111"/>
    <w:pPr>
      <w:pBdr/>
      <w:spacing/>
      <w:ind/>
    </w:pPr>
  </w:style>
  <w:style w:type="character" w:styleId="978" w:customStyle="1">
    <w:name w:val="Основной шрифт абзаца1"/>
    <w:pPr>
      <w:pBdr/>
      <w:spacing/>
      <w:ind/>
    </w:pPr>
  </w:style>
  <w:style w:type="character" w:styleId="979">
    <w:name w:val="page number"/>
    <w:basedOn w:val="978"/>
    <w:pPr>
      <w:pBdr/>
      <w:spacing/>
      <w:ind/>
    </w:pPr>
  </w:style>
  <w:style w:type="paragraph" w:styleId="980">
    <w:name w:val="Body Text"/>
    <w:basedOn w:val="735"/>
    <w:pPr>
      <w:pBdr/>
      <w:spacing w:after="120"/>
      <w:ind/>
    </w:pPr>
  </w:style>
  <w:style w:type="paragraph" w:styleId="981">
    <w:name w:val="List"/>
    <w:basedOn w:val="980"/>
    <w:pPr>
      <w:pBdr/>
      <w:spacing/>
      <w:ind/>
    </w:pPr>
    <w:rPr>
      <w:rFonts w:cs="Mangal"/>
    </w:rPr>
  </w:style>
  <w:style w:type="paragraph" w:styleId="982" w:customStyle="1">
    <w:name w:val="Название2"/>
    <w:basedOn w:val="735"/>
    <w:pPr>
      <w:suppressLineNumbers w:val="true"/>
      <w:pBdr/>
      <w:spacing w:after="120" w:before="120"/>
      <w:ind/>
    </w:pPr>
    <w:rPr>
      <w:rFonts w:cs="Tahoma"/>
      <w:i/>
      <w:iCs/>
      <w:sz w:val="24"/>
      <w:szCs w:val="24"/>
    </w:rPr>
  </w:style>
  <w:style w:type="paragraph" w:styleId="983" w:customStyle="1">
    <w:name w:val="Указатель3"/>
    <w:basedOn w:val="735"/>
    <w:pPr>
      <w:suppressLineNumbers w:val="true"/>
      <w:pBdr/>
      <w:spacing/>
      <w:ind/>
    </w:pPr>
    <w:rPr>
      <w:rFonts w:cs="Tahoma"/>
    </w:rPr>
  </w:style>
  <w:style w:type="paragraph" w:styleId="984">
    <w:name w:val="Caption"/>
    <w:basedOn w:val="735"/>
    <w:link w:val="796"/>
    <w:pPr>
      <w:pBdr/>
      <w:spacing/>
      <w:ind/>
    </w:pPr>
  </w:style>
  <w:style w:type="paragraph" w:styleId="985" w:customStyle="1">
    <w:name w:val="Указатель2"/>
    <w:basedOn w:val="735"/>
    <w:pPr>
      <w:pBdr/>
      <w:spacing/>
      <w:ind/>
    </w:pPr>
  </w:style>
  <w:style w:type="paragraph" w:styleId="986" w:customStyle="1">
    <w:name w:val="Название1"/>
    <w:basedOn w:val="735"/>
    <w:pPr>
      <w:pBdr/>
      <w:spacing/>
      <w:ind/>
    </w:pPr>
  </w:style>
  <w:style w:type="paragraph" w:styleId="987" w:customStyle="1">
    <w:name w:val="Указатель1"/>
    <w:basedOn w:val="735"/>
    <w:pPr>
      <w:pBdr/>
      <w:spacing/>
      <w:ind/>
    </w:pPr>
  </w:style>
  <w:style w:type="paragraph" w:styleId="988">
    <w:name w:val="Body Text Indent"/>
    <w:basedOn w:val="735"/>
    <w:pPr>
      <w:pBdr/>
      <w:spacing/>
      <w:ind w:right="-1333" w:firstLine="284" w:left="283"/>
    </w:pPr>
    <w:rPr>
      <w:sz w:val="24"/>
    </w:rPr>
  </w:style>
  <w:style w:type="paragraph" w:styleId="989" w:customStyle="1">
    <w:name w:val="Содержимое таблицы"/>
    <w:basedOn w:val="735"/>
    <w:pPr>
      <w:suppressLineNumbers w:val="true"/>
      <w:pBdr/>
      <w:spacing/>
      <w:ind/>
    </w:pPr>
  </w:style>
  <w:style w:type="paragraph" w:styleId="990" w:customStyle="1">
    <w:name w:val="Заголовок таблицы"/>
    <w:basedOn w:val="989"/>
    <w:pPr>
      <w:pBdr/>
      <w:spacing/>
      <w:ind/>
      <w:jc w:val="center"/>
    </w:pPr>
    <w:rPr>
      <w:b/>
      <w:bCs/>
    </w:rPr>
  </w:style>
  <w:style w:type="paragraph" w:styleId="991" w:customStyle="1">
    <w:name w:val="Содержимое врезки"/>
    <w:basedOn w:val="980"/>
    <w:pPr>
      <w:pBdr/>
      <w:spacing/>
      <w:ind/>
    </w:pPr>
  </w:style>
  <w:style w:type="paragraph" w:styleId="992">
    <w:name w:val="Balloon Text"/>
    <w:basedOn w:val="735"/>
    <w:link w:val="993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/>
    </w:rPr>
  </w:style>
  <w:style w:type="character" w:styleId="993" w:customStyle="1">
    <w:name w:val="Текст выноски Знак"/>
    <w:link w:val="992"/>
    <w:uiPriority w:val="99"/>
    <w:semiHidden/>
    <w:pPr>
      <w:pBdr/>
      <w:spacing/>
      <w:ind/>
    </w:pPr>
    <w:rPr>
      <w:rFonts w:ascii="Tahoma" w:hAnsi="Tahoma" w:cs="Tahoma"/>
      <w:sz w:val="16"/>
      <w:szCs w:val="16"/>
      <w:lang w:eastAsia="ar-SA"/>
    </w:rPr>
  </w:style>
  <w:style w:type="character" w:styleId="994">
    <w:name w:val="Strong"/>
    <w:uiPriority w:val="22"/>
    <w:qFormat/>
    <w:pPr>
      <w:pBdr/>
      <w:spacing/>
      <w:ind/>
    </w:pPr>
    <w:rPr>
      <w:b/>
      <w:bCs/>
    </w:rPr>
  </w:style>
  <w:style w:type="paragraph" w:styleId="995" w:customStyle="1">
    <w:name w:val="мой абз"/>
    <w:basedOn w:val="735"/>
    <w:pPr>
      <w:pBdr/>
      <w:spacing w:line="200" w:lineRule="exact"/>
      <w:ind w:firstLine="284"/>
      <w:jc w:val="both"/>
    </w:pPr>
    <w:rPr>
      <w:spacing w:val="-6"/>
    </w:rPr>
  </w:style>
  <w:style w:type="character" w:styleId="996" w:customStyle="1">
    <w:name w:val="Нижний колонтитул Знак"/>
    <w:link w:val="794"/>
    <w:uiPriority w:val="99"/>
    <w:pPr>
      <w:pBdr/>
      <w:spacing/>
      <w:ind/>
    </w:pPr>
    <w:rPr>
      <w:lang w:eastAsia="ar-SA"/>
    </w:rPr>
  </w:style>
  <w:style w:type="paragraph" w:styleId="997" w:customStyle="1">
    <w:name w:val="Standard"/>
    <w:uiPriority w:val="99"/>
    <w:pPr>
      <w:widowControl w:val="false"/>
      <w:pBdr/>
      <w:spacing/>
      <w:ind/>
    </w:pPr>
    <w:rPr>
      <w:rFonts w:eastAsia="Andale Sans UI" w:cs="Tahoma"/>
      <w:color w:val="00000a"/>
      <w:sz w:val="24"/>
      <w:szCs w:val="24"/>
      <w:lang w:val="de-DE" w:eastAsia="fa-IR" w:bidi="fa-IR"/>
    </w:rPr>
  </w:style>
  <w:style w:type="paragraph" w:styleId="998" w:customStyle="1">
    <w:name w:val="Обычный (веб)1"/>
    <w:link w:val="908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cs="Calibri"/>
      <w:sz w:val="22"/>
      <w:szCs w:val="22"/>
      <w:lang w:eastAsia="ar-SA"/>
    </w:rPr>
  </w:style>
  <w:style w:type="character" w:styleId="999" w:customStyle="1">
    <w:name w:val="Строгий1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creator>1</dc:creator>
  <cp:revision>9</cp:revision>
  <dcterms:created xsi:type="dcterms:W3CDTF">2026-07-22T07:44:00Z</dcterms:created>
  <dcterms:modified xsi:type="dcterms:W3CDTF">2026-08-26T05:46:19Z</dcterms:modified>
  <cp:version>1048576</cp:version>
</cp:coreProperties>
</file>