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67"/>
        <w:jc w:val="center"/>
        <w:rPr>
          <w:b/>
        </w:rPr>
        <w:suppressLineNumbers w:val="0"/>
      </w:pPr>
      <w:r>
        <w:rPr>
          <w:b/>
        </w:rPr>
        <w:t xml:space="preserve">ГОСУДАРСТВЕННЫЙ </w:t>
      </w:r>
      <w:r>
        <w:rPr>
          <w:b/>
        </w:rPr>
        <w:t xml:space="preserve">КОНТРАКТ</w:t>
      </w:r>
      <w:r>
        <w:rPr>
          <w:b/>
        </w:rPr>
        <w:t xml:space="preserve"> №</w:t>
      </w:r>
      <w:r>
        <w:rPr>
          <w:b/>
        </w:rPr>
        <w:t xml:space="preserve"> </w:t>
      </w:r>
      <w:r>
        <w:rPr>
          <w:b/>
        </w:rPr>
        <w:t xml:space="preserve">____</w:t>
      </w:r>
      <w:r>
        <w:rPr>
          <w:b/>
        </w:rPr>
      </w:r>
      <w:r>
        <w:rPr>
          <w:b/>
        </w:rPr>
      </w:r>
    </w:p>
    <w:p>
      <w:pPr>
        <w:ind w:right="567"/>
        <w:jc w:val="center"/>
        <w:suppressLineNumbers w:val="0"/>
      </w:pPr>
      <w:r>
        <w:t xml:space="preserve">на оказание услуг</w:t>
      </w:r>
      <w:r>
        <w:t xml:space="preserve"> </w:t>
      </w:r>
      <w:r>
        <w:t xml:space="preserve">для государственных нужд</w:t>
      </w:r>
      <w:r/>
    </w:p>
    <w:p>
      <w:pPr>
        <w:ind w:right="567"/>
        <w:jc w:val="both"/>
        <w:suppressLineNumbers w:val="0"/>
      </w:pPr>
      <w:r>
        <w:t xml:space="preserve">г</w:t>
      </w:r>
      <w:r>
        <w:t xml:space="preserve">. </w:t>
      </w:r>
      <w:r>
        <w:t xml:space="preserve">Краснодар</w:t>
      </w:r>
      <w:r>
        <w:tab/>
      </w:r>
      <w:r>
        <w:t xml:space="preserve">  </w:t>
      </w:r>
      <w:r>
        <w:tab/>
      </w:r>
      <w:r>
        <w:tab/>
      </w:r>
      <w:r>
        <w:tab/>
      </w:r>
      <w:r>
        <w:tab/>
        <w:t xml:space="preserve">   </w:t>
      </w:r>
      <w:r>
        <w:t xml:space="preserve">         </w:t>
      </w:r>
      <w:r>
        <w:t xml:space="preserve">                 </w:t>
      </w:r>
      <w:r>
        <w:t xml:space="preserve">            </w:t>
      </w:r>
      <w:r>
        <w:t xml:space="preserve">     «___» ____</w:t>
      </w:r>
      <w:r>
        <w:t xml:space="preserve">2026</w:t>
      </w:r>
      <w:r>
        <w:t xml:space="preserve"> </w:t>
      </w:r>
      <w:r>
        <w:t xml:space="preserve">г</w:t>
      </w:r>
      <w:r>
        <w:t xml:space="preserve">ода</w:t>
      </w:r>
      <w:r/>
    </w:p>
    <w:p>
      <w:pPr>
        <w:ind w:right="567"/>
        <w:jc w:val="both"/>
        <w:suppressLineNumbers w:val="0"/>
      </w:pPr>
      <w:r/>
      <w:r/>
    </w:p>
    <w:p>
      <w:pPr>
        <w:ind w:right="567" w:firstLine="567"/>
        <w:jc w:val="both"/>
        <w:rPr>
          <w:sz w:val="25"/>
          <w:szCs w:val="25"/>
        </w:rPr>
        <w:suppressLineNumbers w:val="0"/>
      </w:pPr>
      <w:r>
        <w:rPr>
          <w:sz w:val="24"/>
          <w:szCs w:val="24"/>
        </w:rPr>
        <w:t xml:space="preserve">Северо-Кавказское управление Федеральной службы по экологическому, технологическому и атомному надзору, именуемое в дальнейшем «Заказчик», в лице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и.о</w:t>
      </w:r>
      <w:r>
        <w:rPr>
          <w:sz w:val="24"/>
          <w:szCs w:val="24"/>
        </w:rPr>
        <w:t xml:space="preserve">. руководителя Коноваленко Виктора Анатольевича, действующего на основании  приказа от 23.10.2025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271/</w:t>
      </w:r>
      <w:r>
        <w:rPr>
          <w:sz w:val="24"/>
          <w:szCs w:val="24"/>
        </w:rPr>
        <w:t xml:space="preserve">тк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с одной стороны и ______</w:t>
      </w:r>
      <w:r>
        <w:rPr>
          <w:sz w:val="24"/>
          <w:szCs w:val="24"/>
        </w:rPr>
        <w:t xml:space="preserve">_____________________________</w:t>
      </w:r>
      <w:r>
        <w:rPr>
          <w:sz w:val="24"/>
          <w:szCs w:val="24"/>
        </w:rPr>
        <w:t xml:space="preserve"> именуемое в дальнейшем «Исполнитель», с другой стороны,</w:t>
      </w:r>
      <w:r>
        <w:rPr>
          <w:sz w:val="24"/>
          <w:szCs w:val="24"/>
        </w:rPr>
        <w:t xml:space="preserve"> в лице___________, действующего на основании_________,</w:t>
      </w:r>
      <w:r>
        <w:rPr>
          <w:sz w:val="24"/>
          <w:szCs w:val="24"/>
        </w:rPr>
        <w:t xml:space="preserve"> совместно именуемые «Стороны»,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п.4 </w:t>
      </w:r>
      <w:r>
        <w:rPr>
          <w:sz w:val="24"/>
          <w:szCs w:val="24"/>
        </w:rPr>
        <w:t xml:space="preserve">ч.1 ст.93 Федерального закона от 5 апреля 2013 года  № 44-ФЗ  «О контрактной системе в сфере закупок товаров, работ, услуг для обеспечения государственных и муниципальных нужд» (далее - Федеральный закон № 44-ФЗ),</w:t>
      </w:r>
      <w:r>
        <w:rPr>
          <w:sz w:val="24"/>
          <w:szCs w:val="24"/>
        </w:rPr>
        <w:t xml:space="preserve"> ИКЗ-_______________________</w:t>
      </w:r>
      <w:r>
        <w:rPr>
          <w:sz w:val="24"/>
          <w:szCs w:val="24"/>
        </w:rPr>
        <w:t xml:space="preserve"> заключили настоящий государственный контракт (далее – Контракт) о нижеследующем:</w:t>
      </w:r>
      <w:r>
        <w:rPr>
          <w:sz w:val="24"/>
          <w:szCs w:val="24"/>
        </w:rPr>
      </w:r>
      <w:r>
        <w:rPr>
          <w:sz w:val="25"/>
          <w:szCs w:val="25"/>
        </w:rPr>
      </w:r>
    </w:p>
    <w:p>
      <w:pPr>
        <w:ind w:right="567" w:firstLine="708"/>
        <w:jc w:val="both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567" w:firstLine="708"/>
        <w:jc w:val="both"/>
        <w:suppressLineNumbers w:val="0"/>
      </w:pPr>
      <w:r/>
      <w:r/>
    </w:p>
    <w:p>
      <w:pPr>
        <w:pStyle w:val="938"/>
        <w:numPr>
          <w:ilvl w:val="0"/>
          <w:numId w:val="16"/>
        </w:numPr>
        <w:ind w:right="567"/>
        <w:jc w:val="center"/>
        <w:rPr>
          <w:b/>
        </w:rPr>
        <w:suppressLineNumbers w:val="0"/>
      </w:pPr>
      <w:r>
        <w:rPr>
          <w:b/>
        </w:rPr>
        <w:t xml:space="preserve">ПРЕДМЕТ КОНТРАКТА</w:t>
      </w:r>
      <w:r>
        <w:rPr>
          <w:b/>
        </w:rPr>
      </w:r>
      <w:r>
        <w:rPr>
          <w:b/>
        </w:rPr>
      </w:r>
    </w:p>
    <w:p>
      <w:pPr>
        <w:pStyle w:val="938"/>
        <w:ind w:left="0" w:right="567" w:firstLine="708"/>
        <w:jc w:val="both"/>
        <w:suppressLineNumbers w:val="0"/>
      </w:pPr>
      <w:r>
        <w:t xml:space="preserve">1.1. </w:t>
      </w:r>
      <w:r>
        <w:t xml:space="preserve">Исполнитель</w:t>
      </w:r>
      <w:r>
        <w:t xml:space="preserve"> обязуется </w:t>
      </w:r>
      <w:r>
        <w:t xml:space="preserve">осуществить, а Заказчик принять и оплатить </w:t>
      </w:r>
      <w:r>
        <w:t xml:space="preserve">услуги по проведению технической экспертизы оборудования</w:t>
      </w:r>
      <w:r>
        <w:t xml:space="preserve"> </w:t>
      </w:r>
      <w:r>
        <w:t xml:space="preserve">(далее </w:t>
      </w:r>
      <w:r>
        <w:t xml:space="preserve">–</w:t>
      </w:r>
      <w:r>
        <w:t xml:space="preserve"> </w:t>
      </w:r>
      <w:r>
        <w:t xml:space="preserve">услуги</w:t>
      </w:r>
      <w:r>
        <w:t xml:space="preserve">/экспертиза</w:t>
      </w:r>
      <w:r>
        <w:t xml:space="preserve"> </w:t>
      </w:r>
      <w:r>
        <w:t xml:space="preserve">оборудования</w:t>
      </w:r>
      <w:r>
        <w:t xml:space="preserve">)</w:t>
      </w:r>
      <w:r>
        <w:t xml:space="preserve"> в соответствии с</w:t>
      </w:r>
      <w:r>
        <w:t xml:space="preserve">о спецификацией (Приложение №</w:t>
      </w:r>
      <w:r>
        <w:t xml:space="preserve"> </w:t>
      </w:r>
      <w:r>
        <w:t xml:space="preserve">1</w:t>
      </w:r>
      <w:r>
        <w:t xml:space="preserve">)</w:t>
      </w:r>
      <w:r>
        <w:t xml:space="preserve">, </w:t>
      </w:r>
      <w:r>
        <w:t xml:space="preserve">являющейс</w:t>
      </w:r>
      <w:r>
        <w:t xml:space="preserve">я неотъемлемой частью</w:t>
      </w:r>
      <w:r>
        <w:t xml:space="preserve"> Контракта, в сроки, установленные в</w:t>
      </w:r>
      <w:r>
        <w:t xml:space="preserve"> п.3.3</w:t>
      </w:r>
      <w:r>
        <w:t xml:space="preserve">.</w:t>
      </w:r>
      <w:r>
        <w:t xml:space="preserve"> </w:t>
      </w:r>
      <w:r>
        <w:t xml:space="preserve">Контракта, с выдачей актов экспертизы технического состояния.</w:t>
      </w:r>
      <w:r/>
    </w:p>
    <w:p>
      <w:pPr>
        <w:pStyle w:val="938"/>
        <w:ind w:left="0" w:right="567" w:firstLine="708"/>
        <w:jc w:val="both"/>
        <w:suppressLineNumbers w:val="0"/>
      </w:pPr>
      <w:r>
        <w:t xml:space="preserve">1.2.</w:t>
      </w:r>
      <w:r>
        <w:t xml:space="preserve"> </w:t>
      </w:r>
      <w:r>
        <w:t xml:space="preserve">Исполнитель обязуется выполнить свои обязательства по настоящему Контракту</w:t>
      </w:r>
      <w:r>
        <w:t xml:space="preserve"> лично</w:t>
      </w:r>
      <w:r>
        <w:t xml:space="preserve"> в полном объеме и в установленные сроки.</w:t>
      </w:r>
      <w:r/>
    </w:p>
    <w:p>
      <w:pPr>
        <w:pStyle w:val="938"/>
        <w:ind w:left="0" w:right="567"/>
        <w:jc w:val="both"/>
        <w:tabs>
          <w:tab w:val="left" w:pos="284" w:leader="none"/>
          <w:tab w:val="left" w:pos="426" w:leader="none"/>
        </w:tabs>
        <w:suppressLineNumbers w:val="0"/>
      </w:pPr>
      <w:r/>
      <w:r/>
    </w:p>
    <w:p>
      <w:pPr>
        <w:pStyle w:val="938"/>
        <w:numPr>
          <w:ilvl w:val="0"/>
          <w:numId w:val="16"/>
        </w:numPr>
        <w:ind w:right="567"/>
        <w:jc w:val="center"/>
        <w:rPr>
          <w:b/>
        </w:rPr>
        <w:suppressLineNumbers w:val="0"/>
      </w:pPr>
      <w:r>
        <w:rPr>
          <w:b/>
        </w:rPr>
        <w:t xml:space="preserve">ЦЕНА КОНТРАКТА</w:t>
      </w:r>
      <w:r>
        <w:rPr>
          <w:b/>
        </w:rPr>
      </w:r>
      <w:r>
        <w:rPr>
          <w:b/>
        </w:rPr>
      </w:r>
    </w:p>
    <w:p>
      <w:pPr>
        <w:ind w:right="567" w:firstLine="709"/>
        <w:jc w:val="both"/>
        <w:widowControl w:val="off"/>
        <w:suppressLineNumbers w:val="0"/>
      </w:pPr>
      <w:r>
        <w:t xml:space="preserve">2</w:t>
      </w:r>
      <w:r>
        <w:t xml:space="preserve">.1</w:t>
      </w:r>
      <w:r>
        <w:t xml:space="preserve">. Ц</w:t>
      </w:r>
      <w:r>
        <w:t xml:space="preserve">ена</w:t>
      </w:r>
      <w:r>
        <w:t xml:space="preserve"> </w:t>
      </w:r>
      <w:r>
        <w:t xml:space="preserve">Контракта со</w:t>
      </w:r>
      <w:r>
        <w:t xml:space="preserve">ставляет ________</w:t>
      </w:r>
      <w:r>
        <w:rPr>
          <w:b/>
        </w:rPr>
        <w:t xml:space="preserve">(__________________) рублей                            00 копеек</w:t>
      </w:r>
      <w:r>
        <w:t xml:space="preserve">, </w:t>
      </w:r>
      <w:r>
        <w:rPr>
          <w:iCs/>
        </w:rPr>
        <w:t xml:space="preserve">НДС ________</w:t>
      </w:r>
      <w:r>
        <w:rPr>
          <w:iCs/>
        </w:rPr>
        <w:t xml:space="preserve">.</w:t>
      </w:r>
      <w:r/>
    </w:p>
    <w:p>
      <w:pPr>
        <w:ind w:right="567" w:firstLine="708"/>
        <w:jc w:val="both"/>
        <w:suppressLineNumbers w:val="0"/>
      </w:pPr>
      <w:r>
        <w:t xml:space="preserve">2.2</w:t>
      </w:r>
      <w:r>
        <w:t xml:space="preserve">. </w:t>
      </w:r>
      <w:r>
        <w:t xml:space="preserve">Цена Контракта, ука</w:t>
      </w:r>
      <w:r>
        <w:t xml:space="preserve">занная в п.</w:t>
      </w:r>
      <w:r>
        <w:t xml:space="preserve"> 2.1</w:t>
      </w:r>
      <w:r>
        <w:t xml:space="preserve">.</w:t>
      </w:r>
      <w:r>
        <w:t xml:space="preserve"> настоящего Контракта, является твердой и определяет</w:t>
      </w:r>
      <w:r>
        <w:t xml:space="preserve">ся на весь срок его исполнения, изменению не подлежит, за исключением случаев, предусмотренных действующим законодательством Российской Федерации и настоящим Контрактом.</w:t>
      </w:r>
      <w:r/>
    </w:p>
    <w:p>
      <w:pPr>
        <w:ind w:right="567" w:firstLine="708"/>
        <w:jc w:val="both"/>
        <w:suppressLineNumbers w:val="0"/>
      </w:pPr>
      <w:r>
        <w:t xml:space="preserve">2.3</w:t>
      </w:r>
      <w:r>
        <w:t xml:space="preserve">. Цена Контракта включает в себя все расходы </w:t>
      </w:r>
      <w:r>
        <w:t xml:space="preserve">Исполнителя</w:t>
      </w:r>
      <w:r>
        <w:t xml:space="preserve">, связанные с исполнением настоящего Контракта, в том числе расходы </w:t>
      </w:r>
      <w:r>
        <w:t xml:space="preserve">И</w:t>
      </w:r>
      <w:r>
        <w:t xml:space="preserve">сполнителя</w:t>
      </w:r>
      <w:r>
        <w:t xml:space="preserve"> прямо не предусмотренные, но которые могут возникнуть в ходе исполнения Контракта.</w:t>
      </w:r>
      <w:r/>
    </w:p>
    <w:p>
      <w:pPr>
        <w:ind w:right="567"/>
        <w:jc w:val="both"/>
        <w:suppressLineNumbers w:val="0"/>
      </w:pPr>
      <w:r/>
      <w:r/>
    </w:p>
    <w:p>
      <w:pPr>
        <w:pStyle w:val="938"/>
        <w:numPr>
          <w:ilvl w:val="0"/>
          <w:numId w:val="16"/>
        </w:numPr>
        <w:ind w:right="567"/>
        <w:jc w:val="center"/>
        <w:rPr>
          <w:b/>
        </w:rPr>
        <w:suppressLineNumbers w:val="0"/>
      </w:pPr>
      <w:r>
        <w:rPr>
          <w:b/>
        </w:rPr>
        <w:t xml:space="preserve">СРОКИ</w:t>
      </w:r>
      <w:r>
        <w:rPr>
          <w:b/>
        </w:rPr>
        <w:t xml:space="preserve">, УСЛОВИЯ</w:t>
      </w:r>
      <w:r>
        <w:rPr>
          <w:b/>
        </w:rPr>
        <w:t xml:space="preserve"> </w:t>
      </w:r>
      <w:r>
        <w:rPr>
          <w:b/>
        </w:rPr>
        <w:t xml:space="preserve">ОКАЗАНИЯ УСЛУГ</w:t>
      </w:r>
      <w:r>
        <w:rPr>
          <w:b/>
        </w:rPr>
        <w:t xml:space="preserve"> И ПОРЯДОК </w:t>
      </w:r>
      <w:r>
        <w:rPr>
          <w:b/>
        </w:rPr>
        <w:t xml:space="preserve">ОПЛАТЫ</w:t>
      </w:r>
      <w:r>
        <w:rPr>
          <w:b/>
        </w:rPr>
      </w:r>
      <w:r>
        <w:rPr>
          <w:b/>
        </w:rPr>
      </w:r>
    </w:p>
    <w:p>
      <w:pPr>
        <w:ind w:right="567" w:firstLine="708"/>
        <w:jc w:val="both"/>
        <w:suppressLineNumbers w:val="0"/>
      </w:pPr>
      <w:r>
        <w:t xml:space="preserve">3.1. </w:t>
      </w:r>
      <w:r>
        <w:t xml:space="preserve">Оплата по Контракту осуществляется</w:t>
      </w:r>
      <w:r>
        <w:t xml:space="preserve"> </w:t>
      </w:r>
      <w:r>
        <w:rPr>
          <w:rFonts w:eastAsiaTheme="minorHAnsi"/>
          <w:lang w:eastAsia="en-US"/>
        </w:rPr>
        <w:t xml:space="preserve">за счет </w:t>
      </w:r>
      <w:r>
        <w:t xml:space="preserve">средств </w:t>
      </w:r>
      <w:r>
        <w:t xml:space="preserve">федерального </w:t>
      </w:r>
      <w:r>
        <w:t xml:space="preserve">бюджета</w:t>
      </w:r>
      <w:r>
        <w:t xml:space="preserve"> на 20</w:t>
      </w:r>
      <w:r>
        <w:t xml:space="preserve">26</w:t>
      </w:r>
      <w:r>
        <w:t xml:space="preserve"> год</w:t>
      </w:r>
      <w:r>
        <w:t xml:space="preserve"> </w:t>
      </w:r>
      <w:r>
        <w:t xml:space="preserve">путем перечисления Заказчиком денежных средств на расчетный счет </w:t>
      </w:r>
      <w:r>
        <w:t xml:space="preserve">Исполнителя</w:t>
      </w:r>
      <w:r>
        <w:t xml:space="preserve">, указанный в Контракте. В случае изменения расчетного счета, </w:t>
      </w:r>
      <w:r>
        <w:t xml:space="preserve">Исполнитель</w:t>
      </w:r>
      <w:r>
        <w:t xml:space="preserve"> обязан в однодневный срок в письменной форме сообщить об этом Заказчику и указать новые реквизиты расчетного счета. В противном случае все риски, связанные с перечислением денежных средств на указанный в Контракте счет </w:t>
      </w:r>
      <w:r>
        <w:t xml:space="preserve">Исполнителя</w:t>
      </w:r>
      <w:r>
        <w:t xml:space="preserve">, несет </w:t>
      </w:r>
      <w:r>
        <w:t xml:space="preserve">Исполнитель</w:t>
      </w:r>
      <w:r>
        <w:t xml:space="preserve">.</w:t>
      </w:r>
      <w:r>
        <w:t xml:space="preserve"> </w:t>
      </w:r>
      <w:r/>
    </w:p>
    <w:p>
      <w:pPr>
        <w:ind w:right="567" w:firstLine="708"/>
        <w:jc w:val="both"/>
        <w:suppressLineNumbers w:val="0"/>
      </w:pPr>
      <w:r>
        <w:t xml:space="preserve">3.2</w:t>
      </w:r>
      <w:r>
        <w:t xml:space="preserve">.</w:t>
      </w:r>
      <w:r>
        <w:t xml:space="preserve"> Оплата </w:t>
      </w:r>
      <w:r>
        <w:t xml:space="preserve">за оказанные услуги</w:t>
      </w:r>
      <w:r>
        <w:t xml:space="preserve"> </w:t>
      </w:r>
      <w:r>
        <w:t xml:space="preserve">производится </w:t>
      </w:r>
      <w:r>
        <w:t xml:space="preserve">в течение 1</w:t>
      </w:r>
      <w:r>
        <w:t xml:space="preserve">0</w:t>
      </w:r>
      <w:r>
        <w:t xml:space="preserve"> (</w:t>
      </w:r>
      <w:r>
        <w:t xml:space="preserve">десят</w:t>
      </w:r>
      <w:r>
        <w:t xml:space="preserve">и) </w:t>
      </w:r>
      <w:r>
        <w:t xml:space="preserve">рабочи</w:t>
      </w:r>
      <w:r>
        <w:t xml:space="preserve">х </w:t>
      </w:r>
      <w:r>
        <w:t xml:space="preserve">дней </w:t>
      </w:r>
      <w:r>
        <w:t xml:space="preserve">с </w:t>
      </w:r>
      <w:r>
        <w:t xml:space="preserve">даты</w:t>
      </w:r>
      <w:r>
        <w:t xml:space="preserve"> </w:t>
      </w:r>
      <w:r>
        <w:t xml:space="preserve">подписания</w:t>
      </w:r>
      <w:r>
        <w:t xml:space="preserve"> </w:t>
      </w:r>
      <w:r>
        <w:t xml:space="preserve">Сторонами</w:t>
      </w:r>
      <w:r>
        <w:t xml:space="preserve"> </w:t>
      </w:r>
      <w:r>
        <w:t xml:space="preserve">акта оказанных услуг</w:t>
      </w:r>
      <w:r>
        <w:t xml:space="preserve"> или универсального передаточного документ</w:t>
      </w:r>
      <w:r>
        <w:t xml:space="preserve">а</w:t>
      </w:r>
      <w:r>
        <w:t xml:space="preserve">, </w:t>
      </w:r>
      <w:r>
        <w:t xml:space="preserve">счета или счет</w:t>
      </w:r>
      <w:r>
        <w:t xml:space="preserve">а</w:t>
      </w:r>
      <w:r>
        <w:t xml:space="preserve">-фактуры, представленных </w:t>
      </w:r>
      <w:r>
        <w:t xml:space="preserve">Исполнителем</w:t>
      </w:r>
      <w:r>
        <w:t xml:space="preserve">.</w:t>
      </w:r>
      <w:r/>
    </w:p>
    <w:p>
      <w:pPr>
        <w:ind w:left="284" w:right="567"/>
        <w:jc w:val="both"/>
        <w:rPr>
          <w:b/>
          <w:sz w:val="25"/>
          <w:szCs w:val="25"/>
        </w:rPr>
        <w:suppressLineNumbers w:val="0"/>
      </w:pPr>
      <w:r>
        <w:t xml:space="preserve">        </w:t>
      </w:r>
      <w:r>
        <w:t xml:space="preserve">3</w:t>
      </w:r>
      <w:r>
        <w:t xml:space="preserve">.3</w:t>
      </w:r>
      <w:r>
        <w:t xml:space="preserve">.</w:t>
      </w:r>
      <w:r>
        <w:t xml:space="preserve"> Срок </w:t>
      </w:r>
      <w:r>
        <w:t xml:space="preserve">оказания услуг</w:t>
      </w:r>
      <w:r>
        <w:t xml:space="preserve"> – </w:t>
      </w:r>
      <w:r>
        <w:t xml:space="preserve">в течение</w:t>
      </w:r>
      <w:r>
        <w:t xml:space="preserve"> </w:t>
      </w:r>
      <w:r>
        <w:t xml:space="preserve">14</w:t>
      </w:r>
      <w:r>
        <w:t xml:space="preserve"> </w:t>
      </w:r>
      <w:r>
        <w:t xml:space="preserve">календарных </w:t>
      </w:r>
      <w:r>
        <w:t xml:space="preserve">дней с момента </w:t>
      </w:r>
      <w:r>
        <w:t xml:space="preserve">подписания</w:t>
      </w:r>
      <w:r>
        <w:t xml:space="preserve"> </w:t>
      </w:r>
      <w:r>
        <w:t xml:space="preserve">К</w:t>
      </w:r>
      <w:r>
        <w:t xml:space="preserve">онтракта</w:t>
      </w:r>
      <w:r>
        <w:t xml:space="preserve">.</w:t>
      </w:r>
      <w:r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</w:r>
      <w:r>
        <w:rPr>
          <w:b/>
          <w:sz w:val="25"/>
          <w:szCs w:val="25"/>
        </w:rPr>
      </w:r>
    </w:p>
    <w:p>
      <w:pPr>
        <w:ind w:right="567" w:firstLine="708"/>
        <w:jc w:val="both"/>
        <w:suppressLineNumbers w:val="0"/>
      </w:pPr>
      <w:r>
        <w:t xml:space="preserve">3</w:t>
      </w:r>
      <w:r>
        <w:t xml:space="preserve">.</w:t>
      </w:r>
      <w:r>
        <w:t xml:space="preserve">4</w:t>
      </w:r>
      <w:r>
        <w:t xml:space="preserve">. Экспертиза оборудования должна производиться в помещении Исполнителя. Погрузка и доставка оборудования в помещение Исполнителя и обратно в помещение Заказчика осуществляется средствами и силами Исполнителя.</w:t>
      </w:r>
      <w:r/>
    </w:p>
    <w:p>
      <w:pPr>
        <w:ind w:right="567" w:firstLine="708"/>
        <w:jc w:val="both"/>
        <w:suppressLineNumbers w:val="0"/>
      </w:pPr>
      <w:r>
        <w:t xml:space="preserve">3</w:t>
      </w:r>
      <w:r>
        <w:t xml:space="preserve">.</w:t>
      </w:r>
      <w:r>
        <w:t xml:space="preserve">5</w:t>
      </w:r>
      <w:r>
        <w:t xml:space="preserve">. Адрес местонахождения оборудования для проведения экспертизы: </w:t>
      </w:r>
      <w:r/>
    </w:p>
    <w:p>
      <w:pPr>
        <w:ind w:right="567" w:firstLine="708"/>
        <w:jc w:val="both"/>
        <w:suppressLineNumbers w:val="0"/>
      </w:pPr>
      <w:r>
        <w:t xml:space="preserve">г. </w:t>
      </w:r>
      <w:r>
        <w:t xml:space="preserve">Краснодар, ул. Ставропольская, д.4;</w:t>
      </w:r>
      <w:r/>
    </w:p>
    <w:p>
      <w:pPr>
        <w:ind w:right="567" w:firstLine="708"/>
        <w:jc w:val="both"/>
        <w:suppressLineNumbers w:val="0"/>
      </w:pPr>
      <w:r>
        <w:t xml:space="preserve">г. </w:t>
      </w:r>
      <w:r>
        <w:t xml:space="preserve">Ростов</w:t>
      </w:r>
      <w:r>
        <w:t xml:space="preserve">-на-Дону, ул. </w:t>
      </w:r>
      <w:r>
        <w:t xml:space="preserve">Селиванова, 66.</w:t>
      </w:r>
      <w:r/>
    </w:p>
    <w:p>
      <w:pPr>
        <w:ind w:right="567" w:firstLine="708"/>
        <w:jc w:val="both"/>
        <w:suppressLineNumbers w:val="0"/>
      </w:pPr>
      <w:r>
        <w:t xml:space="preserve">3.6. </w:t>
      </w:r>
      <w:r>
        <w:t xml:space="preserve">Датой оказания услуг считается дата подписания Заказчиком акта </w:t>
      </w:r>
      <w:r>
        <w:t xml:space="preserve">оказанных</w:t>
      </w:r>
      <w:r>
        <w:t xml:space="preserve"> услуг</w:t>
      </w:r>
      <w:r>
        <w:t xml:space="preserve"> или универсального передаточного документа</w:t>
      </w:r>
      <w:r>
        <w:t xml:space="preserve">.</w:t>
      </w:r>
      <w:r/>
    </w:p>
    <w:p>
      <w:pPr>
        <w:ind w:right="567" w:firstLine="708"/>
        <w:jc w:val="both"/>
        <w:suppressLineNumbers w:val="0"/>
      </w:pPr>
      <w:r/>
      <w:r/>
    </w:p>
    <w:p>
      <w:pPr>
        <w:ind w:left="644" w:right="567"/>
        <w:jc w:val="both"/>
        <w:rPr>
          <w:b/>
        </w:rPr>
        <w:suppressLineNumbers w:val="0"/>
      </w:pPr>
      <w:r>
        <w:rPr>
          <w:b/>
        </w:rPr>
        <w:t xml:space="preserve">                                       4. </w:t>
      </w:r>
      <w:r>
        <w:rPr>
          <w:b/>
        </w:rPr>
        <w:t xml:space="preserve">ОБЯЗАННОСТИ СТОРОН</w:t>
      </w:r>
      <w:r>
        <w:rPr>
          <w:b/>
        </w:rPr>
      </w:r>
      <w:r>
        <w:rPr>
          <w:b/>
        </w:rPr>
      </w:r>
    </w:p>
    <w:p>
      <w:pPr>
        <w:ind w:right="567" w:firstLine="708"/>
        <w:jc w:val="both"/>
        <w:rPr>
          <w:u w:val="single"/>
        </w:rPr>
        <w:suppressLineNumbers w:val="0"/>
      </w:pPr>
      <w:r>
        <w:rPr>
          <w:u w:val="single"/>
        </w:rPr>
        <w:t xml:space="preserve">4</w:t>
      </w:r>
      <w:r>
        <w:rPr>
          <w:u w:val="single"/>
        </w:rPr>
        <w:t xml:space="preserve">.1. Заказчик обязуется:</w:t>
      </w:r>
      <w:r>
        <w:rPr>
          <w:u w:val="single"/>
        </w:rPr>
      </w:r>
      <w:r>
        <w:rPr>
          <w:u w:val="single"/>
        </w:rPr>
      </w:r>
    </w:p>
    <w:p>
      <w:pPr>
        <w:ind w:right="567" w:firstLine="708"/>
        <w:jc w:val="both"/>
        <w:suppressLineNumbers w:val="0"/>
      </w:pPr>
      <w:r>
        <w:t xml:space="preserve">4</w:t>
      </w:r>
      <w:r>
        <w:t xml:space="preserve">.1.1. передать Исполнителю имущество по акту приема-передачи (Приложение № 2) в течение 7(семи) календарных дней после подписания Контракта;</w:t>
      </w:r>
      <w:r/>
    </w:p>
    <w:p>
      <w:pPr>
        <w:ind w:right="567" w:firstLine="708"/>
        <w:jc w:val="both"/>
        <w:suppressLineNumbers w:val="0"/>
      </w:pPr>
      <w:r>
        <w:t xml:space="preserve">4</w:t>
      </w:r>
      <w:r>
        <w:t xml:space="preserve">.1.2. в порядке, установленном разделом 3 Контракта, оплатить Исполнителю оказанные услуги.</w:t>
      </w:r>
      <w:r/>
    </w:p>
    <w:p>
      <w:pPr>
        <w:ind w:right="567" w:firstLine="708"/>
        <w:jc w:val="both"/>
        <w:rPr>
          <w:u w:val="single"/>
        </w:rPr>
        <w:suppressLineNumbers w:val="0"/>
      </w:pPr>
      <w:r>
        <w:rPr>
          <w:u w:val="single"/>
        </w:rPr>
        <w:t xml:space="preserve">4</w:t>
      </w:r>
      <w:r>
        <w:rPr>
          <w:u w:val="single"/>
        </w:rPr>
        <w:t xml:space="preserve">.2. Исполнитель обязуется:</w:t>
      </w:r>
      <w:r>
        <w:rPr>
          <w:u w:val="single"/>
        </w:rPr>
      </w:r>
      <w:r>
        <w:rPr>
          <w:u w:val="single"/>
        </w:rPr>
      </w:r>
    </w:p>
    <w:p>
      <w:pPr>
        <w:ind w:right="567" w:firstLine="708"/>
        <w:jc w:val="both"/>
        <w:suppressLineNumbers w:val="0"/>
      </w:pPr>
      <w:r>
        <w:t xml:space="preserve">4</w:t>
      </w:r>
      <w:r>
        <w:t xml:space="preserve">.2.1. к окончанию установленного пунктом 3.</w:t>
      </w:r>
      <w:r>
        <w:t xml:space="preserve">3</w:t>
      </w:r>
      <w:r>
        <w:t xml:space="preserve">. настоящего Контракта срока предоставить Заказчику результат оказанных услуг;</w:t>
      </w:r>
      <w:r/>
    </w:p>
    <w:p>
      <w:pPr>
        <w:ind w:right="567" w:firstLine="708"/>
        <w:jc w:val="both"/>
        <w:suppressLineNumbers w:val="0"/>
      </w:pPr>
      <w:r>
        <w:t xml:space="preserve">4</w:t>
      </w:r>
      <w:r>
        <w:t xml:space="preserve">.2.2. обеспечить соответствие оказанных услуг предъявляемым к ним требованиям законодательства Российской Федерации;</w:t>
      </w:r>
      <w:r/>
    </w:p>
    <w:p>
      <w:pPr>
        <w:ind w:right="567" w:firstLine="708"/>
        <w:jc w:val="both"/>
        <w:suppressLineNumbers w:val="0"/>
      </w:pPr>
      <w:r>
        <w:t xml:space="preserve">4</w:t>
      </w:r>
      <w:r>
        <w:t xml:space="preserve">.2.</w:t>
      </w:r>
      <w:r>
        <w:t xml:space="preserve">3</w:t>
      </w:r>
      <w:r>
        <w:t xml:space="preserve">. </w:t>
      </w:r>
      <w:r>
        <w:t xml:space="preserve">провести экспертизу оборудования, составить и предоставить акты экспертизы технического состояния </w:t>
      </w:r>
      <w:r>
        <w:t xml:space="preserve">оборудования</w:t>
      </w:r>
      <w:r>
        <w:t xml:space="preserve">. В акте эк</w:t>
      </w:r>
      <w:r>
        <w:t xml:space="preserve">спертизы технического состояния должны быть отражены: инвентарный номер, серийный номер при наличии, наименование техники, дата принятия к учету, причина выхода из строя, возможность или невозможность проведения ремонта, целесообразность проведения ремонта</w:t>
      </w:r>
      <w:r>
        <w:t xml:space="preserve">;</w:t>
      </w:r>
      <w:r/>
    </w:p>
    <w:p>
      <w:pPr>
        <w:ind w:right="567" w:firstLine="708"/>
        <w:jc w:val="both"/>
        <w:suppressLineNumbers w:val="0"/>
      </w:pPr>
      <w:r>
        <w:t xml:space="preserve">4</w:t>
      </w:r>
      <w:r>
        <w:t xml:space="preserve">.2.</w:t>
      </w:r>
      <w:r>
        <w:t xml:space="preserve">4</w:t>
      </w:r>
      <w:r>
        <w:t xml:space="preserve">. </w:t>
      </w:r>
      <w:r>
        <w:t xml:space="preserve">иметь в штате сотрудников, обладающих образованием, позволяющим им на законных</w:t>
      </w:r>
      <w:r>
        <w:t xml:space="preserve"> основаниях проводить работы по технической экспертизе оборудования и выносить решение о состоянии оценива</w:t>
      </w:r>
      <w:r>
        <w:t xml:space="preserve">емого оборудования.</w:t>
      </w:r>
      <w:r/>
    </w:p>
    <w:p>
      <w:pPr>
        <w:ind w:right="567"/>
        <w:jc w:val="both"/>
        <w:suppressLineNumbers w:val="0"/>
      </w:pPr>
      <w:r/>
      <w:r/>
    </w:p>
    <w:p>
      <w:pPr>
        <w:ind w:right="567"/>
        <w:jc w:val="center"/>
        <w:rPr>
          <w:b/>
        </w:rPr>
        <w:suppressLineNumbers w:val="0"/>
      </w:pPr>
      <w:r>
        <w:rPr>
          <w:b/>
        </w:rPr>
        <w:t xml:space="preserve">5.</w:t>
      </w:r>
      <w:r>
        <w:rPr>
          <w:b/>
        </w:rPr>
        <w:t xml:space="preserve"> </w:t>
      </w:r>
      <w:r>
        <w:rPr>
          <w:b/>
        </w:rPr>
        <w:t xml:space="preserve">ПОРЯДОК ПРИЕМКИ </w:t>
      </w:r>
      <w:r>
        <w:rPr>
          <w:b/>
        </w:rPr>
        <w:t xml:space="preserve">ОКАЗАННЫХ УСЛУГ</w:t>
      </w:r>
      <w:r>
        <w:rPr>
          <w:b/>
        </w:rPr>
      </w:r>
      <w:r>
        <w:rPr>
          <w:b/>
        </w:rPr>
      </w:r>
    </w:p>
    <w:p>
      <w:pPr>
        <w:ind w:right="567"/>
        <w:jc w:val="both"/>
        <w:suppressLineNumbers w:val="0"/>
      </w:pPr>
      <w:r>
        <w:t xml:space="preserve">            5.1. Сдача-приемка услуг, оказанных по настоящему Контракту, оформляется актом </w:t>
      </w:r>
      <w:r>
        <w:t xml:space="preserve">оказанных</w:t>
      </w:r>
      <w:r>
        <w:t xml:space="preserve"> услуг.</w:t>
      </w:r>
      <w:r/>
    </w:p>
    <w:p>
      <w:pPr>
        <w:ind w:right="567"/>
        <w:jc w:val="both"/>
        <w:suppressLineNumbers w:val="0"/>
      </w:pPr>
      <w:r>
        <w:t xml:space="preserve">            5.2. Акт оказанных</w:t>
      </w:r>
      <w:r>
        <w:t xml:space="preserve"> услуг подписывается Сторонами в течение </w:t>
      </w:r>
      <w:r>
        <w:t xml:space="preserve">5</w:t>
      </w:r>
      <w:r>
        <w:t xml:space="preserve"> (</w:t>
      </w:r>
      <w:r>
        <w:t xml:space="preserve">пяти</w:t>
      </w:r>
      <w:r>
        <w:t xml:space="preserve">) рабочих дней со дня передачи Исполнителем всех актов экспертизы техническо</w:t>
      </w:r>
      <w:r>
        <w:t xml:space="preserve">го</w:t>
      </w:r>
      <w:r>
        <w:t xml:space="preserve"> состояни</w:t>
      </w:r>
      <w:r>
        <w:t xml:space="preserve">я</w:t>
      </w:r>
      <w:r>
        <w:t xml:space="preserve"> </w:t>
      </w:r>
      <w:r>
        <w:t xml:space="preserve">оборудовани</w:t>
      </w:r>
      <w:r>
        <w:t xml:space="preserve">я</w:t>
      </w:r>
      <w:r>
        <w:t xml:space="preserve">, указанно</w:t>
      </w:r>
      <w:r>
        <w:t xml:space="preserve">го</w:t>
      </w:r>
      <w:r>
        <w:t xml:space="preserve"> в спецификации</w:t>
      </w:r>
      <w:r>
        <w:t xml:space="preserve"> (Приложение № </w:t>
      </w:r>
      <w:r>
        <w:t xml:space="preserve">1</w:t>
      </w:r>
      <w:r>
        <w:t xml:space="preserve">)</w:t>
      </w:r>
      <w:r>
        <w:t xml:space="preserve"> Заказчику для проверки их соответствия условиям настоящего Контракта и возврата </w:t>
      </w:r>
      <w:r>
        <w:t xml:space="preserve">оборудования</w:t>
      </w:r>
      <w:r>
        <w:t xml:space="preserve"> в помещение Заказчика. Не подписание Заказчиком акта об оказании услуг в установленный срок допускается в том случае, если в течение указанного срока Заказчиком предъявлены мотивированные претензии в письменном виде.</w:t>
      </w:r>
      <w:r/>
    </w:p>
    <w:p>
      <w:pPr>
        <w:ind w:right="567"/>
        <w:jc w:val="both"/>
        <w:suppressLineNumbers w:val="0"/>
      </w:pPr>
      <w:r>
        <w:t xml:space="preserve">             5.3</w:t>
      </w:r>
      <w:r>
        <w:t xml:space="preserve">. В случае предъявления мотивированного отказ</w:t>
      </w:r>
      <w:r>
        <w:t xml:space="preserve">а Заказчика от подписания акта оказанных</w:t>
      </w:r>
      <w:r>
        <w:t xml:space="preserve"> услуг, Исполнитель обязан рассмотреть его и </w:t>
      </w:r>
      <w:r>
        <w:t xml:space="preserve">устранить недостатки в течение 10 (десяти</w:t>
      </w:r>
      <w:r>
        <w:t xml:space="preserve">) рабочих дней с момента </w:t>
      </w:r>
      <w:r>
        <w:t xml:space="preserve">предъявления претензии Заказчиком</w:t>
      </w:r>
      <w:r>
        <w:t xml:space="preserve">.</w:t>
      </w:r>
      <w:r/>
    </w:p>
    <w:p>
      <w:pPr>
        <w:ind w:right="567"/>
        <w:jc w:val="both"/>
        <w:suppressLineNumbers w:val="0"/>
      </w:pPr>
      <w:r/>
      <w:r/>
    </w:p>
    <w:p>
      <w:pPr>
        <w:ind w:right="567"/>
        <w:jc w:val="center"/>
        <w:rPr>
          <w:b/>
        </w:rPr>
        <w:suppressLineNumbers w:val="0"/>
      </w:pPr>
      <w:r>
        <w:rPr>
          <w:b/>
        </w:rPr>
        <w:t xml:space="preserve">6</w:t>
      </w:r>
      <w:r>
        <w:rPr>
          <w:b/>
        </w:rPr>
        <w:t xml:space="preserve">. </w:t>
      </w:r>
      <w:r>
        <w:rPr>
          <w:b/>
        </w:rPr>
        <w:t xml:space="preserve">ОБ</w:t>
      </w:r>
      <w:r>
        <w:rPr>
          <w:b/>
        </w:rPr>
        <w:t xml:space="preserve">СТОЯТЕЛЬСТВА НЕПРЕОДОЛИМОЙ СИЛЫ</w:t>
      </w:r>
      <w:r>
        <w:rPr>
          <w:b/>
        </w:rPr>
      </w:r>
      <w:r>
        <w:rPr>
          <w:b/>
        </w:rPr>
      </w:r>
    </w:p>
    <w:p>
      <w:pPr>
        <w:ind w:right="567" w:firstLine="708"/>
        <w:jc w:val="both"/>
        <w:suppressLineNumbers w:val="0"/>
      </w:pPr>
      <w:r>
        <w:t xml:space="preserve">6</w:t>
      </w:r>
      <w:r>
        <w:t xml:space="preserve">.1.</w:t>
      </w:r>
      <w:r>
        <w:t xml:space="preserve"> </w:t>
      </w:r>
      <w:r>
        <w:t xml:space="preserve">Стороны освобождаются от ответственности за полное и</w:t>
      </w:r>
      <w:r>
        <w:t xml:space="preserve">ли частичное неисполнение своих обязательств по Контракту,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а также других чрезвычайных обстоятельств, кот</w:t>
      </w:r>
      <w:r>
        <w:t xml:space="preserve">орые возникли после заключения К</w:t>
      </w:r>
      <w:r>
        <w:t xml:space="preserve">онтракта и непосредственно повлияли на исполнение Сторонами своих обязательств</w:t>
      </w:r>
      <w:r>
        <w:t xml:space="preserve"> и</w:t>
      </w:r>
      <w:r>
        <w:t xml:space="preserve"> которые С</w:t>
      </w:r>
      <w:r>
        <w:t xml:space="preserve">тороны были не в состоянии предвидеть и предотвратить.</w:t>
      </w:r>
      <w:r/>
    </w:p>
    <w:p>
      <w:pPr>
        <w:ind w:right="567" w:firstLine="708"/>
        <w:jc w:val="both"/>
        <w:suppressLineNumbers w:val="0"/>
      </w:pPr>
      <w:r>
        <w:t xml:space="preserve">6</w:t>
      </w:r>
      <w:r>
        <w:t xml:space="preserve">.2. При наступлении таких обстоятельств</w:t>
      </w:r>
      <w:r>
        <w:t xml:space="preserve">,</w:t>
      </w:r>
      <w:r>
        <w:t xml:space="preserve"> срок исполнения обязательств по Контракту</w:t>
      </w:r>
      <w:r>
        <w:t xml:space="preserve"> отодвигается соразмерно времен</w:t>
      </w:r>
      <w:r>
        <w:t xml:space="preserve">и действия данных обстоятельств</w:t>
      </w:r>
      <w:r>
        <w:t xml:space="preserve">.</w:t>
      </w:r>
      <w:r/>
    </w:p>
    <w:p>
      <w:pPr>
        <w:ind w:right="567" w:firstLine="708"/>
        <w:jc w:val="both"/>
        <w:suppressLineNumbers w:val="0"/>
      </w:pPr>
      <w:r>
        <w:t xml:space="preserve">6</w:t>
      </w:r>
      <w:r>
        <w:t xml:space="preserve">.3. Сторона</w:t>
      </w:r>
      <w:r>
        <w:t xml:space="preserve">,</w:t>
      </w:r>
      <w:r>
        <w:t xml:space="preserve">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</w:t>
      </w:r>
      <w:r>
        <w:t xml:space="preserve">стоятельств</w:t>
      </w:r>
      <w:r>
        <w:t xml:space="preserve"> уведомить в письменной форме другую Сторону об их возникновении, виде и возможной продолжительности действия.</w:t>
      </w:r>
      <w:r/>
    </w:p>
    <w:p>
      <w:pPr>
        <w:ind w:right="567"/>
        <w:jc w:val="both"/>
        <w:suppressLineNumbers w:val="0"/>
      </w:pPr>
      <w:r/>
      <w:r/>
    </w:p>
    <w:p>
      <w:pPr>
        <w:ind w:right="567"/>
        <w:jc w:val="center"/>
        <w:rPr>
          <w:b/>
          <w:bCs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</w:rPr>
        <w:t xml:space="preserve">7</w:t>
      </w:r>
      <w:r>
        <w:rPr>
          <w:b/>
        </w:rPr>
        <w:t xml:space="preserve">. ОТВЕТСТВЕННОСТЬ СТОРОН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right="567" w:firstLine="708"/>
        <w:jc w:val="both"/>
        <w:suppressLineNumbers w:val="0"/>
      </w:pPr>
      <w:r>
        <w:t xml:space="preserve">7.1. За неисполнение или ненадлежащее исполнение своих обязательств по Контракту Стороны несут ответственность в соответствии с </w:t>
      </w:r>
      <w:r>
        <w:t xml:space="preserve">Федеральным</w:t>
      </w:r>
      <w:r>
        <w:t xml:space="preserve"> закон</w:t>
      </w:r>
      <w:r>
        <w:t xml:space="preserve">ом</w:t>
      </w:r>
      <w:r>
        <w:t xml:space="preserve"> № 44-ФЗ</w:t>
      </w:r>
      <w:r>
        <w:t xml:space="preserve">, </w:t>
      </w:r>
      <w:r>
        <w:t xml:space="preserve"> </w:t>
      </w:r>
      <w:r>
        <w:t xml:space="preserve">постановлением Правительства Российской Федерации от 30 августа 2017 года № 1042 «Об утверждении </w:t>
      </w:r>
      <w:r>
        <w:t xml:space="preserve">П</w:t>
      </w:r>
      <w:r>
        <w:t xml:space="preserve">равил оп</w:t>
      </w:r>
      <w:r>
        <w:t xml:space="preserve">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</w:t>
      </w:r>
      <w:r>
        <w:t xml:space="preserve">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>
        <w:t xml:space="preserve">.</w:t>
      </w:r>
      <w:r/>
    </w:p>
    <w:p>
      <w:pPr>
        <w:ind w:right="567"/>
        <w:jc w:val="center"/>
        <w:rPr>
          <w:b/>
        </w:rPr>
        <w:suppressLineNumbers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right="567"/>
        <w:jc w:val="center"/>
        <w:rPr>
          <w:b/>
        </w:rPr>
        <w:suppressLineNumbers w:val="0"/>
      </w:pPr>
      <w:r>
        <w:rPr>
          <w:b/>
        </w:rPr>
        <w:t xml:space="preserve">8</w:t>
      </w:r>
      <w:r>
        <w:rPr>
          <w:b/>
        </w:rPr>
        <w:t xml:space="preserve">. ПОРЯДОК РАЗРЕШЕНИЯ СПОРОВ</w:t>
      </w:r>
      <w:r>
        <w:rPr>
          <w:b/>
        </w:rPr>
      </w:r>
      <w:r>
        <w:rPr>
          <w:b/>
        </w:rPr>
      </w:r>
    </w:p>
    <w:p>
      <w:pPr>
        <w:ind w:right="567" w:firstLine="708"/>
        <w:jc w:val="both"/>
        <w:suppressLineNumbers w:val="0"/>
      </w:pPr>
      <w:r>
        <w:t xml:space="preserve">8</w:t>
      </w:r>
      <w:r>
        <w:t xml:space="preserve">.1. Все споры или разногласия, возникающие</w:t>
      </w:r>
      <w:r>
        <w:t xml:space="preserve"> между Сторонами по настоящему К</w:t>
      </w:r>
      <w:r>
        <w:t xml:space="preserve">онтракту или в связи с ним, разрешаются путем переговоров (в досудебном порядке).</w:t>
      </w:r>
      <w:r>
        <w:t xml:space="preserve"> Стороны принимают все меры к тому, чтобы любые спорные вопросы, разногласия либо претензии, касающиеся исполнения Контракта, были урегулированы путем переговоров с оформлением совместного протокола урегулирования споров.</w:t>
      </w:r>
      <w:r/>
    </w:p>
    <w:p>
      <w:pPr>
        <w:ind w:right="567" w:firstLine="708"/>
        <w:jc w:val="both"/>
        <w:suppressLineNumbers w:val="0"/>
      </w:pPr>
      <w:r>
        <w:t xml:space="preserve">8.2. В отношении всех претензий, направляемых по Контракту, Сторона, к которой адресована данная претензия, должны дать письменный ответ по существу претензии в срок не позднее 10 рабочих дней с даты ее получения. </w:t>
      </w:r>
      <w:r/>
    </w:p>
    <w:p>
      <w:pPr>
        <w:ind w:right="567" w:firstLine="708"/>
        <w:jc w:val="both"/>
        <w:suppressLineNumbers w:val="0"/>
      </w:pPr>
      <w:r>
        <w:t xml:space="preserve">8</w:t>
      </w:r>
      <w:r>
        <w:t xml:space="preserve">.3</w:t>
      </w:r>
      <w:r>
        <w:t xml:space="preserve">. В случае невозможности разрешения разног</w:t>
      </w:r>
      <w:r>
        <w:t xml:space="preserve">ласий путем переговоров они под</w:t>
      </w:r>
      <w:r>
        <w:t xml:space="preserve">лежат рассмотрению в Арбитражном суде Краснодарского края.</w:t>
      </w:r>
      <w:r/>
    </w:p>
    <w:p>
      <w:pPr>
        <w:ind w:right="567"/>
        <w:jc w:val="both"/>
        <w:suppressLineNumbers w:val="0"/>
      </w:pPr>
      <w:r/>
      <w:r/>
    </w:p>
    <w:p>
      <w:pPr>
        <w:ind w:right="567"/>
        <w:jc w:val="center"/>
        <w:rPr>
          <w:b/>
        </w:rPr>
        <w:suppressLineNumbers w:val="0"/>
      </w:pPr>
      <w:r>
        <w:rPr>
          <w:b/>
        </w:rPr>
        <w:t xml:space="preserve">9</w:t>
      </w:r>
      <w:r>
        <w:rPr>
          <w:b/>
        </w:rPr>
        <w:t xml:space="preserve">. СРОК ДЕЙСТВИЯ, ПОРЯДОК ИЗМЕНЕНИЯ И РАСТОРЖЕНИЯ КОНТРАКТА</w:t>
      </w:r>
      <w:r>
        <w:rPr>
          <w:b/>
        </w:rPr>
      </w:r>
      <w:r>
        <w:rPr>
          <w:b/>
        </w:rPr>
      </w:r>
    </w:p>
    <w:p>
      <w:pPr>
        <w:ind w:right="567" w:firstLine="708"/>
        <w:jc w:val="both"/>
        <w:suppressLineNumbers w:val="0"/>
      </w:pPr>
      <w:r>
        <w:t xml:space="preserve">9</w:t>
      </w:r>
      <w:r>
        <w:t xml:space="preserve">.1. </w:t>
      </w:r>
      <w:r>
        <w:t xml:space="preserve">Настоящий Контракт</w:t>
      </w:r>
      <w:r>
        <w:t xml:space="preserve"> вступает в силу с момента </w:t>
      </w:r>
      <w:r>
        <w:t xml:space="preserve">его </w:t>
      </w:r>
      <w:r>
        <w:t xml:space="preserve">заключения и действует                              по 31 декабря 2026</w:t>
      </w:r>
      <w:r>
        <w:t xml:space="preserve"> года. В связи с окончанием срока действия </w:t>
      </w:r>
      <w:r>
        <w:t xml:space="preserve">контракта, обязательства Сторон</w:t>
      </w:r>
      <w:r>
        <w:t xml:space="preserve"> по</w:t>
      </w:r>
      <w:r>
        <w:t xml:space="preserve"> контракту прекращаются, за исключением обязательств, возникших в период действия контракта, но не исполненных до окончания срока действия контракта, в том числе обязательств по оплате и обязательств по возмещению убытков и выплате неустойки (штрафа, пени)</w:t>
      </w:r>
      <w:r>
        <w:t xml:space="preserve">.</w:t>
      </w:r>
      <w:r>
        <w:t xml:space="preserve"> </w:t>
      </w:r>
      <w:r>
        <w:t xml:space="preserve">Срок исполнения обязательств по Контракту 31 декабря 2026</w:t>
      </w:r>
      <w:r>
        <w:t xml:space="preserve"> года.</w:t>
      </w:r>
      <w:r/>
    </w:p>
    <w:p>
      <w:pPr>
        <w:ind w:right="567" w:firstLine="708"/>
        <w:jc w:val="both"/>
        <w:suppressLineNumbers w:val="0"/>
      </w:pPr>
      <w:r>
        <w:t xml:space="preserve">9</w:t>
      </w:r>
      <w:r>
        <w:t xml:space="preserve">.2</w:t>
      </w:r>
      <w:r>
        <w:t xml:space="preserve">. Расторжение К</w:t>
      </w:r>
      <w:r>
        <w:t xml:space="preserve">онтракта допускается по соглашению Сторон, по решению суда, в случае</w:t>
      </w:r>
      <w:r>
        <w:t xml:space="preserve"> одностороннего отказа Стороны Контракта от исполнения К</w:t>
      </w:r>
      <w:r>
        <w:t xml:space="preserve">онтракта в соответствии с гражданским законодательством Российской Федерации.</w:t>
      </w:r>
      <w:r/>
    </w:p>
    <w:p>
      <w:pPr>
        <w:ind w:right="567" w:firstLine="708"/>
        <w:jc w:val="both"/>
        <w:suppressLineNumbers w:val="0"/>
      </w:pPr>
      <w:r>
        <w:t xml:space="preserve">9</w:t>
      </w:r>
      <w:r>
        <w:t xml:space="preserve">.</w:t>
      </w:r>
      <w:r>
        <w:t xml:space="preserve">3</w:t>
      </w:r>
      <w:r>
        <w:t xml:space="preserve">.</w:t>
      </w:r>
      <w:r>
        <w:t xml:space="preserve"> </w:t>
      </w:r>
      <w:r>
        <w:t xml:space="preserve">Решение Сторон об одностороннем отказе от исполнения Контракта п</w:t>
      </w:r>
      <w:r>
        <w:t xml:space="preserve">о основаниям, предусмотренным Гражданским кодексом</w:t>
      </w:r>
      <w:r>
        <w:t xml:space="preserve"> Р</w:t>
      </w:r>
      <w:r>
        <w:t xml:space="preserve">оссийской </w:t>
      </w:r>
      <w:r>
        <w:t xml:space="preserve">Ф</w:t>
      </w:r>
      <w:r>
        <w:t xml:space="preserve">едерации</w:t>
      </w:r>
      <w:r>
        <w:t xml:space="preserve"> для одностороннего отказа от исполнения отдельных видов обязательств, принимается и реализуется в порядке и сроки, предусмотренные статьей 95 Федерального закона № 44-ФЗ.</w:t>
      </w:r>
      <w:r/>
    </w:p>
    <w:p>
      <w:pPr>
        <w:ind w:right="567" w:firstLine="708"/>
        <w:jc w:val="both"/>
        <w:suppressLineNumbers w:val="0"/>
      </w:pPr>
      <w:r>
        <w:t xml:space="preserve">9.4. Стороны предусмотрели, что изменение существенных условий Контракта при его исполнении не допускается, за исключением их изменения по согл</w:t>
      </w:r>
      <w:r>
        <w:t xml:space="preserve">ашению Сторон в случае, если по </w:t>
      </w:r>
      <w:r>
        <w:t xml:space="preserve">предложению Заказчика может увеличиваться предусмотренный контрактом объем услуг не более чем на десять процентов и</w:t>
      </w:r>
      <w:r>
        <w:t xml:space="preserve">ли уменьшаться предусмотренный К</w:t>
      </w:r>
      <w:r>
        <w:t xml:space="preserve">онтрактом объем оказываемых услуг не более чем на десять процентов. При этом по соглашению сторон допускается изменение с учетом положений бюджетного законодатель</w:t>
      </w:r>
      <w:r>
        <w:t xml:space="preserve">ства Российской Федерации цены К</w:t>
      </w:r>
      <w:r>
        <w:t xml:space="preserve">онтракта пропорционально дополнительному объему у</w:t>
      </w:r>
      <w:r>
        <w:t xml:space="preserve">слуг исходя из установленной в К</w:t>
      </w:r>
      <w:r>
        <w:t xml:space="preserve">онтракте цены единицы услуги, но не боле</w:t>
      </w:r>
      <w:r>
        <w:t xml:space="preserve">е чем на десять процентов цены К</w:t>
      </w:r>
      <w:r>
        <w:t xml:space="preserve">онтракта. </w:t>
      </w:r>
      <w:r>
        <w:t xml:space="preserve">При уменьшении предусмотренных Контрактом объема услуг Стороны К</w:t>
      </w:r>
      <w:r>
        <w:t xml:space="preserve">онтракта обязаны уменьшить цену контракта исходя из цены единицы услуги.</w:t>
      </w:r>
      <w:r/>
    </w:p>
    <w:p>
      <w:pPr>
        <w:ind w:right="567" w:firstLine="708"/>
        <w:jc w:val="both"/>
        <w:suppressLineNumbers w:val="0"/>
      </w:pPr>
      <w:r>
        <w:t xml:space="preserve">9</w:t>
      </w:r>
      <w:r>
        <w:t xml:space="preserve">.5</w:t>
      </w:r>
      <w:r>
        <w:t xml:space="preserve">. При исполнении настоящего К</w:t>
      </w:r>
      <w:r>
        <w:t xml:space="preserve">онтракта не допускается перемена </w:t>
      </w:r>
      <w:r>
        <w:t xml:space="preserve">Исполнителя</w:t>
      </w:r>
      <w:r>
        <w:t xml:space="preserve">, за исключением случая, когд</w:t>
      </w:r>
      <w:r>
        <w:t xml:space="preserve">а новый </w:t>
      </w:r>
      <w:r>
        <w:t xml:space="preserve">Исполнитель</w:t>
      </w:r>
      <w:r>
        <w:t xml:space="preserve"> является</w:t>
      </w:r>
      <w:r>
        <w:t xml:space="preserve"> правопреемником </w:t>
      </w:r>
      <w:r>
        <w:t xml:space="preserve">Исполнителя</w:t>
      </w:r>
      <w:r>
        <w:t xml:space="preserve"> по К</w:t>
      </w:r>
      <w:r>
        <w:t xml:space="preserve">онтракту вследствие реорганизации юридического лица в форме преобразования, слияния или присоединения.</w:t>
      </w:r>
      <w:r/>
    </w:p>
    <w:p>
      <w:pPr>
        <w:ind w:right="567" w:firstLine="708"/>
        <w:jc w:val="both"/>
        <w:suppressLineNumbers w:val="0"/>
      </w:pPr>
      <w:r>
        <w:t xml:space="preserve">9</w:t>
      </w:r>
      <w:r>
        <w:t xml:space="preserve">.6</w:t>
      </w:r>
      <w:r>
        <w:t xml:space="preserve">. </w:t>
      </w:r>
      <w:r>
        <w:t xml:space="preserve">В случае перемены Заказчика по К</w:t>
      </w:r>
      <w:r>
        <w:t xml:space="preserve">онтракту права и обяза</w:t>
      </w:r>
      <w:r>
        <w:t xml:space="preserve">нности Заказчика по настоящему К</w:t>
      </w:r>
      <w:r>
        <w:t xml:space="preserve">онтракту переходят к новому Заказчику в том же объеме и на тех же условиях.</w:t>
      </w:r>
      <w:r/>
    </w:p>
    <w:p>
      <w:pPr>
        <w:pStyle w:val="940"/>
        <w:ind w:left="0" w:right="567" w:firstLine="708"/>
        <w:jc w:val="both"/>
        <w:spacing w:before="0" w:after="0"/>
        <w:suppressLineNumbers w:val="0"/>
      </w:pPr>
      <w:r>
        <w:t xml:space="preserve">9</w:t>
      </w:r>
      <w:r>
        <w:t xml:space="preserve">.</w:t>
      </w:r>
      <w:r>
        <w:t xml:space="preserve">7</w:t>
      </w:r>
      <w:r>
        <w:t xml:space="preserve">. </w:t>
      </w:r>
      <w:r>
        <w:t xml:space="preserve">Любые изменения и дополнения</w:t>
      </w:r>
      <w:r>
        <w:t xml:space="preserve">,</w:t>
      </w:r>
      <w:r>
        <w:t xml:space="preserve"> </w:t>
      </w:r>
      <w:r>
        <w:t xml:space="preserve">не противоречащие действующему законодательству </w:t>
      </w:r>
      <w:r>
        <w:t xml:space="preserve">Российской Федерации</w:t>
      </w:r>
      <w:r>
        <w:t xml:space="preserve">, оформляются дополнительными соглашениями Сторон, и имеют силу только в том случае, если они оформлены в письменном виде и подписаны обеими </w:t>
      </w:r>
      <w:r>
        <w:t xml:space="preserve">С</w:t>
      </w:r>
      <w:r>
        <w:t xml:space="preserve">торонами.</w:t>
      </w:r>
      <w:r>
        <w:t xml:space="preserve"> </w:t>
      </w:r>
      <w:r/>
    </w:p>
    <w:p>
      <w:pPr>
        <w:pStyle w:val="940"/>
        <w:ind w:left="0" w:right="567" w:firstLine="708"/>
        <w:jc w:val="both"/>
        <w:spacing w:before="0" w:after="0"/>
        <w:suppressLineNumbers w:val="0"/>
      </w:pPr>
      <w:r/>
      <w:r/>
    </w:p>
    <w:p>
      <w:pPr>
        <w:ind w:right="567"/>
        <w:jc w:val="center"/>
        <w:rPr>
          <w:b/>
        </w:rPr>
        <w:suppressLineNumbers w:val="0"/>
      </w:pPr>
      <w:r>
        <w:rPr>
          <w:b/>
        </w:rPr>
        <w:t xml:space="preserve">1</w:t>
      </w:r>
      <w:r>
        <w:rPr>
          <w:b/>
        </w:rPr>
        <w:t xml:space="preserve">0</w:t>
      </w:r>
      <w:r>
        <w:rPr>
          <w:b/>
        </w:rPr>
        <w:t xml:space="preserve">. ОСОБЫЕ УСЛОВИЯ</w:t>
      </w:r>
      <w:r>
        <w:rPr>
          <w:b/>
        </w:rPr>
      </w:r>
      <w:r>
        <w:rPr>
          <w:b/>
        </w:rPr>
      </w:r>
    </w:p>
    <w:p>
      <w:pPr>
        <w:ind w:right="567" w:firstLine="708"/>
        <w:jc w:val="both"/>
        <w:suppressLineNumbers w:val="0"/>
      </w:pPr>
      <w:r>
        <w:t xml:space="preserve">1</w:t>
      </w:r>
      <w:r>
        <w:t xml:space="preserve">0</w:t>
      </w:r>
      <w:r>
        <w:t xml:space="preserve">.1</w:t>
      </w:r>
      <w:r>
        <w:t xml:space="preserve">. </w:t>
      </w:r>
      <w:r>
        <w:t xml:space="preserve">Любое уведомление, которое одна </w:t>
      </w:r>
      <w:r>
        <w:t xml:space="preserve">С</w:t>
      </w:r>
      <w:r>
        <w:t xml:space="preserve">торона направляет другой </w:t>
      </w:r>
      <w:r>
        <w:t xml:space="preserve">С</w:t>
      </w:r>
      <w:r>
        <w:t xml:space="preserve">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</w:t>
      </w:r>
      <w:r>
        <w:t xml:space="preserve"> силу в</w:t>
      </w:r>
      <w:r>
        <w:t xml:space="preserve"> день получения его лицом, которому оно адресовано, если иное не установлено законом или Контрактом.</w:t>
      </w:r>
      <w:r/>
    </w:p>
    <w:p>
      <w:pPr>
        <w:ind w:right="567" w:firstLine="708"/>
        <w:jc w:val="both"/>
        <w:suppressLineNumbers w:val="0"/>
      </w:pPr>
      <w:r>
        <w:t xml:space="preserve">1</w:t>
      </w:r>
      <w:r>
        <w:t xml:space="preserve">0</w:t>
      </w:r>
      <w:r>
        <w:t xml:space="preserve">.2</w:t>
      </w:r>
      <w:r>
        <w:t xml:space="preserve">. Во всем, что не преду</w:t>
      </w:r>
      <w:r>
        <w:t xml:space="preserve">смотрено Контрактом, С</w:t>
      </w:r>
      <w:r>
        <w:t xml:space="preserve">тороны руководствуются действующим законодательством </w:t>
      </w:r>
      <w:r>
        <w:t xml:space="preserve">Российской Федерации</w:t>
      </w:r>
      <w:r>
        <w:t xml:space="preserve">.</w:t>
      </w:r>
      <w:r/>
    </w:p>
    <w:p>
      <w:pPr>
        <w:ind w:right="567" w:firstLine="708"/>
        <w:jc w:val="both"/>
        <w:suppressLineNumbers w:val="0"/>
      </w:pPr>
      <w:r>
        <w:t xml:space="preserve">10.3</w:t>
      </w:r>
      <w:r>
        <w:t xml:space="preserve">. Приложения</w:t>
      </w:r>
      <w:r>
        <w:t xml:space="preserve">: </w:t>
      </w:r>
      <w:r/>
    </w:p>
    <w:p>
      <w:pPr>
        <w:ind w:right="567" w:firstLine="708"/>
        <w:jc w:val="both"/>
        <w:suppressLineNumbers w:val="0"/>
      </w:pPr>
      <w:r>
        <w:t xml:space="preserve">- Приложение № 1</w:t>
      </w:r>
      <w:r>
        <w:t xml:space="preserve"> </w:t>
      </w:r>
      <w:r>
        <w:t xml:space="preserve">«Спецификация на оказание услуг по проведению технической экспертизы оборудования»</w:t>
      </w:r>
      <w:r>
        <w:t xml:space="preserve">;</w:t>
      </w:r>
      <w:r/>
    </w:p>
    <w:p>
      <w:pPr>
        <w:ind w:right="567" w:firstLine="708"/>
        <w:jc w:val="both"/>
        <w:suppressLineNumbers w:val="0"/>
      </w:pPr>
      <w:r>
        <w:t xml:space="preserve">-</w:t>
      </w:r>
      <w:r>
        <w:t xml:space="preserve"> </w:t>
      </w:r>
      <w:r>
        <w:t xml:space="preserve">Приложение № 2</w:t>
      </w:r>
      <w:r>
        <w:t xml:space="preserve"> </w:t>
      </w:r>
      <w:r>
        <w:t xml:space="preserve">«Акт приема-передачи оборудования, подлежащего экспертизе»</w:t>
      </w:r>
      <w:r>
        <w:t xml:space="preserve">.</w:t>
      </w:r>
      <w:r/>
    </w:p>
    <w:p>
      <w:pPr>
        <w:ind w:right="567"/>
        <w:jc w:val="both"/>
        <w:suppressLineNumbers w:val="0"/>
      </w:pPr>
      <w:r/>
      <w:r/>
    </w:p>
    <w:p>
      <w:pPr>
        <w:ind w:right="567"/>
        <w:jc w:val="center"/>
        <w:rPr>
          <w:b/>
          <w:bCs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right="567"/>
        <w:jc w:val="center"/>
        <w:rPr>
          <w:b/>
          <w:bCs/>
          <w:highlight w:val="none"/>
        </w:rPr>
        <w:suppressLineNumbers w:val="0"/>
      </w:pPr>
      <w:r>
        <w:rPr>
          <w:b/>
        </w:rPr>
        <w:t xml:space="preserve">1</w:t>
      </w:r>
      <w:r>
        <w:rPr>
          <w:b/>
        </w:rPr>
        <w:t xml:space="preserve">1</w:t>
      </w:r>
      <w:r>
        <w:rPr>
          <w:b/>
        </w:rPr>
        <w:t xml:space="preserve">.</w:t>
      </w:r>
      <w:r>
        <w:rPr>
          <w:b/>
        </w:rPr>
        <w:t xml:space="preserve"> </w:t>
      </w:r>
      <w:r>
        <w:rPr>
          <w:b/>
        </w:rPr>
        <w:t xml:space="preserve">ЮРИД</w:t>
      </w:r>
      <w:r>
        <w:rPr>
          <w:b/>
        </w:rPr>
        <w:t xml:space="preserve">ИЧЕСКИЕ АДРЕСА, РЕКВИЗИТЫ</w:t>
      </w:r>
      <w:r>
        <w:rPr>
          <w:b/>
        </w:rPr>
        <w:t xml:space="preserve"> И ПОДПИСИ СТОРОН</w:t>
      </w:r>
      <w:r>
        <w:rPr>
          <w:b/>
        </w:rPr>
      </w:r>
      <w:r>
        <w:rPr>
          <w:b/>
          <w:bCs/>
          <w:highlight w:val="none"/>
        </w:rPr>
      </w:r>
    </w:p>
    <w:tbl>
      <w:tblPr>
        <w:tblStyle w:val="944"/>
        <w:tblW w:w="98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18"/>
        <w:gridCol w:w="4918"/>
      </w:tblGrid>
      <w:tr>
        <w:tblPrEx/>
        <w:trPr>
          <w:trHeight w:val="322"/>
        </w:trPr>
        <w:tc>
          <w:tcPr>
            <w:tcW w:w="4918" w:type="dxa"/>
            <w:textDirection w:val="lrTb"/>
            <w:noWrap w:val="false"/>
          </w:tcPr>
          <w:p>
            <w:pPr>
              <w:ind w:right="567"/>
              <w:jc w:val="both"/>
              <w:rPr>
                <w:b/>
              </w:rPr>
              <w:suppressLineNumbers w:val="0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918" w:type="dxa"/>
            <w:textDirection w:val="lrTb"/>
            <w:noWrap w:val="false"/>
          </w:tcPr>
          <w:p>
            <w:pPr>
              <w:ind w:right="567"/>
              <w:jc w:val="both"/>
              <w:rPr>
                <w:b/>
              </w:rPr>
              <w:suppressLineNumbers w:val="0"/>
            </w:pPr>
            <w:r>
              <w:rPr>
                <w:b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1033"/>
        </w:trPr>
        <w:tc>
          <w:tcPr>
            <w:tcW w:w="4918" w:type="dxa"/>
            <w:textDirection w:val="lrTb"/>
            <w:noWrap w:val="false"/>
          </w:tcPr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Северо-Кавказское управление Федеральной службы по экологическому, технологическому и атомному надзору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Адрес: 350033, Краснодарский край,                        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г. Краснодар, ул. Ставропольская, 4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ИНН 2310009818 КПП 230901001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ОГРН 1022301623684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УФК по Кра</w:t>
            </w:r>
            <w:r>
              <w:rPr>
                <w:lang w:eastAsia="ar-SA"/>
              </w:rPr>
              <w:t xml:space="preserve">снодарскому краю (Северо-Кавказское управление Ростехнадзора </w:t>
            </w:r>
            <w:r>
              <w:rPr>
                <w:lang w:eastAsia="ar-SA"/>
              </w:rPr>
              <w:br/>
              <w:t xml:space="preserve">л/с 03181494530)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Наименование банка: ОКЦ № 1 ВВГУ </w:t>
            </w:r>
            <w:r>
              <w:rPr>
                <w:lang w:eastAsia="ar-SA"/>
              </w:rPr>
              <w:br/>
              <w:t xml:space="preserve">Банка России // УФК по Нижегородской области, г. Нижний Новгород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БИК: 012202102                                     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ЕКС: 40102810745370000024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Казначейский счет: 03211643000000013241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Тел./факс: 8(861)214-24-78</w:t>
            </w:r>
            <w:r>
              <w:rPr>
                <w:lang w:eastAsia="ar-SA"/>
              </w:rPr>
            </w:r>
            <w:r/>
          </w:p>
          <w:p>
            <w:pPr>
              <w:ind w:right="567"/>
              <w:suppressLineNumbers w:val="0"/>
            </w:pPr>
            <w:r>
              <w:rPr>
                <w:lang w:eastAsia="ar-SA"/>
              </w:rPr>
              <w:t xml:space="preserve">Адрес электронной почты: </w:t>
            </w:r>
            <w:r>
              <w:rPr>
                <w:lang w:val="en-US" w:eastAsia="ar-SA"/>
              </w:rPr>
              <w:t xml:space="preserve">sevkav</w:t>
            </w:r>
            <w:r>
              <w:rPr>
                <w:lang w:eastAsia="ar-SA"/>
              </w:rPr>
              <w:t xml:space="preserve">@</w:t>
            </w:r>
            <w:r>
              <w:rPr>
                <w:lang w:val="en-US" w:eastAsia="ar-SA"/>
              </w:rPr>
              <w:t xml:space="preserve">gosnadzor</w:t>
            </w:r>
            <w:r>
              <w:rPr>
                <w:lang w:eastAsia="ar-SA"/>
              </w:rPr>
              <w:t xml:space="preserve">.</w:t>
            </w:r>
            <w:r>
              <w:rPr>
                <w:lang w:val="en-US" w:eastAsia="ar-SA"/>
              </w:rPr>
              <w:t xml:space="preserve">ru</w:t>
            </w:r>
            <w:r>
              <w:rPr>
                <w:lang w:eastAsia="ar-SA"/>
              </w:rPr>
            </w:r>
            <w:r/>
          </w:p>
          <w:p>
            <w:pPr>
              <w:ind w:right="567"/>
              <w:jc w:val="both"/>
              <w:suppressLineNumbers w:val="0"/>
            </w:pPr>
            <w:r/>
            <w:r/>
          </w:p>
          <w:p>
            <w:pPr>
              <w:ind w:right="567"/>
              <w:jc w:val="both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t xml:space="preserve">И.о. р</w:t>
            </w:r>
            <w:r>
              <w:t xml:space="preserve">уководител</w:t>
            </w:r>
            <w:r>
              <w:t xml:space="preserve">я</w:t>
            </w:r>
            <w:r>
              <w:rPr>
                <w:highlight w:val="none"/>
              </w:rPr>
            </w:r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>
              <w:t xml:space="preserve">_________________  </w:t>
            </w:r>
            <w:r>
              <w:t xml:space="preserve">В.А. Коноваленко</w:t>
            </w:r>
            <w:r/>
          </w:p>
          <w:p>
            <w:pPr>
              <w:ind w:right="567"/>
              <w:jc w:val="both"/>
              <w:suppressLineNumbers w:val="0"/>
            </w:pPr>
            <w:r>
              <w:t xml:space="preserve">м.п</w:t>
            </w:r>
            <w:r>
              <w:t xml:space="preserve">.</w:t>
            </w:r>
            <w:r/>
          </w:p>
          <w:p>
            <w:pPr>
              <w:ind w:right="567"/>
              <w:jc w:val="both"/>
              <w:rPr>
                <w:b/>
              </w:rPr>
              <w:suppressLineNumbers w:val="0"/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right="567"/>
              <w:jc w:val="right"/>
              <w:suppressLineNumbers w:val="0"/>
            </w:pPr>
            <w:r/>
            <w:r/>
          </w:p>
        </w:tc>
        <w:tc>
          <w:tcPr>
            <w:tcW w:w="4918" w:type="dxa"/>
            <w:textDirection w:val="lrTb"/>
            <w:noWrap w:val="false"/>
          </w:tcPr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/>
            <w:r/>
          </w:p>
          <w:p>
            <w:pPr>
              <w:ind w:right="567"/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suppressLineNumbers w:val="0"/>
            </w:pPr>
            <w:r>
              <w:t xml:space="preserve">     </w:t>
            </w:r>
            <w:r/>
          </w:p>
          <w:p>
            <w:pPr>
              <w:ind w:right="567"/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567"/>
              <w:rPr>
                <w:highlight w:val="none"/>
              </w:rPr>
              <w:suppressLineNumbers w:val="0"/>
            </w:pPr>
            <w:r>
              <w:t xml:space="preserve"> _________                  ____________</w:t>
            </w:r>
            <w:r/>
            <w:r/>
          </w:p>
        </w:tc>
      </w:tr>
    </w:tbl>
    <w:p>
      <w:pPr>
        <w:ind w:right="567"/>
        <w:rPr>
          <w:sz w:val="20"/>
          <w:szCs w:val="20"/>
        </w:rPr>
        <w:suppressLineNumbers w:val="0"/>
      </w:pPr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</w:t>
      </w:r>
      <w:r>
        <w:rPr>
          <w:sz w:val="20"/>
          <w:szCs w:val="20"/>
          <w:lang w:val="en-US"/>
        </w:rPr>
      </w:r>
      <w:r>
        <w:rPr>
          <w:sz w:val="20"/>
          <w:szCs w:val="20"/>
        </w:rPr>
      </w:r>
    </w:p>
    <w:p>
      <w:pPr>
        <w:jc w:val="right"/>
        <w:pageBreakBefore/>
      </w:pPr>
      <w:r>
        <w:t xml:space="preserve">Приложение №1</w:t>
      </w:r>
      <w:r/>
    </w:p>
    <w:p>
      <w:pPr>
        <w:jc w:val="right"/>
      </w:pPr>
      <w:r>
        <w:t xml:space="preserve">к Государственному контракту </w:t>
      </w:r>
      <w:r/>
    </w:p>
    <w:p>
      <w:pPr>
        <w:jc w:val="right"/>
      </w:pPr>
      <w:r>
        <w:t xml:space="preserve">                                                                                                            от </w:t>
      </w:r>
      <w:r>
        <w:t xml:space="preserve">_______________</w:t>
      </w:r>
      <w:r>
        <w:t xml:space="preserve"> № </w:t>
      </w:r>
      <w:r>
        <w:t xml:space="preserve">____</w:t>
      </w:r>
      <w:r/>
    </w:p>
    <w:p>
      <w:r>
        <w:t xml:space="preserve">                                                   </w:t>
      </w:r>
      <w:r/>
    </w:p>
    <w:p>
      <w:pPr>
        <w:rPr>
          <w:b/>
        </w:rPr>
      </w:pPr>
      <w:r>
        <w:rPr>
          <w:b/>
        </w:rPr>
        <w:t xml:space="preserve">                                                               СПЕЦИФИКАЦИЯ</w:t>
      </w:r>
      <w:r>
        <w:rPr>
          <w:b/>
        </w:rPr>
      </w:r>
      <w:r>
        <w:rPr>
          <w:b/>
        </w:rPr>
      </w:r>
    </w:p>
    <w:p>
      <w:pPr>
        <w:ind w:firstLine="708"/>
        <w:jc w:val="both"/>
      </w:pPr>
      <w:r>
        <w:t xml:space="preserve">на оказание услуг по проведению технической экспертизы оборудования</w:t>
      </w:r>
      <w:r/>
    </w:p>
    <w:tbl>
      <w:tblPr>
        <w:tblStyle w:val="9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83"/>
        <w:gridCol w:w="2126"/>
        <w:gridCol w:w="425"/>
        <w:gridCol w:w="1559"/>
        <w:gridCol w:w="1559"/>
      </w:tblGrid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Номенклатурный номер номер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Кол-во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t xml:space="preserve">Стоимость единицы услуги, руб</w:t>
            </w: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t xml:space="preserve">Общая стоимость услуги, руб.</w:t>
            </w: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Накопитель 16 Gb Transcend Jetflash 600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00-000000000000542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Накопитель 16 Gb Transcend Jetflash 600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00-000000000000541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Флеш накопитель USB Transcend Jetflash 16 Gb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00-000000000000520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Факс Panasonic KX-FL423RU лазерный, обычная бумага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101340400010   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КОМПЬЮТЕР В КОМПЛЕКТЕ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1511575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HP  LaserJet Р2014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1511637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Рабочая станция  в сборе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11013400083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Моноблок Acer Veriton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101340200400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Рабочая станция стационарная HP Pro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101340200185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Персональный компьютер Lenovo, M73z 20"None Touch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11013400028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Клавиатура, шт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КК0000000916  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Мышь оптическая USB, шт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КК0000000590 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Рабочая станция стационарная HP Pro 3520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101340200190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HP ProBook 4540s (H5J44EA)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101340200232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HP ProBook 4540s (H5J44EA)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101340200234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Компьютер в сборе: АТХ 300W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01360085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Телефакс Panasonic KX-FT 932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110 490 034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Lenovo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101340200404   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Lenovo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101340200405   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Многофункциональное устройство HP Laser JetPro 400 M425 dw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11013400109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Laser Jet 1020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1510955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Компьютер в комплекте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1510968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Многофункциональное устройство CANON LaserBase MF3110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1511110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Монохромное МФУ принтер формат А4 Xerox Phaser 3635MFP/S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11013400055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копировальн. Canon FC-108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1511345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CANON LASER BASE MF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1511477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ЦИФРОВОЙ МОДЕМ ADSL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00-000000000002289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МОДЕМ "БИЛАЙН"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00-000000000001940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ЦИФРОВОЙ МОДЕМ ADSL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00-000000000002288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CANON LASER BASE MF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1511478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CANON LASER BASE MF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1511479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HP LJ 1022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1511506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SIEMENS-802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1510384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center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EJINE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00-000000000003278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телеф. Panasonic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00-000000000001856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АПАРАТ ТЕЛЕФОННЫЙ СПЕКТР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TESIA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00-000000000003253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LG-460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00-000000000003248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PANASONIC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00-000000000003249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PANASONIC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00-000000000003249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КАЛЬКУЛЯТОР СИТИЗЕН 16 разр.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00-000000000003554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КАЛЬКУЛЯТОР СИТИЗЕН 16 разр.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00-000000000003554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КАЛЬКУЛЯТОР СИТИЗЕН 16 разр.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00-000000000003554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ТЕЛЕФОННЫЙ АППАРАТ SAMSUNG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00-000000000002143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ТЕЛЕФОННЫЙ АППАРАТ SAMSUNG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00-000000000002143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Моноблок HP 23.8" FHD/1Tb/DVDRW/DOS/k+m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11013400186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Факс Panasonic KX-FL423RU лазерный, обычная бумага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101340300381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Многофункциональное устройство HP Laser JetPro 400 M425 w 2013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101340200273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Монохромный  принтер формат А4 Xerox Phaser P3320DN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11013400050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Сканер Mustek PageExpress 2400PRO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101340200073   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лазерный HP Laser Jet 1150 A4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11 058 013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лазерный HP Laser Jet 1150 A4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11 058 014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Модем ZyXEL Omni Duo 56 k вн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11 015 729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Lenovo Think Pad T540p/15.6HD/intelCorei3-4100M/4Gb/500Gb/intelHD/WiFi/B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Рабочая станция  в сборе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11013400080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HP Laser Jet Pro Р1102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101340200361   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Копировальный аппарат  Kyocera- Mita KM -1620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004.11 060 000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Сканер тип 3 Mustik A3 1200HS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11013400053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Монитор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1511154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Монитор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1511152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Си стемный блок в сборке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11 063 584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МОНИТОР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00-000000000002104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Монитор LCD 17"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1510130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vMerge w:val="restart"/>
            <w:textDirection w:val="lrTb"/>
            <w:noWrap/>
          </w:tcPr>
          <w:p>
            <w:pPr>
              <w:spacing w:before="0" w:after="0" w:line="57" w:lineRule="atLeast"/>
              <w:rPr>
                <w:rFonts w:ascii="Calibri" w:hAnsi="Calibri" w:eastAsia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</w:rPr>
              <w:t xml:space="preserve">Итого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vMerge w:val="restart"/>
            <w:textDirection w:val="lrTb"/>
            <w:noWrap/>
          </w:tcPr>
          <w:p>
            <w:pPr>
              <w:spacing w:before="0" w:after="0" w:line="57" w:lineRule="atLeast"/>
              <w:rPr>
                <w:rFonts w:ascii="Calibri" w:hAnsi="Calibri" w:eastAsia="Calibri" w:cs="Calibri"/>
                <w:color w:val="000000"/>
                <w:sz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Calibri" w:hAnsi="Calibri" w:eastAsia="Calibri" w:cs="Calibri"/>
                <w:color w:val="000000"/>
                <w:sz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10374</w:t>
            </w:r>
            <w:r/>
          </w:p>
        </w:tc>
      </w:tr>
    </w:tbl>
    <w:p>
      <w:pPr>
        <w:ind w:firstLine="708"/>
        <w:jc w:val="both"/>
      </w:pPr>
      <w:r/>
      <w:r/>
    </w:p>
    <w:p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995"/>
        <w:gridCol w:w="4108"/>
      </w:tblGrid>
      <w:tr>
        <w:tblPrEx/>
        <w:trPr>
          <w:trHeight w:val="1940"/>
        </w:trPr>
        <w:tc>
          <w:tcPr>
            <w:tcW w:w="4820" w:type="dxa"/>
            <w:textDirection w:val="lrTb"/>
            <w:noWrap w:val="false"/>
          </w:tcPr>
          <w:p>
            <w:pPr>
              <w:spacing w:line="276" w:lineRule="auto"/>
              <w:rPr>
                <w:b/>
                <w:caps/>
                <w:lang w:eastAsia="ar-SA"/>
              </w:rPr>
            </w:pPr>
            <w:r>
              <w:rPr>
                <w:b/>
                <w:bCs/>
                <w:caps/>
              </w:rPr>
              <w:t xml:space="preserve">Заказчик</w:t>
            </w:r>
            <w:r>
              <w:rPr>
                <w:b/>
                <w:caps/>
              </w:rPr>
              <w:t xml:space="preserve">:</w:t>
            </w:r>
            <w:r>
              <w:rPr>
                <w:b/>
                <w:caps/>
                <w:lang w:eastAsia="ar-SA"/>
              </w:rPr>
            </w:r>
            <w:r>
              <w:rPr>
                <w:b/>
                <w:caps/>
                <w:lang w:eastAsia="ar-SA"/>
              </w:rPr>
            </w:r>
          </w:p>
          <w:p>
            <w:pPr>
              <w:jc w:val="both"/>
              <w:spacing w:line="276" w:lineRule="auto"/>
            </w:pPr>
            <w:r/>
            <w:r/>
          </w:p>
          <w:p>
            <w:pPr>
              <w:jc w:val="both"/>
              <w:spacing w:line="276" w:lineRule="auto"/>
              <w:rPr>
                <w:color w:val="000000"/>
                <w:spacing w:val="4"/>
              </w:rPr>
            </w:pPr>
            <w:r>
              <w:t xml:space="preserve">__________________</w:t>
            </w:r>
            <w:r>
              <w:rPr>
                <w:rStyle w:val="971"/>
              </w:rPr>
              <w:t xml:space="preserve"> </w:t>
            </w:r>
            <w:r>
              <w:t xml:space="preserve">В.А. Коноваленко </w:t>
            </w:r>
            <w:r>
              <w:rPr>
                <w:color w:val="000000"/>
                <w:spacing w:val="4"/>
              </w:rPr>
            </w:r>
            <w:r>
              <w:rPr>
                <w:color w:val="000000"/>
                <w:spacing w:val="4"/>
              </w:rPr>
            </w:r>
          </w:p>
          <w:p>
            <w:pPr>
              <w:spacing w:before="240" w:line="276" w:lineRule="auto"/>
            </w:pPr>
            <w:r>
              <w:t xml:space="preserve">«___»__________ 2026 года</w:t>
            </w:r>
            <w:r/>
          </w:p>
          <w:p>
            <w:pPr>
              <w:spacing w:line="276" w:lineRule="auto"/>
              <w:rPr>
                <w:lang w:eastAsia="ar-SA"/>
              </w:rPr>
            </w:pPr>
            <w:r>
              <w:t xml:space="preserve">м.п</w:t>
            </w:r>
            <w:r>
              <w:t xml:space="preserve">.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W w:w="99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u w:val="single"/>
                <w:lang w:eastAsia="ar-SA"/>
              </w:rPr>
            </w:pPr>
            <w:r>
              <w:rPr>
                <w:b/>
                <w:u w:val="single"/>
                <w:lang w:eastAsia="ar-SA"/>
              </w:rPr>
            </w:r>
            <w:r>
              <w:rPr>
                <w:b/>
                <w:u w:val="single"/>
                <w:lang w:eastAsia="ar-SA"/>
              </w:rPr>
            </w:r>
            <w:r>
              <w:rPr>
                <w:b/>
                <w:u w:val="single"/>
                <w:lang w:eastAsia="ar-SA"/>
              </w:rPr>
            </w:r>
          </w:p>
        </w:tc>
        <w:tc>
          <w:tcPr>
            <w:tcW w:w="4108" w:type="dxa"/>
            <w:textDirection w:val="lrTb"/>
            <w:noWrap w:val="false"/>
          </w:tcPr>
          <w:p>
            <w:pPr>
              <w:spacing w:line="276" w:lineRule="auto"/>
              <w:rPr>
                <w:b/>
                <w:caps/>
                <w:lang w:eastAsia="ar-SA"/>
              </w:rPr>
            </w:pPr>
            <w:r>
              <w:rPr>
                <w:b/>
                <w:caps/>
              </w:rPr>
              <w:t xml:space="preserve">исполнителЬ:</w:t>
            </w:r>
            <w:r>
              <w:rPr>
                <w:b/>
                <w:caps/>
                <w:lang w:eastAsia="ar-SA"/>
              </w:rPr>
            </w:r>
            <w:r>
              <w:rPr>
                <w:b/>
                <w:caps/>
                <w:lang w:eastAsia="ar-SA"/>
              </w:rPr>
            </w:r>
          </w:p>
          <w:p>
            <w:pPr>
              <w:ind w:right="-57"/>
              <w:spacing w:line="276" w:lineRule="auto"/>
            </w:pPr>
            <w:r/>
            <w:r/>
          </w:p>
          <w:p>
            <w:pPr>
              <w:ind w:right="-57"/>
              <w:spacing w:line="276" w:lineRule="auto"/>
            </w:pPr>
            <w:r>
              <w:t xml:space="preserve">______________  </w:t>
            </w:r>
            <w:r>
              <w:t xml:space="preserve">________</w:t>
            </w:r>
            <w:r/>
          </w:p>
          <w:p>
            <w:pPr>
              <w:spacing w:before="240" w:line="276" w:lineRule="auto"/>
            </w:pPr>
            <w:r>
              <w:t xml:space="preserve">«___»__________ 2026 года</w:t>
            </w:r>
            <w:r/>
          </w:p>
          <w:p>
            <w:pPr>
              <w:ind w:right="-57"/>
              <w:spacing w:line="276" w:lineRule="auto"/>
              <w:rPr>
                <w:lang w:eastAsia="ar-SA"/>
              </w:rPr>
            </w:pPr>
            <w:r>
              <w:t xml:space="preserve">м.п</w:t>
            </w:r>
            <w:r>
              <w:t xml:space="preserve">.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</w:tbl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791"/>
        <w:jc w:val="right"/>
        <w:pageBreakBefore/>
      </w:pPr>
      <w:r>
        <w:t xml:space="preserve">Приложение № 2</w:t>
      </w:r>
      <w:r/>
    </w:p>
    <w:p>
      <w:pPr>
        <w:jc w:val="right"/>
      </w:pPr>
      <w:r>
        <w:t xml:space="preserve">к </w:t>
      </w:r>
      <w:r>
        <w:t xml:space="preserve">Г</w:t>
      </w:r>
      <w:r>
        <w:t xml:space="preserve">осударственному контракту </w:t>
      </w:r>
      <w:r/>
    </w:p>
    <w:p>
      <w:pPr>
        <w:jc w:val="right"/>
      </w:pPr>
      <w:r>
        <w:t xml:space="preserve">                                                                                                                    от </w:t>
      </w:r>
      <w:r>
        <w:t xml:space="preserve">_________</w:t>
      </w:r>
      <w:r>
        <w:t xml:space="preserve"> </w:t>
      </w:r>
      <w:r>
        <w:t xml:space="preserve">№ </w:t>
      </w:r>
      <w:r>
        <w:t xml:space="preserve">______</w:t>
      </w:r>
      <w:r/>
    </w:p>
    <w:p>
      <w:pPr>
        <w:jc w:val="right"/>
      </w:pPr>
      <w:r/>
      <w:r/>
    </w:p>
    <w:p>
      <w:pPr>
        <w:jc w:val="center"/>
        <w:rPr>
          <w:b/>
        </w:rPr>
      </w:pPr>
      <w:r>
        <w:rPr>
          <w:b/>
        </w:rPr>
        <w:t xml:space="preserve">АКТ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приема-передачи оборудования, подлежащего экспертизе</w:t>
      </w:r>
      <w:r>
        <w:rPr>
          <w:b/>
        </w:rPr>
      </w:r>
      <w:r>
        <w:rPr>
          <w:b/>
        </w:rPr>
      </w:r>
    </w:p>
    <w:p>
      <w:pPr>
        <w:ind w:firstLine="567"/>
        <w:jc w:val="both"/>
        <w:rPr>
          <w:sz w:val="25"/>
          <w:szCs w:val="25"/>
        </w:rPr>
      </w:pPr>
      <w:r>
        <w:rPr>
          <w:sz w:val="24"/>
          <w:szCs w:val="24"/>
        </w:rPr>
        <w:t xml:space="preserve">Северо-Кавказское управление Федеральной службы по экологическому, технологическому и атомному надзору, именуемое в дальнейшем «Заказчик», в лице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и.о</w:t>
      </w:r>
      <w:r>
        <w:rPr>
          <w:sz w:val="24"/>
          <w:szCs w:val="24"/>
        </w:rPr>
        <w:t xml:space="preserve">. руководителя Коноваленко Виктора Анатольевича, действующего на основании  приказа от 23.10.2025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271/</w:t>
      </w:r>
      <w:r>
        <w:rPr>
          <w:sz w:val="24"/>
          <w:szCs w:val="24"/>
        </w:rPr>
        <w:t xml:space="preserve">тк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с одной стороны и ______</w:t>
      </w:r>
      <w:r>
        <w:rPr>
          <w:sz w:val="24"/>
          <w:szCs w:val="24"/>
        </w:rPr>
        <w:t xml:space="preserve">_____________________________</w:t>
      </w:r>
      <w:r>
        <w:rPr>
          <w:sz w:val="24"/>
          <w:szCs w:val="24"/>
        </w:rPr>
        <w:t xml:space="preserve"> именуемое в дальнейшем «Исполнитель», с другой стороны,</w:t>
      </w:r>
      <w:r>
        <w:rPr>
          <w:sz w:val="24"/>
          <w:szCs w:val="24"/>
        </w:rPr>
        <w:t xml:space="preserve"> в лице___________, действующего на основании_________,</w:t>
      </w:r>
      <w:r>
        <w:rPr>
          <w:sz w:val="24"/>
          <w:szCs w:val="24"/>
        </w:rPr>
        <w:t xml:space="preserve"> совместно именуемые «Стороны»,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п.4 </w:t>
      </w:r>
      <w:r>
        <w:rPr>
          <w:sz w:val="24"/>
          <w:szCs w:val="24"/>
        </w:rPr>
        <w:t xml:space="preserve">ч.1 ст.93 Федерального закона от 5 апреля 2013 года  № 44-ФЗ  «О контрактной системе в сфере закупок товаров, работ, услуг для обеспечения государственных и муниципальных нужд» (далее - Федеральный закон № 44-ФЗ),</w:t>
      </w:r>
      <w:r>
        <w:rPr>
          <w:sz w:val="24"/>
          <w:szCs w:val="24"/>
        </w:rPr>
        <w:t xml:space="preserve"> ИКЗ-_______________________</w:t>
      </w:r>
      <w:r>
        <w:rPr>
          <w:sz w:val="24"/>
          <w:szCs w:val="24"/>
        </w:rPr>
        <w:t xml:space="preserve"> заключили настоящий государственный контракт (далее – Контракт) о нижеследующем: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rFonts w:eastAsia="Calibri"/>
          <w:lang w:eastAsia="en-US"/>
        </w:rPr>
        <w:t xml:space="preserve">         </w:t>
      </w:r>
      <w:r>
        <w:rPr>
          <w:b/>
        </w:rPr>
      </w:r>
    </w:p>
    <w:p>
      <w:pPr>
        <w:jc w:val="both"/>
        <w:rPr>
          <w:sz w:val="20"/>
          <w:szCs w:val="20"/>
        </w:rPr>
      </w:pPr>
      <w:r/>
      <w:bookmarkStart w:id="1" w:name="_Hlk196307884"/>
      <w:r/>
      <w:bookmarkEnd w:id="0"/>
      <w:r>
        <w:rPr>
          <w:sz w:val="20"/>
          <w:szCs w:val="20"/>
        </w:rPr>
        <w:t xml:space="preserve"> </w:t>
      </w:r>
      <w:bookmarkEnd w:id="1"/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94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83"/>
        <w:gridCol w:w="2126"/>
        <w:gridCol w:w="425"/>
        <w:gridCol w:w="1559"/>
        <w:gridCol w:w="1559"/>
      </w:tblGrid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Наименование</w:t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Номенклатурный номер номер</w:t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Кол-во</w:t>
            </w:r>
            <w:r/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t xml:space="preserve">Стоимость единицы услуги, руб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t xml:space="preserve">Общая стоимость услуги, руб.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Накопитель 16 Gb Transcend Jetflash 600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00-000000000000542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Накопитель 16 Gb Transcend Jetflash 600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00-000000000000541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Флеш накопитель USB Transcend Jetflash 16 Gb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00-000000000000520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Факс Panasonic KX-FL423RU лазерный, обычная бумага 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101340400010    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КОМПЬЮТЕР В КОМПЛЕКТЕ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1511575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HP  LaserJet Р2014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1511637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Рабочая станция  в сборе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11013400083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Моноблок Acer Veriton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101340200400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Рабочая станция стационарная HP Pro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101340200185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Персональный компьютер Lenovo, M73z 20"None Touch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11013400028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Клавиатура, шт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КК0000000916   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Мышь оптическая USB, шт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КК0000000590  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Рабочая станция стационарная HP Pro 3520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101340200190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HP ProBook 4540s (H5J44EA)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101340200232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HP ProBook 4540s (H5J44EA)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101340200234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Компьютер в сборе: АТХ 300W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01360085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Телефакс Panasonic KX-FT 932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110 490 034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Lenovo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101340200404    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Lenovo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101340200405    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Многофункциональное устройство HP Laser JetPro 400 M425 dw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11013400109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Laser Jet 1020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1510955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Компьютер в комплекте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1510968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Многофункциональное устройство CANON LaserBase MF3110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1511110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Монохромное МФУ принтер формат А4 Xerox Phaser 3635MFP/S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11013400055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копировальн. Canon FC-108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1511345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CANON LASER BASE MF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1511477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ЦИФРОВОЙ МОДЕМ ADSL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00-000000000002289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МОДЕМ "БИЛАЙН"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00-000000000001940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ЦИФРОВОЙ МОДЕМ ADSL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00-000000000002288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00-000000000002095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 ПАНАСОНИК КХ-Т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00-000000000002096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CANON LASER BASE MF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1511478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CANON LASER BASE MF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1511479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HP LJ 1022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1511506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SIEMENS-802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1510384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center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EJINE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00-000000000003278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телеф. Panasonic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00-000000000001856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АПАРАТ ТЕЛЕФОННЫЙ СПЕКТР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00-000000000003210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TESIA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00-000000000003253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00-000000000003051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LG-460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00-000000000003248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PANASONIC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00-000000000003249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АППАРАТ ТЕЛЕФОННЫЙ PANASONIC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00-000000000003249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КАЛЬКУЛЯТОР СИТИЗЕН 16 разр.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00-000000000003554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КАЛЬКУЛЯТОР СИТИЗЕН 16 разр.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00-000000000003554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КАЛЬКУЛЯТОР СИТИЗЕН 16 разр.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00-000000000003554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ТЕЛЕФОННЫЙ АППАРАТ SAMSUNG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00-000000000002143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ТЕЛЕФОННЫЙ АППАРАТ SAMSUNG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00-000000000002143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Моноблок HP 23.8" FHD/1Tb/DVDRW/DOS/k+m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11013400186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Факс Panasonic KX-FL423RU лазерный, обычная бумага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101340300381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Многофункциональное устройство HP Laser JetPro 400 M425 w 2013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101340200273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Монохромный  принтер формат А4 Xerox Phaser P3320DN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11013400050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Сканер Mustek PageExpress 2400PRO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101340200073    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лазерный HP Laser Jet 1150 A4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11 058 013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лазерный HP Laser Jet 1150 A4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11 058 014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Модем ZyXEL Omni Duo 56 k вн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11 015 729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bottom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bottom"/>
            <w:textDirection w:val="lrTb"/>
            <w:noWrap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Ноутбук Lenovo Think Pad T540p/15.6HD/intelCorei3-4100M/4Gb/500Gb/intelHD/WiFi/B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11013400013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Рабочая станция  в сборе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11013400080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Принтер HP Laser Jet Pro Р1102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101340200361    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Копировальный аппарат  Kyocera- Mita KM -1620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004.11 060 000 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Сканер тип 3 Mustik A3 1200HS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11013400053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Монитор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1511154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Монитор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1511152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Си стемный блок в сборке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11 063 584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МОНИТОР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00-000000000002104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Монитор LCD 17"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textDirection w:val="lrTb"/>
            <w:noWrap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1510130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 xml:space="preserve">133,00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83" w:type="dxa"/>
            <w:vAlign w:val="bottom"/>
            <w:vMerge w:val="restart"/>
            <w:textDirection w:val="lrTb"/>
            <w:noWrap/>
          </w:tcPr>
          <w:p>
            <w:pPr>
              <w:spacing w:before="0" w:after="0" w:line="57" w:lineRule="atLeast"/>
              <w:rPr>
                <w:rFonts w:ascii="Calibri" w:hAnsi="Calibri" w:eastAsia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</w:rPr>
              <w:t xml:space="preserve">Итого</w:t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b/>
                <w:bCs/>
                <w:color w:val="000000"/>
                <w:sz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6" w:type="dxa"/>
            <w:vAlign w:val="bottom"/>
            <w:vMerge w:val="restart"/>
            <w:textDirection w:val="lrTb"/>
            <w:noWrap/>
          </w:tcPr>
          <w:p>
            <w:pPr>
              <w:spacing w:before="0" w:after="0" w:line="57" w:lineRule="atLeast"/>
              <w:rPr>
                <w:rFonts w:ascii="Calibri" w:hAnsi="Calibri" w:eastAsia="Calibri" w:cs="Calibri"/>
                <w:color w:val="000000"/>
                <w:sz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Calibri" w:hAnsi="Calibri" w:eastAsia="Calibri" w:cs="Calibri"/>
                <w:color w:val="000000"/>
                <w:sz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  <w:r>
              <w:rPr>
                <w:rFonts w:ascii="Calibri" w:hAnsi="Calibri" w:eastAsia="Calibri" w:cs="Calibri"/>
                <w:color w:val="000000"/>
                <w:sz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10374</w:t>
            </w:r>
            <w:r/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</w:pPr>
      <w:r>
        <w:t xml:space="preserve">Итого передано оборудования 78</w:t>
      </w:r>
      <w:r>
        <w:t xml:space="preserve"> (Семьдесят восемь</w:t>
      </w:r>
      <w:r>
        <w:t xml:space="preserve">) единиц.</w:t>
      </w:r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center"/>
      </w:pPr>
      <w:r/>
      <w:r/>
    </w:p>
    <w:p>
      <w:r>
        <w:t xml:space="preserve">Заказчик сдал:                                                                      Исполнитель принял:</w:t>
      </w:r>
      <w:r/>
    </w:p>
    <w:p>
      <w:r/>
      <w:r/>
    </w:p>
    <w:p>
      <w:r/>
      <w:bookmarkStart w:id="2" w:name="_Hlk160530012"/>
      <w:r>
        <w:t xml:space="preserve">_______________</w:t>
      </w:r>
      <w:bookmarkEnd w:id="2"/>
      <w:r>
        <w:t xml:space="preserve"> </w:t>
      </w:r>
      <w:r>
        <w:t xml:space="preserve">В.А. Коноваленко</w:t>
      </w:r>
      <w:r>
        <w:t xml:space="preserve">                                  </w:t>
      </w:r>
      <w:r>
        <w:t xml:space="preserve">_______________</w:t>
      </w:r>
      <w:r>
        <w:t xml:space="preserve"> </w:t>
      </w:r>
      <w:r/>
      <w:r/>
    </w:p>
    <w:p>
      <w:r>
        <w:t xml:space="preserve">«__»______________2026 год                                             «__»___________2026 год          </w:t>
      </w:r>
      <w:r/>
    </w:p>
    <w:p>
      <w:pPr>
        <w:jc w:val="right"/>
      </w:pPr>
      <w:r/>
      <w:r/>
    </w:p>
    <w:p>
      <w:pPr>
        <w:pStyle w:val="92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erReference w:type="default" r:id="rId9"/>
      <w:footnotePr/>
      <w:endnotePr/>
      <w:type w:val="nextPage"/>
      <w:pgSz w:w="11906" w:h="16838" w:orient="portrait"/>
      <w:pgMar w:top="993" w:right="567" w:bottom="709" w:left="1560" w:header="561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Sylfaen">
    <w:panose1 w:val="010A0502050306030303"/>
  </w:font>
  <w:font w:name="Lucida Sans Unicode">
    <w:panose1 w:val="020B0602030504020204"/>
  </w:font>
  <w:font w:name="Verdana">
    <w:panose1 w:val="020B0604030504040204"/>
  </w:font>
  <w:font w:name="Tahoma">
    <w:panose1 w:val="020B0604030504040204"/>
  </w:font>
  <w:font w:name="Bookman Old Style">
    <w:panose1 w:val="0205060405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</w:rPr>
    </w:pPr>
    <w:r/>
    <w:bookmarkStart w:id="3" w:name="_Toc490530188"/>
    <w:r/>
    <w:bookmarkStart w:id="4" w:name="_Toc490531374"/>
    <w:r/>
    <w:bookmarkStart w:id="5" w:name="_Toc490531908"/>
    <w:r/>
    <w:bookmarkStart w:id="6" w:name="_Toc490532134"/>
    <w:r/>
    <w:bookmarkStart w:id="7" w:name="_Toc490547686"/>
    <w:r/>
    <w:bookmarkStart w:id="8" w:name="_Toc490644521"/>
    <w:r/>
    <w:bookmarkStart w:id="9" w:name="_Toc490880263"/>
    <w:r/>
    <w:bookmarkStart w:id="10" w:name="_Toc490880390"/>
    <w:r/>
    <w:bookmarkEnd w:id="3"/>
    <w:r/>
    <w:bookmarkEnd w:id="4"/>
    <w:r/>
    <w:bookmarkEnd w:id="5"/>
    <w:r/>
    <w:bookmarkEnd w:id="6"/>
    <w:r/>
    <w:bookmarkEnd w:id="7"/>
    <w:r/>
    <w:bookmarkEnd w:id="8"/>
    <w:r/>
    <w:bookmarkEnd w:id="9"/>
    <w:r/>
    <w:bookmarkEnd w:id="10"/>
    <w:r>
      <w:rPr>
        <w:sz w:val="2"/>
      </w:rPr>
    </w:r>
    <w:r>
      <w:rPr>
        <w:sz w:val="2"/>
      </w:rPr>
    </w:r>
  </w:p>
  <w:p>
    <w:pPr>
      <w:pStyle w:val="926"/>
      <w:rPr>
        <w:sz w:val="2"/>
      </w:rPr>
    </w:pPr>
    <w:r>
      <w:rPr>
        <w:sz w:val="2"/>
      </w:rPr>
    </w:r>
    <w:r>
      <w:rPr>
        <w:sz w:val="2"/>
      </w:rPr>
    </w:r>
    <w:r>
      <w:rPr>
        <w:sz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2" w:hanging="360"/>
        <w:tabs>
          <w:tab w:val="num" w:pos="1532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252" w:hanging="360"/>
        <w:tabs>
          <w:tab w:val="num" w:pos="225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72" w:hanging="180"/>
        <w:tabs>
          <w:tab w:val="num" w:pos="297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92" w:hanging="360"/>
        <w:tabs>
          <w:tab w:val="num" w:pos="369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412" w:hanging="360"/>
        <w:tabs>
          <w:tab w:val="num" w:pos="441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132" w:hanging="180"/>
        <w:tabs>
          <w:tab w:val="num" w:pos="513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52" w:hanging="360"/>
        <w:tabs>
          <w:tab w:val="num" w:pos="585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72" w:hanging="360"/>
        <w:tabs>
          <w:tab w:val="num" w:pos="657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92" w:hanging="180"/>
        <w:tabs>
          <w:tab w:val="num" w:pos="7292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2860" w:hanging="360"/>
        <w:tabs>
          <w:tab w:val="num" w:pos="28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580" w:hanging="360"/>
        <w:tabs>
          <w:tab w:val="num" w:pos="35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300" w:hanging="180"/>
        <w:tabs>
          <w:tab w:val="num" w:pos="43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020" w:hanging="360"/>
        <w:tabs>
          <w:tab w:val="num" w:pos="50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5740" w:hanging="360"/>
        <w:tabs>
          <w:tab w:val="num" w:pos="57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460" w:hanging="180"/>
        <w:tabs>
          <w:tab w:val="num" w:pos="64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180" w:hanging="360"/>
        <w:tabs>
          <w:tab w:val="num" w:pos="71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900" w:hanging="360"/>
        <w:tabs>
          <w:tab w:val="num" w:pos="79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620" w:hanging="180"/>
        <w:tabs>
          <w:tab w:val="num" w:pos="862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970" w:hanging="360"/>
        <w:tabs>
          <w:tab w:val="num" w:pos="297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90" w:hanging="360"/>
        <w:tabs>
          <w:tab w:val="num" w:pos="36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410" w:hanging="180"/>
        <w:tabs>
          <w:tab w:val="num" w:pos="44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130" w:hanging="360"/>
        <w:tabs>
          <w:tab w:val="num" w:pos="51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5850" w:hanging="360"/>
        <w:tabs>
          <w:tab w:val="num" w:pos="58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570" w:hanging="180"/>
        <w:tabs>
          <w:tab w:val="num" w:pos="65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290" w:hanging="360"/>
        <w:tabs>
          <w:tab w:val="num" w:pos="72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010" w:hanging="360"/>
        <w:tabs>
          <w:tab w:val="num" w:pos="80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730" w:hanging="180"/>
        <w:tabs>
          <w:tab w:val="num" w:pos="873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4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32" w:hanging="360"/>
        <w:tabs>
          <w:tab w:val="num" w:pos="1532" w:leader="none"/>
        </w:tabs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252" w:hanging="360"/>
        <w:tabs>
          <w:tab w:val="num" w:pos="225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72" w:hanging="180"/>
        <w:tabs>
          <w:tab w:val="num" w:pos="297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92" w:hanging="360"/>
        <w:tabs>
          <w:tab w:val="num" w:pos="369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412" w:hanging="360"/>
        <w:tabs>
          <w:tab w:val="num" w:pos="441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132" w:hanging="180"/>
        <w:tabs>
          <w:tab w:val="num" w:pos="513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52" w:hanging="360"/>
        <w:tabs>
          <w:tab w:val="num" w:pos="585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72" w:hanging="360"/>
        <w:tabs>
          <w:tab w:val="num" w:pos="657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92" w:hanging="180"/>
        <w:tabs>
          <w:tab w:val="num" w:pos="7292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2860" w:hanging="360"/>
        <w:tabs>
          <w:tab w:val="num" w:pos="28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580" w:hanging="360"/>
        <w:tabs>
          <w:tab w:val="num" w:pos="35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300" w:hanging="180"/>
        <w:tabs>
          <w:tab w:val="num" w:pos="43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020" w:hanging="360"/>
        <w:tabs>
          <w:tab w:val="num" w:pos="50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5740" w:hanging="360"/>
        <w:tabs>
          <w:tab w:val="num" w:pos="57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460" w:hanging="180"/>
        <w:tabs>
          <w:tab w:val="num" w:pos="64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180" w:hanging="360"/>
        <w:tabs>
          <w:tab w:val="num" w:pos="71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900" w:hanging="360"/>
        <w:tabs>
          <w:tab w:val="num" w:pos="79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620" w:hanging="180"/>
        <w:tabs>
          <w:tab w:val="num" w:pos="862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892" w:hanging="360"/>
        <w:tabs>
          <w:tab w:val="num" w:pos="1892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2" w:hanging="360"/>
        <w:tabs>
          <w:tab w:val="num" w:pos="2612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2" w:hanging="360"/>
        <w:tabs>
          <w:tab w:val="num" w:pos="3332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2" w:hanging="360"/>
        <w:tabs>
          <w:tab w:val="num" w:pos="4052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2" w:hanging="360"/>
        <w:tabs>
          <w:tab w:val="num" w:pos="4772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2" w:hanging="360"/>
        <w:tabs>
          <w:tab w:val="num" w:pos="5492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2" w:hanging="360"/>
        <w:tabs>
          <w:tab w:val="num" w:pos="6212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2" w:hanging="360"/>
        <w:tabs>
          <w:tab w:val="num" w:pos="6932" w:leader="none"/>
        </w:tabs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892" w:hanging="360"/>
        <w:tabs>
          <w:tab w:val="num" w:pos="1892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2" w:hanging="360"/>
        <w:tabs>
          <w:tab w:val="num" w:pos="2612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2" w:hanging="360"/>
        <w:tabs>
          <w:tab w:val="num" w:pos="3332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2" w:hanging="360"/>
        <w:tabs>
          <w:tab w:val="num" w:pos="4052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2" w:hanging="360"/>
        <w:tabs>
          <w:tab w:val="num" w:pos="4772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2" w:hanging="360"/>
        <w:tabs>
          <w:tab w:val="num" w:pos="5492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2" w:hanging="360"/>
        <w:tabs>
          <w:tab w:val="num" w:pos="6212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2" w:hanging="360"/>
        <w:tabs>
          <w:tab w:val="num" w:pos="6932" w:leader="none"/>
        </w:tabs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2860" w:hanging="360"/>
        <w:tabs>
          <w:tab w:val="num" w:pos="2860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3915" w:hanging="360"/>
        <w:tabs>
          <w:tab w:val="num" w:pos="391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635" w:hanging="180"/>
        <w:tabs>
          <w:tab w:val="num" w:pos="463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355" w:hanging="360"/>
        <w:tabs>
          <w:tab w:val="num" w:pos="535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075" w:hanging="360"/>
        <w:tabs>
          <w:tab w:val="num" w:pos="607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795" w:hanging="180"/>
        <w:tabs>
          <w:tab w:val="num" w:pos="679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515" w:hanging="360"/>
        <w:tabs>
          <w:tab w:val="num" w:pos="751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235" w:hanging="360"/>
        <w:tabs>
          <w:tab w:val="num" w:pos="823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955" w:hanging="180"/>
        <w:tabs>
          <w:tab w:val="num" w:pos="8955" w:leader="none"/>
        </w:tabs>
      </w:pPr>
    </w:lvl>
  </w:abstractNum>
  <w:num w:numId="1">
    <w:abstractNumId w:val="10"/>
  </w:num>
  <w:num w:numId="2">
    <w:abstractNumId w:val="21"/>
  </w:num>
  <w:num w:numId="3">
    <w:abstractNumId w:val="17"/>
  </w:num>
  <w:num w:numId="4">
    <w:abstractNumId w:val="18"/>
  </w:num>
  <w:num w:numId="5">
    <w:abstractNumId w:val="20"/>
  </w:num>
  <w:num w:numId="6">
    <w:abstractNumId w:val="2"/>
  </w:num>
  <w:num w:numId="7">
    <w:abstractNumId w:val="14"/>
  </w:num>
  <w:num w:numId="8">
    <w:abstractNumId w:val="15"/>
  </w:num>
  <w:num w:numId="9">
    <w:abstractNumId w:val="5"/>
  </w:num>
  <w:num w:numId="10">
    <w:abstractNumId w:val="19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4"/>
  </w:num>
  <w:num w:numId="16">
    <w:abstractNumId w:val="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6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5">
    <w:name w:val="Heading 1 Char"/>
    <w:basedOn w:val="919"/>
    <w:link w:val="910"/>
    <w:uiPriority w:val="9"/>
    <w:rPr>
      <w:rFonts w:ascii="Arial" w:hAnsi="Arial" w:eastAsia="Arial" w:cs="Arial"/>
      <w:sz w:val="40"/>
      <w:szCs w:val="40"/>
    </w:rPr>
  </w:style>
  <w:style w:type="character" w:styleId="746">
    <w:name w:val="Heading 2 Char"/>
    <w:basedOn w:val="919"/>
    <w:link w:val="911"/>
    <w:uiPriority w:val="9"/>
    <w:rPr>
      <w:rFonts w:ascii="Arial" w:hAnsi="Arial" w:eastAsia="Arial" w:cs="Arial"/>
      <w:sz w:val="34"/>
    </w:rPr>
  </w:style>
  <w:style w:type="character" w:styleId="747">
    <w:name w:val="Heading 3 Char"/>
    <w:basedOn w:val="919"/>
    <w:link w:val="912"/>
    <w:uiPriority w:val="9"/>
    <w:rPr>
      <w:rFonts w:ascii="Arial" w:hAnsi="Arial" w:eastAsia="Arial" w:cs="Arial"/>
      <w:sz w:val="30"/>
      <w:szCs w:val="30"/>
    </w:rPr>
  </w:style>
  <w:style w:type="character" w:styleId="748">
    <w:name w:val="Heading 4 Char"/>
    <w:basedOn w:val="919"/>
    <w:link w:val="913"/>
    <w:uiPriority w:val="9"/>
    <w:rPr>
      <w:rFonts w:ascii="Arial" w:hAnsi="Arial" w:eastAsia="Arial" w:cs="Arial"/>
      <w:b/>
      <w:bCs/>
      <w:sz w:val="26"/>
      <w:szCs w:val="26"/>
    </w:rPr>
  </w:style>
  <w:style w:type="character" w:styleId="749">
    <w:name w:val="Heading 5 Char"/>
    <w:basedOn w:val="919"/>
    <w:link w:val="914"/>
    <w:uiPriority w:val="9"/>
    <w:rPr>
      <w:rFonts w:ascii="Arial" w:hAnsi="Arial" w:eastAsia="Arial" w:cs="Arial"/>
      <w:b/>
      <w:bCs/>
      <w:sz w:val="24"/>
      <w:szCs w:val="24"/>
    </w:rPr>
  </w:style>
  <w:style w:type="character" w:styleId="750">
    <w:name w:val="Heading 6 Char"/>
    <w:basedOn w:val="919"/>
    <w:link w:val="915"/>
    <w:uiPriority w:val="9"/>
    <w:rPr>
      <w:rFonts w:ascii="Arial" w:hAnsi="Arial" w:eastAsia="Arial" w:cs="Arial"/>
      <w:b/>
      <w:bCs/>
      <w:sz w:val="22"/>
      <w:szCs w:val="22"/>
    </w:rPr>
  </w:style>
  <w:style w:type="character" w:styleId="751">
    <w:name w:val="Heading 7 Char"/>
    <w:basedOn w:val="919"/>
    <w:link w:val="9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2">
    <w:name w:val="Heading 8 Char"/>
    <w:basedOn w:val="919"/>
    <w:link w:val="917"/>
    <w:uiPriority w:val="9"/>
    <w:rPr>
      <w:rFonts w:ascii="Arial" w:hAnsi="Arial" w:eastAsia="Arial" w:cs="Arial"/>
      <w:i/>
      <w:iCs/>
      <w:sz w:val="22"/>
      <w:szCs w:val="22"/>
    </w:rPr>
  </w:style>
  <w:style w:type="character" w:styleId="753">
    <w:name w:val="Heading 9 Char"/>
    <w:basedOn w:val="919"/>
    <w:link w:val="918"/>
    <w:uiPriority w:val="9"/>
    <w:rPr>
      <w:rFonts w:ascii="Arial" w:hAnsi="Arial" w:eastAsia="Arial" w:cs="Arial"/>
      <w:i/>
      <w:iCs/>
      <w:sz w:val="21"/>
      <w:szCs w:val="21"/>
    </w:rPr>
  </w:style>
  <w:style w:type="paragraph" w:styleId="754">
    <w:name w:val="No Spacing"/>
    <w:uiPriority w:val="1"/>
    <w:qFormat/>
    <w:pPr>
      <w:spacing w:before="0" w:after="0" w:line="240" w:lineRule="auto"/>
    </w:pPr>
  </w:style>
  <w:style w:type="paragraph" w:styleId="755">
    <w:name w:val="Title"/>
    <w:basedOn w:val="909"/>
    <w:next w:val="909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>
    <w:name w:val="Title Char"/>
    <w:basedOn w:val="919"/>
    <w:link w:val="755"/>
    <w:uiPriority w:val="10"/>
    <w:rPr>
      <w:sz w:val="48"/>
      <w:szCs w:val="48"/>
    </w:rPr>
  </w:style>
  <w:style w:type="paragraph" w:styleId="757">
    <w:name w:val="Subtitle"/>
    <w:basedOn w:val="909"/>
    <w:next w:val="909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>
    <w:name w:val="Subtitle Char"/>
    <w:basedOn w:val="919"/>
    <w:link w:val="757"/>
    <w:uiPriority w:val="11"/>
    <w:rPr>
      <w:sz w:val="24"/>
      <w:szCs w:val="24"/>
    </w:rPr>
  </w:style>
  <w:style w:type="paragraph" w:styleId="759">
    <w:name w:val="Quote"/>
    <w:basedOn w:val="909"/>
    <w:next w:val="909"/>
    <w:link w:val="760"/>
    <w:uiPriority w:val="29"/>
    <w:qFormat/>
    <w:pPr>
      <w:ind w:left="720" w:right="720"/>
    </w:pPr>
    <w:rPr>
      <w:i/>
    </w:rPr>
  </w:style>
  <w:style w:type="character" w:styleId="760">
    <w:name w:val="Quote Char"/>
    <w:link w:val="759"/>
    <w:uiPriority w:val="29"/>
    <w:rPr>
      <w:i/>
    </w:rPr>
  </w:style>
  <w:style w:type="paragraph" w:styleId="761">
    <w:name w:val="Intense Quote"/>
    <w:basedOn w:val="909"/>
    <w:next w:val="909"/>
    <w:link w:val="7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>
    <w:name w:val="Intense Quote Char"/>
    <w:link w:val="761"/>
    <w:uiPriority w:val="30"/>
    <w:rPr>
      <w:i/>
    </w:rPr>
  </w:style>
  <w:style w:type="character" w:styleId="763">
    <w:name w:val="Header Char"/>
    <w:basedOn w:val="919"/>
    <w:link w:val="933"/>
    <w:uiPriority w:val="99"/>
  </w:style>
  <w:style w:type="character" w:styleId="764">
    <w:name w:val="Footer Char"/>
    <w:basedOn w:val="919"/>
    <w:link w:val="926"/>
    <w:uiPriority w:val="99"/>
  </w:style>
  <w:style w:type="character" w:styleId="765">
    <w:name w:val="Caption Char"/>
    <w:basedOn w:val="919"/>
    <w:link w:val="959"/>
    <w:uiPriority w:val="35"/>
    <w:rPr>
      <w:b/>
      <w:bCs/>
      <w:color w:val="4f81bd" w:themeColor="accent1"/>
      <w:sz w:val="18"/>
      <w:szCs w:val="18"/>
    </w:rPr>
  </w:style>
  <w:style w:type="table" w:styleId="766">
    <w:name w:val="Table Grid Light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Plain Table 1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2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>
    <w:name w:val="Grid Table 4 - Accent 1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5">
    <w:name w:val="Grid Table 4 - Accent 2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Grid Table 4 - Accent 3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7">
    <w:name w:val="Grid Table 4 - Accent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Grid Table 4 - Accent 5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9">
    <w:name w:val="Grid Table 4 - Accent 6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0">
    <w:name w:val="Grid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7">
    <w:name w:val="Grid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8">
    <w:name w:val="Grid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9">
    <w:name w:val="Grid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0">
    <w:name w:val="Grid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1">
    <w:name w:val="Grid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2">
    <w:name w:val="Grid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9">
    <w:name w:val="List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0">
    <w:name w:val="List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1">
    <w:name w:val="List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2">
    <w:name w:val="List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3">
    <w:name w:val="List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4">
    <w:name w:val="List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7">
    <w:name w:val="List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8">
    <w:name w:val="List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9">
    <w:name w:val="List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0">
    <w:name w:val="List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1">
    <w:name w:val="List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2">
    <w:name w:val="List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3">
    <w:name w:val="List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4">
    <w:name w:val="List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5">
    <w:name w:val="List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6">
    <w:name w:val="List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7">
    <w:name w:val="List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8">
    <w:name w:val="List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9">
    <w:name w:val="List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0">
    <w:name w:val="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2">
    <w:name w:val="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3">
    <w:name w:val="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4">
    <w:name w:val="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5">
    <w:name w:val="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6">
    <w:name w:val="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7">
    <w:name w:val="Bordered &amp; 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Bordered &amp; 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Bordered &amp; 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Bordered &amp; 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Bordered &amp; 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Bordered &amp; 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Bordered &amp; 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5">
    <w:name w:val="Bordered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6">
    <w:name w:val="Bordered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7">
    <w:name w:val="Bordered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8">
    <w:name w:val="Bordered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9">
    <w:name w:val="Bordered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0">
    <w:name w:val="Bordered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1">
    <w:name w:val="Hyperlink"/>
    <w:uiPriority w:val="99"/>
    <w:unhideWhenUsed/>
    <w:rPr>
      <w:color w:val="0000ff" w:themeColor="hyperlink"/>
      <w:u w:val="single"/>
    </w:rPr>
  </w:style>
  <w:style w:type="paragraph" w:styleId="892">
    <w:name w:val="footnote text"/>
    <w:basedOn w:val="90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>
    <w:name w:val="Footnote Text Char"/>
    <w:link w:val="892"/>
    <w:uiPriority w:val="99"/>
    <w:rPr>
      <w:sz w:val="18"/>
    </w:rPr>
  </w:style>
  <w:style w:type="character" w:styleId="894">
    <w:name w:val="footnote reference"/>
    <w:basedOn w:val="919"/>
    <w:uiPriority w:val="99"/>
    <w:unhideWhenUsed/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basedOn w:val="919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qFormat/>
    <w:rPr>
      <w:sz w:val="24"/>
      <w:szCs w:val="24"/>
    </w:rPr>
  </w:style>
  <w:style w:type="paragraph" w:styleId="910">
    <w:name w:val="Heading 1"/>
    <w:basedOn w:val="909"/>
    <w:next w:val="909"/>
    <w:qFormat/>
    <w:pPr>
      <w:jc w:val="center"/>
      <w:keepNext/>
      <w:tabs>
        <w:tab w:val="left" w:pos="0" w:leader="none"/>
        <w:tab w:val="left" w:pos="1276" w:leader="none"/>
      </w:tabs>
      <w:outlineLvl w:val="0"/>
    </w:pPr>
    <w:rPr>
      <w:szCs w:val="20"/>
    </w:rPr>
  </w:style>
  <w:style w:type="paragraph" w:styleId="911">
    <w:name w:val="Heading 2"/>
    <w:basedOn w:val="909"/>
    <w:next w:val="909"/>
    <w:qFormat/>
    <w:pPr>
      <w:jc w:val="center"/>
      <w:keepNext/>
      <w:outlineLvl w:val="1"/>
    </w:pPr>
    <w:rPr>
      <w:b/>
      <w:sz w:val="28"/>
      <w:szCs w:val="20"/>
    </w:rPr>
  </w:style>
  <w:style w:type="paragraph" w:styleId="912">
    <w:name w:val="Heading 3"/>
    <w:basedOn w:val="909"/>
    <w:next w:val="909"/>
    <w:qFormat/>
    <w:pPr>
      <w:keepNext/>
      <w:outlineLvl w:val="2"/>
    </w:pPr>
    <w:rPr>
      <w:sz w:val="28"/>
      <w:szCs w:val="20"/>
    </w:rPr>
  </w:style>
  <w:style w:type="paragraph" w:styleId="913">
    <w:name w:val="Heading 4"/>
    <w:basedOn w:val="909"/>
    <w:next w:val="909"/>
    <w:link w:val="945"/>
    <w:qFormat/>
    <w:pPr>
      <w:ind w:left="5130" w:hanging="360"/>
      <w:jc w:val="center"/>
      <w:keepNext/>
      <w:tabs>
        <w:tab w:val="num" w:pos="5130" w:leader="none"/>
      </w:tabs>
      <w:outlineLvl w:val="3"/>
    </w:pPr>
    <w:rPr>
      <w:rFonts w:ascii="Bookman Old Style" w:hAnsi="Bookman Old Style" w:cs="Bookman Old Style"/>
      <w:i/>
      <w:sz w:val="20"/>
      <w:szCs w:val="20"/>
      <w:lang w:eastAsia="zh-CN"/>
    </w:rPr>
  </w:style>
  <w:style w:type="paragraph" w:styleId="914">
    <w:name w:val="Heading 5"/>
    <w:basedOn w:val="909"/>
    <w:next w:val="909"/>
    <w:link w:val="946"/>
    <w:qFormat/>
    <w:pPr>
      <w:ind w:left="5850" w:hanging="360"/>
      <w:jc w:val="right"/>
      <w:keepNext/>
      <w:tabs>
        <w:tab w:val="num" w:pos="5850" w:leader="none"/>
      </w:tabs>
      <w:outlineLvl w:val="4"/>
    </w:pPr>
    <w:rPr>
      <w:b/>
      <w:i/>
      <w:szCs w:val="20"/>
      <w:lang w:eastAsia="zh-CN"/>
    </w:rPr>
  </w:style>
  <w:style w:type="paragraph" w:styleId="915">
    <w:name w:val="Heading 6"/>
    <w:basedOn w:val="909"/>
    <w:next w:val="909"/>
    <w:link w:val="947"/>
    <w:qFormat/>
    <w:pPr>
      <w:ind w:left="6570" w:hanging="180"/>
      <w:jc w:val="center"/>
      <w:keepNext/>
      <w:tabs>
        <w:tab w:val="num" w:pos="6570" w:leader="none"/>
      </w:tabs>
      <w:outlineLvl w:val="5"/>
    </w:pPr>
    <w:rPr>
      <w:b/>
      <w:i/>
      <w:sz w:val="32"/>
      <w:szCs w:val="20"/>
      <w:lang w:eastAsia="zh-CN"/>
    </w:rPr>
  </w:style>
  <w:style w:type="paragraph" w:styleId="916">
    <w:name w:val="Heading 7"/>
    <w:basedOn w:val="909"/>
    <w:next w:val="909"/>
    <w:link w:val="948"/>
    <w:qFormat/>
    <w:pPr>
      <w:ind w:left="7290" w:hanging="360"/>
      <w:keepNext/>
      <w:tabs>
        <w:tab w:val="num" w:pos="7290" w:leader="none"/>
      </w:tabs>
      <w:outlineLvl w:val="6"/>
    </w:pPr>
    <w:rPr>
      <w:b/>
      <w:i/>
      <w:szCs w:val="20"/>
      <w:lang w:eastAsia="zh-CN"/>
    </w:rPr>
  </w:style>
  <w:style w:type="paragraph" w:styleId="917">
    <w:name w:val="Heading 8"/>
    <w:basedOn w:val="909"/>
    <w:next w:val="909"/>
    <w:link w:val="949"/>
    <w:qFormat/>
    <w:pPr>
      <w:ind w:left="8010" w:hanging="360"/>
      <w:jc w:val="center"/>
      <w:keepNext/>
      <w:tabs>
        <w:tab w:val="num" w:pos="8010" w:leader="none"/>
      </w:tabs>
      <w:outlineLvl w:val="7"/>
    </w:pPr>
    <w:rPr>
      <w:b/>
      <w:sz w:val="22"/>
      <w:szCs w:val="20"/>
      <w:lang w:eastAsia="zh-CN"/>
    </w:rPr>
  </w:style>
  <w:style w:type="paragraph" w:styleId="918">
    <w:name w:val="Heading 9"/>
    <w:basedOn w:val="909"/>
    <w:next w:val="909"/>
    <w:link w:val="950"/>
    <w:qFormat/>
    <w:pPr>
      <w:ind w:left="1440" w:firstLine="720"/>
      <w:jc w:val="center"/>
      <w:keepNext/>
      <w:tabs>
        <w:tab w:val="num" w:pos="8730" w:leader="none"/>
      </w:tabs>
      <w:outlineLvl w:val="8"/>
    </w:pPr>
    <w:rPr>
      <w:b/>
      <w:szCs w:val="20"/>
      <w:lang w:eastAsia="zh-CN"/>
    </w:rPr>
  </w:style>
  <w:style w:type="character" w:styleId="919" w:default="1">
    <w:name w:val="Default Paragraph Font"/>
    <w:uiPriority w:val="1"/>
    <w:unhideWhenUsed/>
  </w:style>
  <w:style w:type="table" w:styleId="9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1" w:default="1">
    <w:name w:val="No List"/>
    <w:uiPriority w:val="99"/>
    <w:semiHidden/>
    <w:unhideWhenUsed/>
  </w:style>
  <w:style w:type="paragraph" w:styleId="922">
    <w:name w:val="Balloon Text"/>
    <w:basedOn w:val="909"/>
    <w:link w:val="969"/>
    <w:uiPriority w:val="99"/>
    <w:semiHidden/>
    <w:rPr>
      <w:rFonts w:ascii="Tahoma" w:hAnsi="Tahoma" w:cs="Tahoma"/>
      <w:sz w:val="16"/>
      <w:szCs w:val="16"/>
    </w:rPr>
  </w:style>
  <w:style w:type="paragraph" w:styleId="923" w:customStyle="1">
    <w:name w:val="заголовок 1"/>
    <w:basedOn w:val="909"/>
    <w:next w:val="909"/>
    <w:pPr>
      <w:ind w:firstLine="567"/>
      <w:jc w:val="both"/>
      <w:keepNext/>
    </w:pPr>
    <w:rPr>
      <w:szCs w:val="20"/>
    </w:rPr>
  </w:style>
  <w:style w:type="paragraph" w:styleId="924" w:customStyle="1">
    <w:name w:val="Основной текст 21"/>
    <w:basedOn w:val="909"/>
    <w:pPr>
      <w:spacing w:line="360" w:lineRule="auto"/>
    </w:pPr>
    <w:rPr>
      <w:szCs w:val="20"/>
    </w:rPr>
  </w:style>
  <w:style w:type="paragraph" w:styleId="925">
    <w:name w:val="Body Text"/>
    <w:basedOn w:val="909"/>
    <w:pPr>
      <w:ind w:right="6377"/>
    </w:pPr>
    <w:rPr>
      <w:szCs w:val="20"/>
    </w:rPr>
  </w:style>
  <w:style w:type="paragraph" w:styleId="926">
    <w:name w:val="Footer"/>
    <w:basedOn w:val="90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927">
    <w:name w:val="Body Text Indent 3"/>
    <w:basedOn w:val="909"/>
    <w:pPr>
      <w:ind w:firstLine="567"/>
      <w:jc w:val="both"/>
      <w:tabs>
        <w:tab w:val="left" w:pos="0" w:leader="none"/>
        <w:tab w:val="left" w:pos="1276" w:leader="none"/>
      </w:tabs>
    </w:pPr>
    <w:rPr>
      <w:sz w:val="20"/>
      <w:szCs w:val="20"/>
    </w:rPr>
  </w:style>
  <w:style w:type="paragraph" w:styleId="928" w:customStyle="1">
    <w:name w:val="заголовок 2"/>
    <w:basedOn w:val="909"/>
    <w:next w:val="909"/>
    <w:pPr>
      <w:ind w:firstLine="567"/>
      <w:keepNext/>
    </w:pPr>
    <w:rPr>
      <w:szCs w:val="20"/>
    </w:rPr>
  </w:style>
  <w:style w:type="paragraph" w:styleId="929" w:customStyle="1">
    <w:name w:val="Основной текст с отступом 21"/>
    <w:basedOn w:val="909"/>
    <w:pPr>
      <w:ind w:left="5103"/>
    </w:pPr>
    <w:rPr>
      <w:sz w:val="20"/>
      <w:szCs w:val="20"/>
    </w:rPr>
  </w:style>
  <w:style w:type="paragraph" w:styleId="930" w:customStyle="1">
    <w:name w:val="Цитата1"/>
    <w:basedOn w:val="909"/>
    <w:pPr>
      <w:ind w:left="567" w:right="5952"/>
    </w:pPr>
    <w:rPr>
      <w:szCs w:val="20"/>
    </w:rPr>
  </w:style>
  <w:style w:type="paragraph" w:styleId="931">
    <w:name w:val="Body Text 2"/>
    <w:basedOn w:val="909"/>
    <w:pPr>
      <w:jc w:val="center"/>
      <w:tabs>
        <w:tab w:val="left" w:pos="0" w:leader="none"/>
        <w:tab w:val="left" w:pos="1276" w:leader="none"/>
      </w:tabs>
    </w:pPr>
    <w:rPr>
      <w:b/>
      <w:szCs w:val="20"/>
    </w:rPr>
  </w:style>
  <w:style w:type="paragraph" w:styleId="932">
    <w:name w:val="Body Text 3"/>
    <w:basedOn w:val="909"/>
    <w:pPr>
      <w:jc w:val="both"/>
      <w:tabs>
        <w:tab w:val="left" w:pos="0" w:leader="none"/>
        <w:tab w:val="left" w:pos="1276" w:leader="none"/>
      </w:tabs>
    </w:pPr>
    <w:rPr>
      <w:szCs w:val="20"/>
    </w:rPr>
  </w:style>
  <w:style w:type="paragraph" w:styleId="933">
    <w:name w:val="Header"/>
    <w:basedOn w:val="90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934">
    <w:name w:val="page number"/>
    <w:basedOn w:val="919"/>
  </w:style>
  <w:style w:type="paragraph" w:styleId="935">
    <w:name w:val="Normal (Web)"/>
    <w:basedOn w:val="909"/>
    <w:pPr>
      <w:ind w:right="335"/>
      <w:spacing w:before="335" w:after="100" w:afterAutospacing="1"/>
    </w:pPr>
    <w:rPr>
      <w:rFonts w:ascii="Verdana" w:hAnsi="Verdana"/>
      <w:color w:val="333333"/>
      <w:sz w:val="20"/>
      <w:szCs w:val="20"/>
    </w:rPr>
  </w:style>
  <w:style w:type="paragraph" w:styleId="936">
    <w:name w:val="Block Text"/>
    <w:basedOn w:val="909"/>
    <w:pPr>
      <w:ind w:left="77" w:right="-2" w:firstLine="27"/>
    </w:pPr>
    <w:rPr>
      <w:bCs/>
      <w:sz w:val="28"/>
      <w:szCs w:val="28"/>
      <w:lang w:eastAsia="ar-SA"/>
    </w:rPr>
  </w:style>
  <w:style w:type="character" w:styleId="937">
    <w:name w:val="Strong"/>
    <w:basedOn w:val="919"/>
    <w:qFormat/>
    <w:rPr>
      <w:b/>
      <w:bCs/>
    </w:rPr>
  </w:style>
  <w:style w:type="paragraph" w:styleId="938">
    <w:name w:val="List Paragraph"/>
    <w:basedOn w:val="909"/>
    <w:uiPriority w:val="34"/>
    <w:qFormat/>
    <w:pPr>
      <w:contextualSpacing/>
      <w:ind w:left="720"/>
    </w:pPr>
  </w:style>
  <w:style w:type="paragraph" w:styleId="939" w:customStyle="1">
    <w:name w:val="ConsPlusNormal"/>
    <w:pPr>
      <w:ind w:firstLine="720"/>
      <w:widowControl w:val="off"/>
    </w:pPr>
    <w:rPr>
      <w:rFonts w:ascii="Arial" w:hAnsi="Arial" w:cs="Arial"/>
      <w:lang w:eastAsia="ar-SA"/>
    </w:rPr>
  </w:style>
  <w:style w:type="paragraph" w:styleId="940" w:customStyle="1">
    <w:name w:val="consplusnormal"/>
    <w:basedOn w:val="909"/>
    <w:pPr>
      <w:ind w:left="187" w:right="187"/>
      <w:spacing w:before="187" w:after="187"/>
    </w:pPr>
    <w:rPr>
      <w:lang w:eastAsia="ar-SA"/>
    </w:rPr>
  </w:style>
  <w:style w:type="character" w:styleId="941" w:customStyle="1">
    <w:name w:val="Основной текст_"/>
    <w:link w:val="942"/>
    <w:rPr>
      <w:sz w:val="23"/>
      <w:szCs w:val="23"/>
      <w:shd w:val="clear" w:color="auto" w:fill="ffffff"/>
    </w:rPr>
  </w:style>
  <w:style w:type="paragraph" w:styleId="942" w:customStyle="1">
    <w:name w:val="Основной текст1"/>
    <w:basedOn w:val="909"/>
    <w:link w:val="941"/>
    <w:pPr>
      <w:ind w:hanging="420"/>
      <w:spacing w:before="240" w:after="360" w:line="0" w:lineRule="atLeast"/>
      <w:shd w:val="clear" w:color="auto" w:fill="ffffff"/>
    </w:pPr>
    <w:rPr>
      <w:sz w:val="23"/>
      <w:szCs w:val="23"/>
    </w:rPr>
  </w:style>
  <w:style w:type="character" w:styleId="943" w:customStyle="1">
    <w:name w:val="Font Style17"/>
    <w:basedOn w:val="919"/>
    <w:rPr>
      <w:rFonts w:hint="default" w:ascii="Times New Roman" w:hAnsi="Times New Roman" w:cs="Times New Roman"/>
      <w:sz w:val="22"/>
      <w:szCs w:val="22"/>
    </w:rPr>
  </w:style>
  <w:style w:type="table" w:styleId="944">
    <w:name w:val="Table Grid"/>
    <w:basedOn w:val="92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45" w:customStyle="1">
    <w:name w:val="Заголовок 4 Знак"/>
    <w:basedOn w:val="919"/>
    <w:link w:val="913"/>
    <w:rPr>
      <w:rFonts w:ascii="Bookman Old Style" w:hAnsi="Bookman Old Style" w:cs="Bookman Old Style"/>
      <w:i/>
      <w:lang w:eastAsia="zh-CN"/>
    </w:rPr>
  </w:style>
  <w:style w:type="character" w:styleId="946" w:customStyle="1">
    <w:name w:val="Заголовок 5 Знак"/>
    <w:basedOn w:val="919"/>
    <w:link w:val="914"/>
    <w:rPr>
      <w:b/>
      <w:i/>
      <w:sz w:val="24"/>
      <w:lang w:eastAsia="zh-CN"/>
    </w:rPr>
  </w:style>
  <w:style w:type="character" w:styleId="947" w:customStyle="1">
    <w:name w:val="Заголовок 6 Знак"/>
    <w:basedOn w:val="919"/>
    <w:link w:val="915"/>
    <w:rPr>
      <w:b/>
      <w:i/>
      <w:sz w:val="32"/>
      <w:lang w:eastAsia="zh-CN"/>
    </w:rPr>
  </w:style>
  <w:style w:type="character" w:styleId="948" w:customStyle="1">
    <w:name w:val="Заголовок 7 Знак"/>
    <w:basedOn w:val="919"/>
    <w:link w:val="916"/>
    <w:rPr>
      <w:b/>
      <w:i/>
      <w:sz w:val="24"/>
      <w:lang w:eastAsia="zh-CN"/>
    </w:rPr>
  </w:style>
  <w:style w:type="character" w:styleId="949" w:customStyle="1">
    <w:name w:val="Заголовок 8 Знак"/>
    <w:basedOn w:val="919"/>
    <w:link w:val="917"/>
    <w:rPr>
      <w:b/>
      <w:sz w:val="22"/>
      <w:lang w:eastAsia="zh-CN"/>
    </w:rPr>
  </w:style>
  <w:style w:type="character" w:styleId="950" w:customStyle="1">
    <w:name w:val="Заголовок 9 Знак"/>
    <w:basedOn w:val="919"/>
    <w:link w:val="918"/>
    <w:rPr>
      <w:b/>
      <w:sz w:val="24"/>
      <w:lang w:eastAsia="zh-CN"/>
    </w:rPr>
  </w:style>
  <w:style w:type="character" w:styleId="951" w:customStyle="1">
    <w:name w:val="Absatz-Standardschriftart"/>
  </w:style>
  <w:style w:type="character" w:styleId="952" w:customStyle="1">
    <w:name w:val="WW-Absatz-Standardschriftart"/>
  </w:style>
  <w:style w:type="character" w:styleId="953" w:customStyle="1">
    <w:name w:val="WW-Absatz-Standardschriftart1"/>
  </w:style>
  <w:style w:type="character" w:styleId="954" w:customStyle="1">
    <w:name w:val="Основной шрифт абзаца2"/>
  </w:style>
  <w:style w:type="character" w:styleId="955" w:customStyle="1">
    <w:name w:val="Основной шрифт абзаца1"/>
  </w:style>
  <w:style w:type="character" w:styleId="956" w:customStyle="1">
    <w:name w:val="Знак примечания1"/>
    <w:rPr>
      <w:sz w:val="16"/>
    </w:rPr>
  </w:style>
  <w:style w:type="paragraph" w:styleId="957" w:customStyle="1">
    <w:name w:val="Заголовок1"/>
    <w:basedOn w:val="909"/>
    <w:next w:val="925"/>
    <w:pPr>
      <w:keepNext/>
      <w:spacing w:before="240" w:after="120"/>
    </w:pPr>
    <w:rPr>
      <w:rFonts w:ascii="Arial" w:hAnsi="Arial" w:eastAsia="Lucida Sans Unicode" w:cs="Tahoma"/>
      <w:sz w:val="28"/>
      <w:szCs w:val="28"/>
      <w:lang w:eastAsia="zh-CN"/>
    </w:rPr>
  </w:style>
  <w:style w:type="paragraph" w:styleId="958">
    <w:name w:val="List"/>
    <w:basedOn w:val="925"/>
    <w:pPr>
      <w:ind w:right="0"/>
      <w:jc w:val="both"/>
    </w:pPr>
    <w:rPr>
      <w:rFonts w:ascii="Arial" w:hAnsi="Arial" w:cs="Tahoma"/>
      <w:b/>
      <w:i/>
      <w:lang w:eastAsia="zh-CN"/>
    </w:rPr>
  </w:style>
  <w:style w:type="paragraph" w:styleId="959">
    <w:name w:val="Caption"/>
    <w:basedOn w:val="909"/>
    <w:link w:val="765"/>
    <w:qFormat/>
    <w:pPr>
      <w:spacing w:before="120" w:after="120"/>
      <w:suppressLineNumbers/>
    </w:pPr>
    <w:rPr>
      <w:rFonts w:cs="Tahoma"/>
      <w:i/>
      <w:iCs/>
      <w:lang w:eastAsia="zh-CN"/>
    </w:rPr>
  </w:style>
  <w:style w:type="paragraph" w:styleId="960" w:customStyle="1">
    <w:name w:val="Указатель2"/>
    <w:basedOn w:val="909"/>
    <w:pPr>
      <w:suppressLineNumbers/>
    </w:pPr>
    <w:rPr>
      <w:rFonts w:cs="Tahoma"/>
      <w:sz w:val="20"/>
      <w:szCs w:val="20"/>
      <w:lang w:eastAsia="zh-CN"/>
    </w:rPr>
  </w:style>
  <w:style w:type="paragraph" w:styleId="961" w:customStyle="1">
    <w:name w:val="Название1"/>
    <w:basedOn w:val="909"/>
    <w:pPr>
      <w:spacing w:before="120" w:after="120"/>
      <w:suppressLineNumbers/>
    </w:pPr>
    <w:rPr>
      <w:rFonts w:ascii="Arial" w:hAnsi="Arial" w:cs="Tahoma"/>
      <w:i/>
      <w:iCs/>
      <w:sz w:val="20"/>
      <w:lang w:eastAsia="zh-CN"/>
    </w:rPr>
  </w:style>
  <w:style w:type="paragraph" w:styleId="962" w:customStyle="1">
    <w:name w:val="Указатель1"/>
    <w:basedOn w:val="909"/>
    <w:pPr>
      <w:suppressLineNumbers/>
    </w:pPr>
    <w:rPr>
      <w:rFonts w:ascii="Arial" w:hAnsi="Arial" w:cs="Tahoma"/>
      <w:sz w:val="20"/>
      <w:szCs w:val="20"/>
      <w:lang w:eastAsia="zh-CN"/>
    </w:rPr>
  </w:style>
  <w:style w:type="paragraph" w:styleId="963" w:customStyle="1">
    <w:name w:val="Текст примечания1"/>
    <w:basedOn w:val="909"/>
    <w:rPr>
      <w:sz w:val="20"/>
      <w:szCs w:val="20"/>
      <w:lang w:eastAsia="zh-CN"/>
    </w:rPr>
  </w:style>
  <w:style w:type="paragraph" w:styleId="964" w:customStyle="1">
    <w:name w:val="Основной текст 31"/>
    <w:basedOn w:val="909"/>
    <w:rPr>
      <w:b/>
      <w:sz w:val="20"/>
      <w:szCs w:val="20"/>
      <w:lang w:eastAsia="zh-CN"/>
    </w:rPr>
  </w:style>
  <w:style w:type="paragraph" w:styleId="965" w:customStyle="1">
    <w:name w:val="Содержимое врезки"/>
    <w:basedOn w:val="925"/>
    <w:pPr>
      <w:ind w:right="0"/>
      <w:jc w:val="both"/>
    </w:pPr>
    <w:rPr>
      <w:b/>
      <w:i/>
      <w:lang w:eastAsia="zh-CN"/>
    </w:rPr>
  </w:style>
  <w:style w:type="paragraph" w:styleId="966" w:customStyle="1">
    <w:name w:val="ConsPlusCell"/>
    <w:pPr>
      <w:spacing w:line="100" w:lineRule="atLeast"/>
      <w:widowControl w:val="off"/>
    </w:pPr>
    <w:rPr>
      <w:rFonts w:ascii="Arial" w:hAnsi="Arial" w:cs="Arial"/>
      <w:lang w:bidi="hi-IN"/>
    </w:rPr>
  </w:style>
  <w:style w:type="paragraph" w:styleId="967" w:customStyle="1">
    <w:name w:val="Содержимое таблицы"/>
    <w:basedOn w:val="909"/>
    <w:pPr>
      <w:suppressLineNumbers/>
    </w:pPr>
    <w:rPr>
      <w:sz w:val="20"/>
      <w:szCs w:val="20"/>
      <w:lang w:eastAsia="zh-CN"/>
    </w:rPr>
  </w:style>
  <w:style w:type="paragraph" w:styleId="968" w:customStyle="1">
    <w:name w:val="Заголовок таблицы"/>
    <w:basedOn w:val="967"/>
    <w:pPr>
      <w:jc w:val="center"/>
    </w:pPr>
    <w:rPr>
      <w:b/>
      <w:bCs/>
    </w:rPr>
  </w:style>
  <w:style w:type="character" w:styleId="969" w:customStyle="1">
    <w:name w:val="Текст выноски Знак"/>
    <w:link w:val="922"/>
    <w:uiPriority w:val="99"/>
    <w:semiHidden/>
    <w:rPr>
      <w:rFonts w:ascii="Tahoma" w:hAnsi="Tahoma" w:cs="Tahoma"/>
      <w:sz w:val="16"/>
      <w:szCs w:val="16"/>
    </w:rPr>
  </w:style>
  <w:style w:type="character" w:styleId="970" w:customStyle="1">
    <w:name w:val="WW8Num2z1"/>
    <w:rPr>
      <w:rFonts w:hint="default" w:ascii="Courier New" w:hAnsi="Courier New" w:cs="Courier New"/>
    </w:rPr>
  </w:style>
  <w:style w:type="character" w:styleId="971" w:customStyle="1">
    <w:name w:val="Основной текст + Интервал 0 pt"/>
    <w:uiPriority w:val="99"/>
  </w:style>
  <w:style w:type="character" w:styleId="972" w:customStyle="1">
    <w:name w:val="Основной текст (2)"/>
    <w:basedOn w:val="91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en-US" w:eastAsia="en-US" w:bidi="en-US"/>
    </w:rPr>
  </w:style>
  <w:style w:type="character" w:styleId="973" w:customStyle="1">
    <w:name w:val="Основной текст (2)_"/>
    <w:rPr>
      <w:rFonts w:ascii="Calibri" w:hAnsi="Calibri" w:eastAsia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styleId="974" w:customStyle="1">
    <w:name w:val="Основной текст (2) + Sylfaen;13 pt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8355-4A68-4C40-8551-2718E197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Centr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</dc:title>
  <dc:creator>Luda</dc:creator>
  <cp:lastModifiedBy>d.ermolenko</cp:lastModifiedBy>
  <cp:revision>90</cp:revision>
  <dcterms:created xsi:type="dcterms:W3CDTF">2021-12-22T11:06:00Z</dcterms:created>
  <dcterms:modified xsi:type="dcterms:W3CDTF">2026-03-18T13:02:40Z</dcterms:modified>
</cp:coreProperties>
</file>