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0"/>
        </w:rPr>
      </w:pPr>
      <w:r>
        <w:rPr>
          <w:b w:val="1"/>
          <w:sz w:val="20"/>
        </w:rPr>
        <w:t>Государственный контракт №_____</w:t>
      </w:r>
    </w:p>
    <w:p w14:paraId="02000000">
      <w:pPr>
        <w:widowControl w:val="1"/>
        <w:ind/>
        <w:jc w:val="both"/>
        <w:rPr>
          <w:b w:val="1"/>
          <w:sz w:val="20"/>
        </w:rPr>
      </w:pPr>
    </w:p>
    <w:p w14:paraId="03000000">
      <w:pPr>
        <w:widowControl w:val="1"/>
        <w:ind/>
        <w:jc w:val="both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 xml:space="preserve">                                                                                                                 </w:t>
      </w:r>
      <w:r>
        <w:rPr>
          <w:sz w:val="20"/>
        </w:rPr>
        <w:t xml:space="preserve">   «</w:t>
      </w:r>
      <w:r>
        <w:rPr>
          <w:sz w:val="20"/>
        </w:rPr>
        <w:t>___» ___________ 2026 г.</w:t>
      </w:r>
    </w:p>
    <w:p w14:paraId="04000000">
      <w:pPr>
        <w:widowControl w:val="1"/>
        <w:ind/>
        <w:jc w:val="both"/>
        <w:rPr>
          <w:sz w:val="20"/>
        </w:rPr>
      </w:pPr>
    </w:p>
    <w:p w14:paraId="05000000">
      <w:pPr>
        <w:widowControl w:val="1"/>
        <w:ind w:firstLine="709"/>
        <w:jc w:val="both"/>
        <w:rPr>
          <w:sz w:val="20"/>
        </w:rPr>
      </w:pPr>
      <w:r>
        <w:rPr>
          <w:b w:val="1"/>
          <w:sz w:val="20"/>
        </w:rPr>
        <w:t xml:space="preserve">Федеральное казенное образовательное учреждение высшего образования </w:t>
      </w:r>
      <w:r>
        <w:rPr>
          <w:b w:val="1"/>
          <w:sz w:val="20"/>
        </w:rPr>
        <w:t>«Пермский 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________________________________________________________________________, действующего на основании ______________________</w:t>
      </w:r>
      <w:r>
        <w:rPr>
          <w:sz w:val="20"/>
        </w:rPr>
        <w:t xml:space="preserve">____________________, с одной стороны, и </w:t>
      </w:r>
      <w:r>
        <w:rPr>
          <w:b w:val="1"/>
          <w:sz w:val="20"/>
        </w:rPr>
        <w:t xml:space="preserve">________________________________________________________________________ </w:t>
      </w:r>
      <w:r>
        <w:rPr>
          <w:sz w:val="20"/>
        </w:rPr>
        <w:t>именуемое в дальнейшем «Исполнитель», в лице __________________________________________, действующего на основании ___________________________</w:t>
      </w:r>
      <w:r>
        <w:rPr>
          <w:sz w:val="20"/>
        </w:rPr>
        <w:t>____________________________, с другой стороны, вместе именуемые «Стороны», руководствуясь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</w:t>
      </w:r>
      <w:r>
        <w:rPr>
          <w:sz w:val="20"/>
        </w:rPr>
        <w:t xml:space="preserve"> государственный контракт (далее - Контракт) о нижеследующем:</w:t>
      </w:r>
    </w:p>
    <w:p w14:paraId="06000000">
      <w:pPr>
        <w:widowControl w:val="1"/>
        <w:ind w:firstLine="709"/>
        <w:jc w:val="both"/>
        <w:rPr>
          <w:sz w:val="20"/>
        </w:rPr>
      </w:pPr>
    </w:p>
    <w:p w14:paraId="07000000">
      <w:pPr>
        <w:widowControl w:val="1"/>
        <w:ind/>
        <w:jc w:val="center"/>
        <w:rPr>
          <w:b w:val="1"/>
          <w:sz w:val="20"/>
        </w:rPr>
      </w:pPr>
      <w:r>
        <w:rPr>
          <w:b w:val="1"/>
          <w:sz w:val="20"/>
        </w:rPr>
        <w:t>1. Предмет Контракта</w:t>
      </w:r>
    </w:p>
    <w:p w14:paraId="08000000">
      <w:pPr>
        <w:widowControl w:val="1"/>
        <w:ind/>
        <w:jc w:val="center"/>
        <w:rPr>
          <w:b w:val="1"/>
          <w:sz w:val="20"/>
        </w:rPr>
      </w:pPr>
    </w:p>
    <w:p w14:paraId="09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1.1. Исполнитель обязуется оказать Заказчику </w:t>
      </w:r>
      <w:r>
        <w:rPr>
          <w:b w:val="1"/>
          <w:sz w:val="20"/>
        </w:rPr>
        <w:t>услуги по проведению вакцинации работников ФКОУ ВО Пермский институт ФСИН России</w:t>
      </w:r>
      <w:r>
        <w:rPr>
          <w:sz w:val="20"/>
        </w:rPr>
        <w:t xml:space="preserve"> (далее – Услуги) в полном соответствии с наст</w:t>
      </w:r>
      <w:r>
        <w:rPr>
          <w:sz w:val="20"/>
        </w:rPr>
        <w:t>оящим Контрактом и со спецификацией (Приложение № 1 к Контракту), а Заказчик обязуется принять и оплатить Услуги в установленном Контрактом порядке.</w:t>
      </w:r>
    </w:p>
    <w:p w14:paraId="0A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1.2. Наименование, характеристики, объем, цена, стоимость</w:t>
      </w:r>
      <w:r>
        <w:t xml:space="preserve"> </w:t>
      </w:r>
      <w:r>
        <w:rPr>
          <w:sz w:val="20"/>
        </w:rPr>
        <w:t>и</w:t>
      </w:r>
      <w:r>
        <w:t xml:space="preserve"> </w:t>
      </w:r>
      <w:r>
        <w:rPr>
          <w:sz w:val="20"/>
        </w:rPr>
        <w:t>перечень действий, которые должен совершить Исп</w:t>
      </w:r>
      <w:r>
        <w:rPr>
          <w:sz w:val="20"/>
        </w:rPr>
        <w:t xml:space="preserve">олнитель в рамках оказания Услуг, определены Сторонами в спецификации, являющейся неотъемлемой частью Контракта (Приложение № 1 к Контракту). </w:t>
      </w:r>
    </w:p>
    <w:p w14:paraId="0B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1.3. Исполнитель обязуется оказать все Услуги по настоящему Контракту собственными силами.</w:t>
      </w:r>
    </w:p>
    <w:p w14:paraId="0C000000">
      <w:pPr>
        <w:widowControl w:val="1"/>
        <w:ind w:firstLine="567"/>
        <w:jc w:val="both"/>
        <w:rPr>
          <w:sz w:val="20"/>
        </w:rPr>
      </w:pPr>
    </w:p>
    <w:p w14:paraId="0D000000">
      <w:pPr>
        <w:widowControl w:val="1"/>
        <w:ind/>
        <w:jc w:val="center"/>
        <w:outlineLvl w:val="0"/>
        <w:rPr>
          <w:b w:val="1"/>
          <w:sz w:val="20"/>
        </w:rPr>
      </w:pPr>
      <w:r>
        <w:rPr>
          <w:b w:val="1"/>
          <w:sz w:val="20"/>
        </w:rPr>
        <w:t>2. Права и обязанност</w:t>
      </w:r>
      <w:r>
        <w:rPr>
          <w:b w:val="1"/>
          <w:sz w:val="20"/>
        </w:rPr>
        <w:t>и Сторон</w:t>
      </w:r>
    </w:p>
    <w:p w14:paraId="0E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2.1. Заказчик вправе:</w:t>
      </w:r>
    </w:p>
    <w:p w14:paraId="0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2.1.1. Определять лиц, непосредственно участвующих в контроле за оказанием Услуг Исполнителем и (или) лиц, участвующих в приемке оказанных Услуг по объему и качеству.</w:t>
      </w:r>
    </w:p>
    <w:p w14:paraId="1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2.1.2. Требовать от Исполнителя надлежащего исполнения обя</w:t>
      </w:r>
      <w:r>
        <w:rPr>
          <w:sz w:val="20"/>
        </w:rPr>
        <w:t>зательств, предусмотренных Контрактом.</w:t>
      </w:r>
    </w:p>
    <w:p w14:paraId="11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2.2. Заказчик обязуется:</w:t>
      </w:r>
    </w:p>
    <w:p w14:paraId="12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2.2.1. Осуществлять контроль за исполнением Исполнителем условий Контракта в соответствии с законодательством Российской Федерации.</w:t>
      </w:r>
    </w:p>
    <w:p w14:paraId="13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2.2.2. Принять оказанные Услуги, соответствующие требованиям</w:t>
      </w:r>
      <w:r>
        <w:rPr>
          <w:sz w:val="20"/>
        </w:rPr>
        <w:t>, установленным Контрактом, и оплатить эти Услуги на указанных в Контракте условиях.</w:t>
      </w:r>
    </w:p>
    <w:p w14:paraId="14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2.2.3. В случае расторжения Контракта (по любым основаниям) оплатить Исполнителю Услуги, фактически оказанные на момент расторжения Контракта, при условии отсутствия прете</w:t>
      </w:r>
      <w:r>
        <w:rPr>
          <w:sz w:val="20"/>
        </w:rPr>
        <w:t>нзий по его качеству, на основании подписанных Исполнителем и Заказчиком документов о приемке оказанных услуг.</w:t>
      </w:r>
    </w:p>
    <w:p w14:paraId="15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об Исполнителе для в</w:t>
      </w:r>
      <w:r>
        <w:rPr>
          <w:sz w:val="20"/>
        </w:rPr>
        <w:t>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</w:t>
      </w:r>
      <w:r>
        <w:rPr>
          <w:sz w:val="20"/>
        </w:rPr>
        <w:t>та.</w:t>
      </w:r>
    </w:p>
    <w:p w14:paraId="16000000">
      <w:pPr>
        <w:widowControl w:val="1"/>
        <w:tabs>
          <w:tab w:leader="none" w:pos="1134" w:val="left"/>
        </w:tabs>
        <w:ind w:firstLine="567"/>
        <w:jc w:val="both"/>
        <w:rPr>
          <w:sz w:val="20"/>
        </w:rPr>
      </w:pPr>
      <w:r>
        <w:rPr>
          <w:sz w:val="20"/>
        </w:rPr>
        <w:t>2.2.5. Выполнять иные обязанности, предусмотренные законодательством Российской Федерации и Контрактом.</w:t>
      </w:r>
    </w:p>
    <w:p w14:paraId="17000000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2.3. Исполнитель вправе:</w:t>
      </w:r>
    </w:p>
    <w:p w14:paraId="18000000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 xml:space="preserve">2.3.1. Требовать от Заказчика своевременной оплаты на условиях, предусмотренных Контрактом, надлежащим образом оказанных и </w:t>
      </w:r>
      <w:r>
        <w:rPr>
          <w:sz w:val="20"/>
        </w:rPr>
        <w:t>принятых Заказчиком Услуг.</w:t>
      </w:r>
    </w:p>
    <w:p w14:paraId="19000000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2.3.2. Исполнитель вправе по письменному согласованию с Заказчиком при необходимости привлекать для оказания Услуг третьих лиц. При этом он несет перед Заказчиком ответственность за действия и/или бездействие привлеченных к оказа</w:t>
      </w:r>
      <w:r>
        <w:rPr>
          <w:sz w:val="20"/>
        </w:rPr>
        <w:t xml:space="preserve">нию Услуг </w:t>
      </w:r>
      <w:r>
        <w:rPr>
          <w:sz w:val="20"/>
        </w:rPr>
        <w:t>субисполнителей</w:t>
      </w:r>
      <w:r>
        <w:rPr>
          <w:sz w:val="20"/>
        </w:rPr>
        <w:t>.</w:t>
      </w:r>
    </w:p>
    <w:p w14:paraId="1A000000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2.4. Исполнитель обязуется:</w:t>
      </w:r>
    </w:p>
    <w:p w14:paraId="1B000000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2.4.1. Оказать Услуги в порядке и на условиях, предусмотренных Контрактом, в том числе с учетом специфики оказываемых Услуг и их соответствия обязательным требованиям, установленным Контрактом.</w:t>
      </w:r>
    </w:p>
    <w:p w14:paraId="1C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 xml:space="preserve">2.4.2. </w:t>
      </w:r>
      <w:r>
        <w:rPr>
          <w:sz w:val="20"/>
        </w:rPr>
        <w:t xml:space="preserve">Оказать Услуги по показателям </w:t>
      </w:r>
      <w:r>
        <w:rPr>
          <w:sz w:val="20"/>
        </w:rPr>
        <w:t>качества и безопасности</w:t>
      </w:r>
      <w:r>
        <w:rPr>
          <w:sz w:val="20"/>
        </w:rPr>
        <w:t xml:space="preserve"> соответствующие требованиям, содержащимся в нормативных, технических документах и в Контракте, в объеме, предусмотренном Контрактом.</w:t>
      </w:r>
    </w:p>
    <w:p w14:paraId="1D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 xml:space="preserve">2.4.3. Обеспечить устранение за свой счет </w:t>
      </w:r>
      <w:r>
        <w:rPr>
          <w:sz w:val="20"/>
        </w:rPr>
        <w:t>недостатков</w:t>
      </w:r>
      <w:r>
        <w:rPr>
          <w:sz w:val="20"/>
        </w:rPr>
        <w:t xml:space="preserve"> выявленных при </w:t>
      </w:r>
      <w:r>
        <w:rPr>
          <w:sz w:val="20"/>
        </w:rPr>
        <w:t>приемке /после оказанных Услуг.</w:t>
      </w:r>
    </w:p>
    <w:p w14:paraId="1E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2.4.4. 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14:paraId="1F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2.4.5. Исполнитель обязан обеспечить конфиденциальность и безопасность при обработк</w:t>
      </w:r>
      <w:r>
        <w:rPr>
          <w:sz w:val="20"/>
        </w:rPr>
        <w:t>е персональных данных в соответствии с Федеральным законом РФ от 27 июля 2006 № 152-ФЗ «О персональных данных».</w:t>
      </w:r>
    </w:p>
    <w:p w14:paraId="20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2.4.6. Исполнитель должен обеспечить конфиденциальность и неразглашение данных вакцинации.</w:t>
      </w:r>
    </w:p>
    <w:p w14:paraId="21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2.4.7. Обеспечивать оказание качественных медицинских</w:t>
      </w:r>
      <w:r>
        <w:rPr>
          <w:sz w:val="20"/>
        </w:rPr>
        <w:t xml:space="preserve"> услуг Заказчику согласно п. 1.1 настоящего Контракта и режиму работы Исполнителя.</w:t>
      </w:r>
    </w:p>
    <w:p w14:paraId="22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2.4.8. Вести медицинскую документацию и выдавать Заказчику медицинские документы установленного образца.</w:t>
      </w:r>
    </w:p>
    <w:p w14:paraId="23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 xml:space="preserve">2.4.9. Иметь в наличии лицензию, предусматривающую выполнение работ </w:t>
      </w:r>
      <w:r>
        <w:rPr>
          <w:sz w:val="20"/>
        </w:rPr>
        <w:t>(услуг) по вакцинации (проведению профилактических прививок).</w:t>
      </w:r>
    </w:p>
    <w:p w14:paraId="24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2.4.10. Вакцинацию осуществляют медицинские работники, прошедшие обучение по вопросам применения иммунобиологических лекарственных препаратов для иммунопрофилактики инфекционных болезней, органи</w:t>
      </w:r>
      <w:r>
        <w:rPr>
          <w:sz w:val="20"/>
        </w:rPr>
        <w:t>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14:paraId="25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2.4.11. Выполнять иные обязанности, предусмотренные законодательством Российской Федерации и Контрактом.</w:t>
      </w:r>
    </w:p>
    <w:p w14:paraId="26000000">
      <w:pPr>
        <w:widowControl w:val="1"/>
        <w:ind w:firstLine="540"/>
        <w:jc w:val="both"/>
        <w:rPr>
          <w:sz w:val="20"/>
        </w:rPr>
      </w:pPr>
    </w:p>
    <w:p w14:paraId="27000000">
      <w:pPr>
        <w:widowControl w:val="1"/>
        <w:ind w:firstLine="540"/>
        <w:jc w:val="center"/>
        <w:rPr>
          <w:b w:val="1"/>
          <w:sz w:val="20"/>
        </w:rPr>
      </w:pPr>
      <w:r>
        <w:rPr>
          <w:b w:val="1"/>
          <w:sz w:val="20"/>
        </w:rPr>
        <w:t>3. Цена</w:t>
      </w:r>
      <w:r>
        <w:rPr>
          <w:b w:val="1"/>
          <w:sz w:val="20"/>
        </w:rPr>
        <w:t xml:space="preserve"> Контракта и порядок расчетов</w:t>
      </w:r>
    </w:p>
    <w:p w14:paraId="28000000">
      <w:pPr>
        <w:pStyle w:val="Style_1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29000000">
      <w:pPr>
        <w:pStyle w:val="Style_1"/>
        <w:widowControl w:val="1"/>
        <w:ind w:firstLine="567"/>
        <w:jc w:val="both"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sz w:val="20"/>
        </w:rPr>
        <w:t xml:space="preserve">3.1. </w:t>
      </w:r>
      <w:r>
        <w:rPr>
          <w:rFonts w:ascii="Times New Roman" w:hAnsi="Times New Roman"/>
          <w:i w:val="1"/>
          <w:sz w:val="20"/>
        </w:rPr>
        <w:t xml:space="preserve">Цена настоящего Контракта составляет _________ (_____________) руб. 00 </w:t>
      </w:r>
      <w:r>
        <w:rPr>
          <w:rFonts w:ascii="Times New Roman" w:hAnsi="Times New Roman"/>
          <w:i w:val="1"/>
          <w:sz w:val="20"/>
        </w:rPr>
        <w:t>коп.,</w:t>
      </w:r>
      <w:r>
        <w:rPr>
          <w:rFonts w:ascii="Times New Roman" w:hAnsi="Times New Roman"/>
          <w:i w:val="1"/>
          <w:sz w:val="20"/>
        </w:rPr>
        <w:t xml:space="preserve"> в том числе НДС ___% (без НДС).</w:t>
      </w:r>
    </w:p>
    <w:p w14:paraId="2A000000">
      <w:pPr>
        <w:pStyle w:val="Style_1"/>
        <w:widowControl w:val="1"/>
        <w:ind w:firstLine="567"/>
        <w:jc w:val="both"/>
      </w:pPr>
      <w:r>
        <w:rPr>
          <w:rFonts w:ascii="Times New Roman" w:hAnsi="Times New Roman"/>
          <w:sz w:val="20"/>
        </w:rPr>
        <w:t xml:space="preserve">3.1.1. Цена Контракта может быть изменена по соглашению сторон исходя из цены единицы услуги, если по </w:t>
      </w:r>
      <w:r>
        <w:rPr>
          <w:rFonts w:ascii="Times New Roman" w:hAnsi="Times New Roman"/>
          <w:sz w:val="20"/>
        </w:rPr>
        <w:t>предложению Заказчика объем Услуг изменен не более чем на 10%.</w:t>
      </w:r>
    </w:p>
    <w:p w14:paraId="2B000000">
      <w:pPr>
        <w:pStyle w:val="Style_1"/>
        <w:widowControl w:val="1"/>
        <w:ind w:firstLine="567"/>
        <w:jc w:val="both"/>
      </w:pPr>
      <w:r>
        <w:rPr>
          <w:rFonts w:ascii="Times New Roman" w:hAnsi="Times New Roman"/>
          <w:sz w:val="20"/>
        </w:rPr>
        <w:t>При уменьшении предусмотренного Контрактом объема Услуг стороны обязаны пропорционально уменьшить цену Контракта.</w:t>
      </w:r>
    </w:p>
    <w:p w14:paraId="2C000000">
      <w:pPr>
        <w:pStyle w:val="Style_1"/>
        <w:widowControl w:val="1"/>
        <w:ind w:firstLine="567"/>
        <w:jc w:val="both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sz w:val="20"/>
        </w:rPr>
        <w:t xml:space="preserve">3.1.2. </w:t>
      </w:r>
      <w:r>
        <w:rPr>
          <w:rFonts w:ascii="Times New Roman" w:hAnsi="Times New Roman"/>
          <w:i w:val="1"/>
          <w:sz w:val="20"/>
        </w:rPr>
        <w:t>Цена настоящего Контракта на оказываемые Услуги устанавливается в соотве</w:t>
      </w:r>
      <w:r>
        <w:rPr>
          <w:rFonts w:ascii="Times New Roman" w:hAnsi="Times New Roman"/>
          <w:i w:val="1"/>
          <w:sz w:val="20"/>
        </w:rPr>
        <w:t>тствии с итоговым протоколом закупочной сессии от ___________________ № _________________________________.</w:t>
      </w:r>
    </w:p>
    <w:p w14:paraId="2D000000">
      <w:pPr>
        <w:widowControl w:val="1"/>
        <w:ind w:firstLine="540"/>
        <w:jc w:val="both"/>
        <w:rPr>
          <w:sz w:val="20"/>
        </w:rPr>
      </w:pPr>
      <w:r>
        <w:rPr>
          <w:sz w:val="20"/>
        </w:rPr>
        <w:t>3.2. Указанная цена Контракта является твердой и определяется на весь срок исполнения Контракта.</w:t>
      </w:r>
    </w:p>
    <w:p w14:paraId="2E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3.3. В цену Контракта включены все расходы Исполните</w:t>
      </w:r>
      <w:r>
        <w:rPr>
          <w:sz w:val="20"/>
        </w:rPr>
        <w:t>ля,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и иные расходы, связанные с оказанием Услуг.</w:t>
      </w:r>
    </w:p>
    <w:p w14:paraId="2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3.4. Сумма, п</w:t>
      </w:r>
      <w:r>
        <w:rPr>
          <w:sz w:val="20"/>
        </w:rPr>
        <w:t>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</w:t>
      </w:r>
      <w:r>
        <w:rPr>
          <w:sz w:val="20"/>
        </w:rPr>
        <w:t>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3.5. Расчет за оказанные Услуги производится в форме безналичного денежного расчета средствами, выделяемыми из федерал</w:t>
      </w:r>
      <w:r>
        <w:rPr>
          <w:sz w:val="20"/>
        </w:rPr>
        <w:t>ьного бюджета, в течение 7 (семи) рабочих дней с момента приемки Заказчиком оказанных Услуг.</w:t>
      </w:r>
    </w:p>
    <w:p w14:paraId="31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3.6. Обязательства по оплате оказанных Услуг считаются выполненными в день списания денежных средств со счетов Заказчика.</w:t>
      </w:r>
    </w:p>
    <w:p w14:paraId="32000000">
      <w:pPr>
        <w:widowControl w:val="1"/>
        <w:tabs>
          <w:tab w:leader="none" w:pos="567" w:val="left"/>
        </w:tabs>
        <w:ind w:firstLine="567" w:right="27"/>
        <w:jc w:val="center"/>
        <w:rPr>
          <w:b w:val="1"/>
          <w:sz w:val="20"/>
        </w:rPr>
      </w:pPr>
      <w:r>
        <w:rPr>
          <w:b w:val="1"/>
          <w:sz w:val="20"/>
        </w:rPr>
        <w:t>4. Сроки, место и порядок оказания услуг</w:t>
      </w:r>
    </w:p>
    <w:p w14:paraId="33000000">
      <w:pPr>
        <w:widowControl w:val="1"/>
        <w:tabs>
          <w:tab w:leader="none" w:pos="567" w:val="left"/>
        </w:tabs>
        <w:ind w:firstLine="567" w:right="27"/>
        <w:jc w:val="both"/>
        <w:rPr>
          <w:sz w:val="20"/>
        </w:rPr>
      </w:pPr>
    </w:p>
    <w:p w14:paraId="34000000">
      <w:pPr>
        <w:widowControl w:val="1"/>
        <w:tabs>
          <w:tab w:leader="none" w:pos="567" w:val="left"/>
        </w:tabs>
        <w:ind w:firstLine="567" w:right="27"/>
        <w:jc w:val="both"/>
      </w:pPr>
      <w:r>
        <w:rPr>
          <w:sz w:val="20"/>
        </w:rPr>
        <w:t>4.1. Место оказания Услуг по вакцинации: по месту нахождения Исполнителя в пределах г. Пермь.</w:t>
      </w:r>
    </w:p>
    <w:p w14:paraId="35000000">
      <w:pPr>
        <w:widowControl w:val="1"/>
        <w:tabs>
          <w:tab w:leader="none" w:pos="567" w:val="left"/>
        </w:tabs>
        <w:ind w:firstLine="567" w:right="27"/>
        <w:jc w:val="both"/>
      </w:pPr>
      <w:r>
        <w:rPr>
          <w:sz w:val="20"/>
        </w:rPr>
        <w:t xml:space="preserve">4.2. Срок оказания Услуг: с момента заключения Контракта по 30.11.2026 г. </w:t>
      </w:r>
    </w:p>
    <w:p w14:paraId="36000000">
      <w:pPr>
        <w:widowControl w:val="1"/>
        <w:tabs>
          <w:tab w:leader="none" w:pos="567" w:val="left"/>
        </w:tabs>
        <w:ind w:firstLine="567" w:right="27"/>
        <w:jc w:val="both"/>
        <w:rPr>
          <w:sz w:val="20"/>
        </w:rPr>
      </w:pPr>
      <w:r>
        <w:rPr>
          <w:sz w:val="20"/>
        </w:rPr>
        <w:t>4.2.1. Заказчик передает Исполнителю Список работников, направляемых на вакцинацию явл</w:t>
      </w:r>
      <w:r>
        <w:rPr>
          <w:sz w:val="20"/>
        </w:rPr>
        <w:t>яющийся неотъемлемой частью Контракта (Приложение № 2 к Контракту).</w:t>
      </w:r>
    </w:p>
    <w:p w14:paraId="37000000">
      <w:pPr>
        <w:widowControl w:val="1"/>
        <w:tabs>
          <w:tab w:leader="none" w:pos="993" w:val="left"/>
        </w:tabs>
        <w:ind w:firstLine="567"/>
        <w:jc w:val="both"/>
      </w:pPr>
      <w:r>
        <w:rPr>
          <w:sz w:val="20"/>
        </w:rPr>
        <w:t>4.2.2. Заказчик гарантирует, что работники организации согласны на вакцинацию. Согласие оформляется соответствующим письменным соглашением между Заказчиком и работником.</w:t>
      </w:r>
    </w:p>
    <w:p w14:paraId="38000000">
      <w:pPr>
        <w:widowControl w:val="1"/>
        <w:tabs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 xml:space="preserve">4.2.3. При отказе </w:t>
      </w:r>
      <w:r>
        <w:rPr>
          <w:sz w:val="20"/>
        </w:rPr>
        <w:t>от вакцинации работнику в доступной для него форме должны быть разъяснены возможные последствия такого отказа. Отказ от вакцинации с указанием возможных последствий также оформляется записью в медицинской документации и подписывается работником.</w:t>
      </w:r>
    </w:p>
    <w:p w14:paraId="39000000">
      <w:pPr>
        <w:widowControl w:val="1"/>
        <w:tabs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>4.2.4. Все</w:t>
      </w:r>
      <w:r>
        <w:rPr>
          <w:sz w:val="20"/>
        </w:rPr>
        <w:t xml:space="preserve"> лица, которым должны проводиться профилактические прививки, предварительно подвергаются осмотру врачом (фельдшером).</w:t>
      </w:r>
    </w:p>
    <w:p w14:paraId="3A000000">
      <w:pPr>
        <w:widowControl w:val="1"/>
        <w:tabs>
          <w:tab w:leader="none" w:pos="993" w:val="left"/>
        </w:tabs>
        <w:ind w:firstLine="567"/>
        <w:jc w:val="both"/>
      </w:pPr>
      <w:r>
        <w:rPr>
          <w:sz w:val="20"/>
        </w:rPr>
        <w:t xml:space="preserve">4.2.5. Вакцинация и ревакцинация в рамках календаря профилактических прививок по эпидемическим показаниям проводится иммунобиологическими </w:t>
      </w:r>
      <w:r>
        <w:rPr>
          <w:sz w:val="20"/>
        </w:rPr>
        <w:t xml:space="preserve">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 </w:t>
      </w:r>
    </w:p>
    <w:p w14:paraId="3B000000">
      <w:pPr>
        <w:widowControl w:val="1"/>
        <w:tabs>
          <w:tab w:leader="none" w:pos="993" w:val="left"/>
        </w:tabs>
        <w:ind w:firstLine="567"/>
        <w:jc w:val="both"/>
      </w:pPr>
      <w:r>
        <w:rPr>
          <w:sz w:val="20"/>
        </w:rPr>
        <w:t>4.3. В случае если документ, указанный в пункте 4.4. Контракта, не</w:t>
      </w:r>
      <w:r>
        <w:rPr>
          <w:sz w:val="20"/>
        </w:rPr>
        <w:t xml:space="preserve"> переданы Исполнителем Заказчику, как результат оказанных Услуг, Услуга считается не оказанной и приемке не подлежит.</w:t>
      </w:r>
    </w:p>
    <w:p w14:paraId="3C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4.4. Приемка результатов оказанных Услуг, осуществляется Заказчиком в течение 10 (десяти) рабочих дней, и оформляется документом об оказан</w:t>
      </w:r>
      <w:r>
        <w:rPr>
          <w:sz w:val="20"/>
        </w:rPr>
        <w:t>ии Услуг, который подписывается представителем Заказчика либо Заказчиком в адрес Исполнителя в срок не позднее 5 (пяти) рабочих дней направляется в письменной форме мотивированный отказ от подписания такого документа.</w:t>
      </w:r>
    </w:p>
    <w:p w14:paraId="3D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4.5. В случае наличия мотивированного </w:t>
      </w:r>
      <w:r>
        <w:rPr>
          <w:sz w:val="20"/>
        </w:rPr>
        <w:t xml:space="preserve">письменного отказа Заказчика от подписания акта </w:t>
      </w:r>
      <w:r>
        <w:rPr>
          <w:sz w:val="20"/>
        </w:rPr>
        <w:t>приемки  оказанных</w:t>
      </w:r>
      <w:r>
        <w:rPr>
          <w:sz w:val="20"/>
        </w:rPr>
        <w:t xml:space="preserve"> Услуг, Стороны в 2-х </w:t>
      </w:r>
      <w:r>
        <w:rPr>
          <w:sz w:val="20"/>
        </w:rPr>
        <w:t>дневный</w:t>
      </w:r>
      <w:r>
        <w:rPr>
          <w:sz w:val="20"/>
        </w:rPr>
        <w:t xml:space="preserve"> срок обязаны определить, перечень замечаний и сроки их устранений, </w:t>
      </w:r>
      <w:r>
        <w:rPr>
          <w:sz w:val="20"/>
        </w:rPr>
        <w:t>если указанные замечания могут быть устранены. После устранения замечаний Заказчик подписывае</w:t>
      </w:r>
      <w:r>
        <w:rPr>
          <w:sz w:val="20"/>
        </w:rPr>
        <w:t>т акт приемки выполненных услуг, 1 (один) экземпляр которого передает Исполнителю.</w:t>
      </w:r>
    </w:p>
    <w:p w14:paraId="3E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4.6. В случае несоответствии Услуг по качеству (в том числе наличию необходимых документов), условиям Контракта, которые невозможно было обнаружить в момент приемки Заказчик</w:t>
      </w:r>
      <w:r>
        <w:rPr>
          <w:sz w:val="20"/>
        </w:rPr>
        <w:t xml:space="preserve"> в течение 3 (трех) календарных дней со дня оказания Услуг уведомляет об этом Исполнителя.</w:t>
      </w:r>
    </w:p>
    <w:p w14:paraId="3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4.7. Исполнитель в течение 5 (пяти) календарных дней со дня получения письменного обращения Заказчика своими силами и за свой счет устраняет недостатки (дефекты) Усл</w:t>
      </w:r>
      <w:r>
        <w:rPr>
          <w:sz w:val="20"/>
        </w:rPr>
        <w:t>уг, в случае если оказание Услуг ненадлежащего качества произошло по вине Исполнителя.</w:t>
      </w:r>
    </w:p>
    <w:p w14:paraId="4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4.8.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</w:t>
      </w:r>
      <w:r>
        <w:rPr>
          <w:sz w:val="20"/>
        </w:rPr>
        <w:t>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14:paraId="41000000">
      <w:pPr>
        <w:widowControl w:val="1"/>
        <w:ind w:firstLine="567"/>
        <w:jc w:val="both"/>
        <w:rPr>
          <w:sz w:val="20"/>
        </w:rPr>
      </w:pPr>
    </w:p>
    <w:p w14:paraId="42000000">
      <w:pPr>
        <w:widowControl w:val="1"/>
        <w:ind w:firstLine="540"/>
        <w:jc w:val="center"/>
        <w:rPr>
          <w:b w:val="1"/>
          <w:sz w:val="20"/>
        </w:rPr>
      </w:pPr>
      <w:r>
        <w:rPr>
          <w:b w:val="1"/>
          <w:sz w:val="20"/>
        </w:rPr>
        <w:t>5. Кач</w:t>
      </w:r>
      <w:r>
        <w:rPr>
          <w:b w:val="1"/>
          <w:sz w:val="20"/>
        </w:rPr>
        <w:t>ество услуг</w:t>
      </w:r>
    </w:p>
    <w:p w14:paraId="43000000">
      <w:pPr>
        <w:widowControl w:val="1"/>
        <w:tabs>
          <w:tab w:leader="none" w:pos="567" w:val="left"/>
        </w:tabs>
        <w:ind w:firstLine="567" w:right="27"/>
        <w:jc w:val="both"/>
        <w:rPr>
          <w:sz w:val="20"/>
        </w:rPr>
      </w:pPr>
    </w:p>
    <w:p w14:paraId="44000000">
      <w:pPr>
        <w:widowControl w:val="1"/>
        <w:tabs>
          <w:tab w:leader="none" w:pos="567" w:val="left"/>
        </w:tabs>
        <w:ind w:firstLine="567" w:right="27"/>
        <w:jc w:val="both"/>
        <w:rPr>
          <w:sz w:val="20"/>
        </w:rPr>
      </w:pPr>
      <w:r>
        <w:rPr>
          <w:sz w:val="20"/>
        </w:rPr>
        <w:t>5.1. Оказание Услуг должно соответствовать Спецификации (Приложение № 1 к Контракту), которая является неотъемлемой частью настоящего Контракта.</w:t>
      </w:r>
    </w:p>
    <w:p w14:paraId="45000000">
      <w:pPr>
        <w:pStyle w:val="Style_2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5.2. Исполнитель обязуется оказать Услуги в полном объеме, в строгом соответствии с требованиями,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указанными в Спецификации (Приложение № 1 к Контракту).</w:t>
      </w:r>
    </w:p>
    <w:p w14:paraId="46000000">
      <w:pPr>
        <w:pStyle w:val="Style_2"/>
        <w:widowControl w:val="1"/>
        <w:tabs>
          <w:tab w:leader="none" w:pos="5855" w:val="left"/>
        </w:tabs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Привлекать к оказанию Услуг по настоящему Контракту квалифицированный персонал, имеющий опыт работы в соответствующей сфере.</w:t>
      </w:r>
    </w:p>
    <w:p w14:paraId="47000000">
      <w:pPr>
        <w:pStyle w:val="Style_3"/>
        <w:widowControl w:val="1"/>
        <w:spacing w:after="0" w:line="240" w:lineRule="auto"/>
        <w:ind w:firstLine="567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5.4.</w:t>
      </w:r>
      <w:r>
        <w:rPr>
          <w:rStyle w:val="Style_2_ch"/>
          <w:rFonts w:ascii="Times New Roman" w:hAnsi="Times New Roman"/>
          <w:sz w:val="20"/>
        </w:rPr>
        <w:t xml:space="preserve"> Оказание Услуг осуществляется согласно Федерального закона от 17</w:t>
      </w:r>
      <w:r>
        <w:rPr>
          <w:rStyle w:val="Style_2_ch"/>
          <w:rFonts w:ascii="Times New Roman" w:hAnsi="Times New Roman"/>
          <w:sz w:val="20"/>
        </w:rPr>
        <w:t xml:space="preserve"> сентября 1998 г. № 157-</w:t>
      </w:r>
      <w:r>
        <w:rPr>
          <w:rStyle w:val="Style_2_ch"/>
          <w:rFonts w:ascii="Times New Roman" w:hAnsi="Times New Roman"/>
          <w:sz w:val="20"/>
        </w:rPr>
        <w:t>ФЗ</w:t>
      </w:r>
      <w:r>
        <w:rPr>
          <w:rStyle w:val="Style_2_ch"/>
          <w:rFonts w:ascii="Times New Roman" w:hAnsi="Times New Roman"/>
          <w:sz w:val="20"/>
        </w:rPr>
        <w:br/>
      </w:r>
      <w:r>
        <w:rPr>
          <w:rStyle w:val="Style_2_ch"/>
          <w:rFonts w:ascii="Times New Roman" w:hAnsi="Times New Roman"/>
          <w:sz w:val="20"/>
        </w:rPr>
        <w:t>«</w:t>
      </w:r>
      <w:r>
        <w:rPr>
          <w:rStyle w:val="Style_2_ch"/>
          <w:rFonts w:ascii="Times New Roman" w:hAnsi="Times New Roman"/>
          <w:sz w:val="20"/>
        </w:rPr>
        <w:t>Об иммунопрофилактике инфекционных болезней», приказа Минздрава России от 06.12.2021 № 1122н «Об утверждении национального календаря профилактических прививок, календаря профилактических прививок по эпидемическим показаниям и по</w:t>
      </w:r>
      <w:r>
        <w:rPr>
          <w:rStyle w:val="Style_2_ch"/>
          <w:rFonts w:ascii="Times New Roman" w:hAnsi="Times New Roman"/>
          <w:sz w:val="20"/>
        </w:rPr>
        <w:t>рядка проведения профилактических прививок». Качество оказываемых Услуг должно соответствовать установленным требованиям законодательства Российской Федерации, государственным стандартам</w:t>
      </w:r>
      <w:r>
        <w:rPr>
          <w:rFonts w:ascii="Times New Roman" w:hAnsi="Times New Roman"/>
          <w:sz w:val="20"/>
        </w:rPr>
        <w:t>.</w:t>
      </w:r>
    </w:p>
    <w:p w14:paraId="48000000">
      <w:pPr>
        <w:pStyle w:val="Style_3"/>
        <w:widowControl w:val="1"/>
        <w:spacing w:after="0" w:line="240" w:lineRule="auto"/>
        <w:ind w:firstLine="567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5.5. Материалы, изделия и оборудование, используемые при оказании Ус</w:t>
      </w:r>
      <w:r>
        <w:rPr>
          <w:rFonts w:ascii="Times New Roman" w:hAnsi="Times New Roman"/>
          <w:sz w:val="20"/>
        </w:rPr>
        <w:t xml:space="preserve">луг должны соответствовать требованиям ГОСТ, должны быть новыми, без дефектов, ранее не находившимся в эксплуатации, Исполнитель предоставляет Заказчику документы, подтверждающие их качество и безопасность в соответствии с действующим законодательством РФ </w:t>
      </w:r>
      <w:r>
        <w:rPr>
          <w:rFonts w:ascii="Times New Roman" w:hAnsi="Times New Roman"/>
          <w:sz w:val="20"/>
        </w:rPr>
        <w:t>(паспорта, сертификаты соответствия, сертификаты пожарной безопасности и санитарно-эпидемиологические заключения на материалы, изделия и оборудование).</w:t>
      </w:r>
    </w:p>
    <w:p w14:paraId="49000000">
      <w:pPr>
        <w:pStyle w:val="Style_3"/>
        <w:widowControl w:val="1"/>
        <w:spacing w:after="0" w:line="240" w:lineRule="auto"/>
        <w:ind w:firstLine="567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5.6. Гарантийный срок, в течение которого Исполнитель обязуется своими силами и за свой счет исправить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>ыявленные</w:t>
      </w:r>
      <w:r>
        <w:rPr>
          <w:rFonts w:ascii="Times New Roman" w:hAnsi="Times New Roman"/>
          <w:sz w:val="20"/>
        </w:rPr>
        <w:t xml:space="preserve"> отступления (нарушения) от условий Контракта или иные недостатки, влияющие на качество оказанных им Услуг (скрытые недостатки), указаны в Спецификации (Приложение № 1 к Контракту).</w:t>
      </w:r>
    </w:p>
    <w:p w14:paraId="4A000000">
      <w:pPr>
        <w:pStyle w:val="Style_1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5.7. Заказчик не несет материальной ответственности за сохранность материалов, оборудования и инструмента Услуги. </w:t>
      </w:r>
    </w:p>
    <w:p w14:paraId="4B000000">
      <w:pPr>
        <w:widowControl w:val="1"/>
        <w:ind w:firstLine="540"/>
        <w:jc w:val="center"/>
        <w:rPr>
          <w:b w:val="1"/>
          <w:sz w:val="20"/>
        </w:rPr>
      </w:pPr>
    </w:p>
    <w:p w14:paraId="4C000000">
      <w:pPr>
        <w:widowControl w:val="1"/>
        <w:ind w:firstLine="540"/>
        <w:jc w:val="center"/>
        <w:rPr>
          <w:b w:val="1"/>
          <w:sz w:val="20"/>
        </w:rPr>
      </w:pPr>
      <w:r>
        <w:rPr>
          <w:b w:val="1"/>
          <w:sz w:val="20"/>
        </w:rPr>
        <w:t>6. Имущественная ответственность Сторон</w:t>
      </w:r>
    </w:p>
    <w:p w14:paraId="4D000000">
      <w:pPr>
        <w:widowControl w:val="1"/>
        <w:ind w:firstLine="567"/>
        <w:jc w:val="both"/>
        <w:rPr>
          <w:sz w:val="20"/>
        </w:rPr>
      </w:pPr>
    </w:p>
    <w:p w14:paraId="4E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6.1. Стороны несут ответственность за неисполнение или ненадлежащее исполнение своих обязательств п</w:t>
      </w:r>
      <w:r>
        <w:rPr>
          <w:sz w:val="20"/>
        </w:rPr>
        <w:t>о Контракту в соответствии с действующим законодательством Российской Федерации.</w:t>
      </w:r>
    </w:p>
    <w:p w14:paraId="4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требования Стороны.</w:t>
      </w:r>
    </w:p>
    <w:p w14:paraId="5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6.3. Ответственность Заказчика:</w:t>
      </w:r>
    </w:p>
    <w:p w14:paraId="51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6.3.1. В случае просрочки исполнени</w:t>
      </w:r>
      <w:r>
        <w:rPr>
          <w:sz w:val="20"/>
        </w:rPr>
        <w:t>я Заказчиком обязательств, предусмотренных Контрактом, Исполнитель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</w:t>
      </w:r>
      <w:r>
        <w:rPr>
          <w:sz w:val="20"/>
        </w:rPr>
        <w:t>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Федерации от не уплаченной в срок суммы.</w:t>
      </w:r>
    </w:p>
    <w:p w14:paraId="52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6.3.2. За каждый факт неисполнения Заказчико</w:t>
      </w:r>
      <w:r>
        <w:rPr>
          <w:rFonts w:ascii="Times New Roman" w:hAnsi="Times New Roman"/>
          <w:sz w:val="20"/>
        </w:rPr>
        <w:t>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 1 000 (одной тысячи) руб. 00 коп.</w:t>
      </w:r>
    </w:p>
    <w:p w14:paraId="53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6.3.3. Общая сумма начисленной неустойки (штр</w:t>
      </w:r>
      <w:r>
        <w:rPr>
          <w:rFonts w:ascii="Times New Roman" w:hAnsi="Times New Roman"/>
          <w:sz w:val="20"/>
        </w:rPr>
        <w:t>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6.4. Заказчик отвечает за своевременную приемку и оплату оказанных по Контракту Услуг.</w:t>
      </w:r>
    </w:p>
    <w:p w14:paraId="55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6.5. Ответственность Исполнителя:</w:t>
      </w:r>
    </w:p>
    <w:p w14:paraId="56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6.5.1. В</w:t>
      </w:r>
      <w:r>
        <w:rPr>
          <w:rFonts w:ascii="Times New Roman" w:hAnsi="Times New Roman"/>
          <w:sz w:val="20"/>
        </w:rPr>
        <w:t xml:space="preserve"> случае просрочки Исполнителем обязательств по оказанию Услуг, предусмотренных Контрактом, а также нарушения срока устранения недостатков, Заказчик вправе потребовать уплаты пени. Пеня начисляется за каждый день просрочки и устанавливается в размере не мен</w:t>
      </w:r>
      <w:r>
        <w:rPr>
          <w:rFonts w:ascii="Times New Roman" w:hAnsi="Times New Roman"/>
          <w:sz w:val="20"/>
        </w:rPr>
        <w:t xml:space="preserve">ее одной трехсотой действующей на дату уплаты пени ключевой ставки Центрального банка Российской Федерации от цены Контракта, </w:t>
      </w:r>
      <w:r>
        <w:rPr>
          <w:rFonts w:ascii="Times New Roman" w:hAnsi="Times New Roman"/>
          <w:sz w:val="20"/>
        </w:rPr>
        <w:t>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57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6.5.</w:t>
      </w:r>
      <w:r>
        <w:rPr>
          <w:rFonts w:ascii="Times New Roman" w:hAnsi="Times New Roman"/>
          <w:sz w:val="20"/>
        </w:rPr>
        <w:t>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Заказчик вправе потребовать уплаты штрафа в размере 10 % от цены Контракта (этапа), указанн</w:t>
      </w:r>
      <w:r>
        <w:rPr>
          <w:rFonts w:ascii="Times New Roman" w:hAnsi="Times New Roman"/>
          <w:sz w:val="20"/>
        </w:rPr>
        <w:t>ой в п. 3.1. Контракта.</w:t>
      </w:r>
    </w:p>
    <w:p w14:paraId="58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6.5.3.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Исполнитель обязан выплатить Заказчику штраф в размере 1 000 (одной тыся</w:t>
      </w:r>
      <w:r>
        <w:rPr>
          <w:rFonts w:ascii="Times New Roman" w:hAnsi="Times New Roman"/>
          <w:sz w:val="20"/>
        </w:rPr>
        <w:t>чи) руб. 00 коп.</w:t>
      </w:r>
    </w:p>
    <w:p w14:paraId="59000000">
      <w:pPr>
        <w:widowControl w:val="1"/>
        <w:tabs>
          <w:tab w:leader="none" w:pos="851" w:val="left"/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>6.5.4.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A000000">
      <w:pPr>
        <w:widowControl w:val="1"/>
        <w:tabs>
          <w:tab w:leader="none" w:pos="851" w:val="left"/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>6.6.</w:t>
      </w:r>
      <w:r>
        <w:rPr>
          <w:sz w:val="20"/>
        </w:rPr>
        <w:tab/>
      </w:r>
      <w:r>
        <w:rPr>
          <w:sz w:val="20"/>
        </w:rPr>
        <w:t xml:space="preserve">В случае нарушения Исполнителем </w:t>
      </w:r>
      <w:r>
        <w:rPr>
          <w:sz w:val="20"/>
        </w:rPr>
        <w:t>обязательств по Контракту Заказчик вправе удержать с согласия Исполнителя начисленную за данное нарушение неустойку из суммы, подлежащей уплате Исполнителю за оказанные Услуги.</w:t>
      </w:r>
    </w:p>
    <w:p w14:paraId="5B000000">
      <w:pPr>
        <w:widowControl w:val="1"/>
        <w:tabs>
          <w:tab w:leader="none" w:pos="851" w:val="left"/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>Получатель:</w:t>
      </w:r>
    </w:p>
    <w:p w14:paraId="5C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ФКОУ ВО Пермский институт ФСИН России</w:t>
      </w:r>
    </w:p>
    <w:p w14:paraId="5D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ИНН: 5905267176 КПП 590501001</w:t>
      </w:r>
      <w:r>
        <w:rPr>
          <w:sz w:val="20"/>
        </w:rPr>
        <w:t xml:space="preserve"> УФК по Пермскому краю (ФКОУ ВО Пермский институт ФСИН России, л/с 05561885300) в ОКЦ №3 УГУ Банка России//УФК по Пермскому краю г. Пермь </w:t>
      </w:r>
    </w:p>
    <w:p w14:paraId="5E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БИК 015773997</w:t>
      </w:r>
    </w:p>
    <w:p w14:paraId="5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Р/с 03212643000000015600</w:t>
      </w:r>
    </w:p>
    <w:p w14:paraId="6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Кор/с 40102810145370000048</w:t>
      </w:r>
    </w:p>
    <w:p w14:paraId="61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КБК 32011610051019000140</w:t>
      </w:r>
    </w:p>
    <w:p w14:paraId="62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При этом Исполнитель долже</w:t>
      </w:r>
      <w:r>
        <w:rPr>
          <w:sz w:val="20"/>
        </w:rPr>
        <w:t>н быть уведомлен о факте удержания, сумме и основаниях начисления неустойки в течение 3 (трех) рабочих дней.</w:t>
      </w:r>
    </w:p>
    <w:p w14:paraId="63000000">
      <w:pPr>
        <w:widowControl w:val="1"/>
        <w:tabs>
          <w:tab w:leader="none" w:pos="851" w:val="left"/>
          <w:tab w:leader="none" w:pos="993" w:val="left"/>
        </w:tabs>
        <w:ind w:firstLine="567"/>
        <w:jc w:val="both"/>
        <w:rPr>
          <w:sz w:val="20"/>
        </w:rPr>
      </w:pPr>
      <w:r>
        <w:rPr>
          <w:sz w:val="20"/>
        </w:rPr>
        <w:t>6.7. Исполнитель отвечает за своевременное оказание Услуг, за объем, за качество и соответствие оказанных Услуг условиям Контракта.</w:t>
      </w:r>
    </w:p>
    <w:p w14:paraId="64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6.8. Сторона ос</w:t>
      </w:r>
      <w:r>
        <w:rPr>
          <w:sz w:val="20"/>
        </w:rPr>
        <w:t>вобождается от уплаты (штрафов,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14:paraId="65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6.9. Уплата неустойки (пени, штрафа) не освобожд</w:t>
      </w:r>
      <w:r>
        <w:rPr>
          <w:rFonts w:ascii="Times New Roman" w:hAnsi="Times New Roman"/>
          <w:sz w:val="20"/>
        </w:rPr>
        <w:t>ает Сторону от исполнения или ненадлежащего исполнения обязательств, установленных Контрактом.</w:t>
      </w:r>
    </w:p>
    <w:p w14:paraId="66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67000000">
      <w:pPr>
        <w:widowControl w:val="1"/>
        <w:ind w:firstLine="567"/>
        <w:jc w:val="center"/>
        <w:rPr>
          <w:b w:val="1"/>
          <w:sz w:val="20"/>
        </w:rPr>
      </w:pPr>
      <w:r>
        <w:rPr>
          <w:b w:val="1"/>
          <w:sz w:val="20"/>
        </w:rPr>
        <w:t>7. Изменение, расторжение Контракта</w:t>
      </w:r>
    </w:p>
    <w:p w14:paraId="68000000">
      <w:pPr>
        <w:pStyle w:val="Style_5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69000000">
      <w:pPr>
        <w:pStyle w:val="Style_5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7.1. Изменение существенных условий Контракта при его исполнении не допускается, за исключением случаев, предусмотренных Фе</w:t>
      </w:r>
      <w:r>
        <w:rPr>
          <w:rFonts w:ascii="Times New Roman" w:hAnsi="Times New Roman"/>
          <w:sz w:val="20"/>
        </w:rPr>
        <w:t>деральным законом от 05.04.2013 № 44-ФЗ «О контрактной системе в сфере закупок товаров, работ, услуг для государственных и муниципальных нужд».</w:t>
      </w:r>
    </w:p>
    <w:p w14:paraId="6A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7.2. По согласованию Исполнителя с Заказчиком допускается оказание Услуг, качество функциональные характеристики</w:t>
      </w:r>
      <w:r>
        <w:rPr>
          <w:rFonts w:ascii="Times New Roman" w:hAnsi="Times New Roman"/>
          <w:sz w:val="20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6B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7.3. Расторжение настоящего Контракта допускается по соглашению Сторон, по решению суда или в связи с односто</w:t>
      </w:r>
      <w:r>
        <w:rPr>
          <w:rFonts w:ascii="Times New Roman" w:hAnsi="Times New Roman"/>
          <w:sz w:val="20"/>
        </w:rPr>
        <w:t>ронним отказом стороны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Федерального закона от 05.04.2013 № 44-ФЗ «О контрактной системе в сфере закупок това</w:t>
      </w:r>
      <w:r>
        <w:rPr>
          <w:rFonts w:ascii="Times New Roman" w:hAnsi="Times New Roman"/>
          <w:sz w:val="20"/>
        </w:rPr>
        <w:t xml:space="preserve">ров, работ, услуг для государственных и муниципальных нужд». </w:t>
      </w:r>
    </w:p>
    <w:p w14:paraId="6C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7.4. В случае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</w:t>
      </w:r>
      <w:r>
        <w:rPr>
          <w:rFonts w:ascii="Times New Roman" w:hAnsi="Times New Roman"/>
          <w:sz w:val="20"/>
        </w:rPr>
        <w:t>казчиком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6D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7.5</w:t>
      </w:r>
      <w:r>
        <w:rPr>
          <w:rFonts w:ascii="Times New Roman" w:hAnsi="Times New Roman"/>
          <w:sz w:val="20"/>
        </w:rPr>
        <w:t>. Заказчик вправе принять решение об одностороннем отказе от исполнения настоящего Контракта в следующих случаях:</w:t>
      </w:r>
    </w:p>
    <w:p w14:paraId="6E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7.5.1. Оказание Услуг ненадлежащего качества с недостатками, которые не могут быть устранены в приемлемый для Заказчика в срок, установленный </w:t>
      </w:r>
      <w:r>
        <w:rPr>
          <w:rFonts w:ascii="Times New Roman" w:hAnsi="Times New Roman"/>
          <w:sz w:val="20"/>
        </w:rPr>
        <w:t>п. 4.7. Контракта.</w:t>
      </w:r>
    </w:p>
    <w:p w14:paraId="6F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7.5.2. Оказание Услуг с нарушением условий Контракта.</w:t>
      </w:r>
    </w:p>
    <w:p w14:paraId="70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7.5.3. Неоднократного нарушения сроков Оказание Услуг Исполнителем.</w:t>
      </w:r>
    </w:p>
    <w:p w14:paraId="71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7.5.4. Отказа Исполнителя передать Заказчику результат оказанных Услуг или принадлежности к ним/документы, </w:t>
      </w:r>
      <w:r>
        <w:rPr>
          <w:rFonts w:ascii="Times New Roman" w:hAnsi="Times New Roman"/>
          <w:sz w:val="20"/>
        </w:rPr>
        <w:t>относящиеся к Услугам.</w:t>
      </w:r>
    </w:p>
    <w:p w14:paraId="72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7.5.5. Существенного нарушения Исполнителем требований к оказанию Услуг,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14:paraId="73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7.5.6. В иных случаях, </w:t>
      </w:r>
      <w:r>
        <w:rPr>
          <w:rFonts w:ascii="Times New Roman" w:hAnsi="Times New Roman"/>
          <w:sz w:val="20"/>
        </w:rPr>
        <w:t>предусмотренных гражданским законодательством Российской Федерации;</w:t>
      </w:r>
    </w:p>
    <w:p w14:paraId="74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7.6. Исполнитель вправе принять решение об одностороннем отказе от исполнения настоящего Контракта в следующих случаях:</w:t>
      </w:r>
    </w:p>
    <w:p w14:paraId="75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7.6.1. Неоднократного нарушения Заказчиком сроков оплаты за оказанны</w:t>
      </w:r>
      <w:r>
        <w:rPr>
          <w:rFonts w:ascii="Times New Roman" w:hAnsi="Times New Roman"/>
          <w:sz w:val="20"/>
        </w:rPr>
        <w:t>е Услуги.</w:t>
      </w:r>
    </w:p>
    <w:p w14:paraId="76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7.6.2. Неоднократного необоснованного уклонения Заказчиком от принятия Услуг.</w:t>
      </w:r>
    </w:p>
    <w:p w14:paraId="77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7.7. 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</w:t>
      </w:r>
      <w:r>
        <w:rPr>
          <w:rFonts w:ascii="Times New Roman" w:hAnsi="Times New Roman"/>
          <w:sz w:val="20"/>
        </w:rPr>
        <w:t>мления Заказчиком Исполнителя об одностороннем отказе от исполнения Контракта.</w:t>
      </w:r>
    </w:p>
    <w:p w14:paraId="78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7.8. Заказчик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уведомлен</w:t>
      </w:r>
      <w:r>
        <w:rPr>
          <w:rFonts w:ascii="Times New Roman" w:hAnsi="Times New Roman"/>
          <w:sz w:val="20"/>
        </w:rPr>
        <w:t>ия Исполнителя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79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7.9. Если в результате издания акта органа государственной власти Российской Фе</w:t>
      </w:r>
      <w:r>
        <w:rPr>
          <w:rFonts w:ascii="Times New Roman" w:hAnsi="Times New Roman"/>
          <w:sz w:val="20"/>
        </w:rPr>
        <w:t>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7A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7.10.  При расторжении настоящего Контракта в связи с односторонним отказом Сторо</w:t>
      </w:r>
      <w:r>
        <w:rPr>
          <w:rFonts w:ascii="Times New Roman" w:hAnsi="Times New Roman"/>
          <w:sz w:val="20"/>
        </w:rPr>
        <w:t xml:space="preserve">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>
        <w:rPr>
          <w:rFonts w:ascii="Times New Roman" w:hAnsi="Times New Roman"/>
          <w:sz w:val="20"/>
        </w:rPr>
        <w:t>об одностороннем отказе от исполнения настоящего Контракта.</w:t>
      </w:r>
    </w:p>
    <w:p w14:paraId="7B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7C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7D000000">
      <w:pPr>
        <w:widowControl w:val="1"/>
        <w:ind w:firstLine="567"/>
        <w:jc w:val="center"/>
        <w:rPr>
          <w:b w:val="1"/>
          <w:sz w:val="20"/>
        </w:rPr>
      </w:pPr>
      <w:r>
        <w:rPr>
          <w:b w:val="1"/>
          <w:sz w:val="20"/>
        </w:rPr>
        <w:t xml:space="preserve">8. Форс-мажорные условия </w:t>
      </w:r>
    </w:p>
    <w:p w14:paraId="7E000000">
      <w:pPr>
        <w:widowControl w:val="1"/>
        <w:ind w:firstLine="567"/>
        <w:jc w:val="center"/>
        <w:rPr>
          <w:b w:val="1"/>
          <w:sz w:val="20"/>
        </w:rPr>
      </w:pPr>
    </w:p>
    <w:p w14:paraId="7F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8.1.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</w:t>
      </w:r>
      <w:r>
        <w:rPr>
          <w:sz w:val="20"/>
        </w:rPr>
        <w:t>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</w:t>
      </w:r>
      <w:r>
        <w:rPr>
          <w:sz w:val="20"/>
        </w:rPr>
        <w:t>а, не зависящие от воли Сторон.</w:t>
      </w:r>
    </w:p>
    <w:p w14:paraId="8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Указанные события должны носить чрезвычайный, непредвиденный </w:t>
      </w:r>
      <w:r>
        <w:rPr>
          <w:sz w:val="20"/>
        </w:rPr>
        <w:t>и  непредотвратимый</w:t>
      </w:r>
      <w:r>
        <w:rPr>
          <w:sz w:val="20"/>
        </w:rPr>
        <w:t xml:space="preserve"> характер, возникнуть после заключения Контракта и не зависеть от воли Сторон.</w:t>
      </w:r>
    </w:p>
    <w:p w14:paraId="81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8.2. При наступлении обстоятельств непреодолимой силы Сторона дол</w:t>
      </w:r>
      <w:r>
        <w:rPr>
          <w:sz w:val="20"/>
        </w:rPr>
        <w:t>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</w:t>
      </w:r>
      <w:r>
        <w:rPr>
          <w:sz w:val="20"/>
        </w:rPr>
        <w:t xml:space="preserve"> и срок исполнения обязательств.</w:t>
      </w:r>
    </w:p>
    <w:p w14:paraId="82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8.3.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</w:t>
      </w:r>
      <w:r>
        <w:rPr>
          <w:sz w:val="20"/>
        </w:rPr>
        <w:t>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83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8.4. Сторона должна в течение разумного срока передать другой Стороне сертифик</w:t>
      </w:r>
      <w:r>
        <w:rPr>
          <w:sz w:val="20"/>
        </w:rPr>
        <w:t>ат торгово-промышленной палаты или иного компетентного органа или организации о наличии форс-мажорных обстоятельств.</w:t>
      </w:r>
    </w:p>
    <w:p w14:paraId="84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исполнения Сторонами обязательств по настоящему Контракту отодвигается соразмер</w:t>
      </w:r>
      <w:r>
        <w:rPr>
          <w:sz w:val="20"/>
        </w:rPr>
        <w:t>но времени, в течение которого действовали такие обстоятельства и их последствия.</w:t>
      </w:r>
    </w:p>
    <w:p w14:paraId="85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8.6. Если форс-мажорные обстоятельства и их последствия продолжают действовать более 6 (шести) месяцев или </w:t>
      </w:r>
      <w:r>
        <w:rPr>
          <w:sz w:val="20"/>
        </w:rPr>
        <w:t>они</w:t>
      </w:r>
      <w:r>
        <w:rPr>
          <w:sz w:val="20"/>
        </w:rPr>
        <w:t xml:space="preserve"> или их последствия будут действовать более этого срока, Стороны</w:t>
      </w:r>
      <w:r>
        <w:rPr>
          <w:sz w:val="20"/>
        </w:rPr>
        <w:t xml:space="preserve">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86000000">
      <w:pPr>
        <w:widowControl w:val="1"/>
        <w:ind w:firstLine="567"/>
        <w:jc w:val="both"/>
        <w:rPr>
          <w:sz w:val="20"/>
        </w:rPr>
      </w:pPr>
    </w:p>
    <w:p w14:paraId="87000000">
      <w:pPr>
        <w:widowControl w:val="1"/>
        <w:ind w:firstLine="567"/>
        <w:jc w:val="center"/>
        <w:rPr>
          <w:b w:val="1"/>
          <w:sz w:val="20"/>
        </w:rPr>
      </w:pPr>
      <w:r>
        <w:rPr>
          <w:b w:val="1"/>
          <w:sz w:val="20"/>
        </w:rPr>
        <w:t>9. Порядок разрешения споров</w:t>
      </w:r>
    </w:p>
    <w:p w14:paraId="88000000">
      <w:pPr>
        <w:widowControl w:val="1"/>
        <w:ind w:firstLine="567"/>
        <w:jc w:val="center"/>
        <w:rPr>
          <w:b w:val="1"/>
          <w:sz w:val="20"/>
        </w:rPr>
      </w:pPr>
    </w:p>
    <w:p w14:paraId="89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9.1. Претензионный порядок досудебного урег</w:t>
      </w:r>
      <w:r>
        <w:rPr>
          <w:sz w:val="20"/>
        </w:rPr>
        <w:t>улирования споров, вытекающих из Контракта, является для Сторон обязательным.</w:t>
      </w:r>
    </w:p>
    <w:p w14:paraId="8A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9.2. Стороны договорились, что претензия может быть направлена одним из способов: электронной почтой, по адресам электронной почты, указанным в п. 12 Контракта (с последующим </w:t>
      </w:r>
      <w:r>
        <w:rPr>
          <w:sz w:val="20"/>
        </w:rPr>
        <w:t xml:space="preserve">предоставлением оригиналов документов), курьерской доставкой, нарочным либо заказным почтовым отправлением с уведомлением о вручении последнего адресату по местонахождению Сторон. </w:t>
      </w:r>
    </w:p>
    <w:p w14:paraId="8B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9.3. Срок рассмотрения претензионного письма и направления ответа на него с</w:t>
      </w:r>
      <w:r>
        <w:rPr>
          <w:sz w:val="20"/>
        </w:rPr>
        <w:t>оставляет 5 (пять) рабочих дней со дня получения последнего адресатом.</w:t>
      </w:r>
    </w:p>
    <w:p w14:paraId="8C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9.4. В случае </w:t>
      </w:r>
      <w:r>
        <w:rPr>
          <w:rFonts w:ascii="Times New Roman" w:hAnsi="Times New Roman"/>
          <w:sz w:val="20"/>
        </w:rPr>
        <w:t>неурегулирования</w:t>
      </w:r>
      <w:r>
        <w:rPr>
          <w:rFonts w:ascii="Times New Roman" w:hAnsi="Times New Roman"/>
          <w:sz w:val="20"/>
        </w:rPr>
        <w:t xml:space="preserve"> споров и разногласий в претензионном порядке они передаются на рассмотрение в Арбитражный суд по месту нахождения истца в порядке, предусмотренном законод</w:t>
      </w:r>
      <w:r>
        <w:rPr>
          <w:rFonts w:ascii="Times New Roman" w:hAnsi="Times New Roman"/>
          <w:sz w:val="20"/>
        </w:rPr>
        <w:t>ательством Российской Федерации.</w:t>
      </w:r>
    </w:p>
    <w:p w14:paraId="8D000000">
      <w:pPr>
        <w:pStyle w:val="Style_4"/>
        <w:widowControl w:val="1"/>
        <w:ind w:firstLine="567"/>
        <w:jc w:val="both"/>
        <w:rPr>
          <w:rFonts w:ascii="Times New Roman" w:hAnsi="Times New Roman"/>
          <w:sz w:val="20"/>
        </w:rPr>
      </w:pPr>
    </w:p>
    <w:p w14:paraId="8E000000">
      <w:pPr>
        <w:widowControl w:val="1"/>
        <w:ind w:firstLine="567"/>
        <w:jc w:val="center"/>
        <w:rPr>
          <w:b w:val="1"/>
          <w:sz w:val="20"/>
        </w:rPr>
      </w:pPr>
      <w:r>
        <w:rPr>
          <w:b w:val="1"/>
          <w:sz w:val="20"/>
        </w:rPr>
        <w:t>10. Срок действия Контракта</w:t>
      </w:r>
    </w:p>
    <w:p w14:paraId="8F000000">
      <w:pPr>
        <w:widowControl w:val="1"/>
        <w:ind w:firstLine="567"/>
        <w:jc w:val="center"/>
        <w:rPr>
          <w:b w:val="1"/>
          <w:sz w:val="20"/>
        </w:rPr>
      </w:pPr>
    </w:p>
    <w:p w14:paraId="90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10.1. Настоящий Контракт вступает в силу с даты его заключения обеими Сторонами и действует по «____» ____________ 202_ г., а в части неисполненных обязательств - до полного их исполнения Сторо</w:t>
      </w:r>
      <w:r>
        <w:rPr>
          <w:sz w:val="20"/>
        </w:rPr>
        <w:t>нами.</w:t>
      </w:r>
      <w:r>
        <w:rPr>
          <w:i w:val="1"/>
          <w:sz w:val="20"/>
        </w:rPr>
        <w:t xml:space="preserve"> / 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и действует по «______» _________________ 202_ г</w:t>
      </w:r>
      <w:r>
        <w:rPr>
          <w:sz w:val="20"/>
        </w:rPr>
        <w:t>. Окончание срока д</w:t>
      </w:r>
      <w:r>
        <w:rPr>
          <w:sz w:val="20"/>
        </w:rPr>
        <w:t>ействия настоящего Контракта не влечет прекращения неисполненных обязательств Сторон по настоящему Контракту.</w:t>
      </w:r>
      <w:r>
        <w:rPr>
          <w:i w:val="1"/>
          <w:sz w:val="20"/>
        </w:rPr>
        <w:t xml:space="preserve"> </w:t>
      </w:r>
    </w:p>
    <w:p w14:paraId="91000000">
      <w:pPr>
        <w:widowControl w:val="1"/>
        <w:ind/>
        <w:jc w:val="both"/>
        <w:rPr>
          <w:sz w:val="20"/>
        </w:rPr>
      </w:pPr>
    </w:p>
    <w:p w14:paraId="92000000">
      <w:pPr>
        <w:widowControl w:val="1"/>
        <w:ind w:firstLine="567"/>
        <w:jc w:val="center"/>
        <w:rPr>
          <w:b w:val="1"/>
          <w:sz w:val="20"/>
        </w:rPr>
      </w:pPr>
      <w:r>
        <w:rPr>
          <w:b w:val="1"/>
          <w:sz w:val="20"/>
        </w:rPr>
        <w:t>11. Прочие условия</w:t>
      </w:r>
    </w:p>
    <w:p w14:paraId="93000000">
      <w:pPr>
        <w:widowControl w:val="1"/>
        <w:ind w:firstLine="567"/>
        <w:jc w:val="center"/>
        <w:rPr>
          <w:b w:val="1"/>
          <w:sz w:val="20"/>
        </w:rPr>
      </w:pPr>
    </w:p>
    <w:p w14:paraId="94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11.1. Любые изменения и дополнения по Контракту вступают в силу и становятся его неотъемлемыми частями, только если они сове</w:t>
      </w:r>
      <w:r>
        <w:rPr>
          <w:sz w:val="20"/>
        </w:rPr>
        <w:t xml:space="preserve">ршены в письменной форме, подписаны уполномоченными представителями обеих Сторон и содержат ссылку на Контракт./ </w:t>
      </w:r>
      <w:r>
        <w:rPr>
          <w:i w:val="1"/>
          <w:sz w:val="20"/>
        </w:rPr>
        <w:t>Любые изменения и дополнения по Контракту вступают в силу и становятся его неотъемлемыми частями, только если они подписаны усиленной квалифици</w:t>
      </w:r>
      <w:r>
        <w:rPr>
          <w:i w:val="1"/>
          <w:sz w:val="20"/>
        </w:rPr>
        <w:t>рованной электронной подписью лица, имеющего право действовать от имени Заказчика, считаются заключенным в день его размещения в ЕАТ Березка и вступает в силу с момента  подписания</w:t>
      </w:r>
      <w:r>
        <w:rPr>
          <w:i w:val="1"/>
          <w:sz w:val="21"/>
        </w:rPr>
        <w:t>.</w:t>
      </w:r>
    </w:p>
    <w:p w14:paraId="95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11.2. Стороны обязуются незамедлительно информировать друг друга о возникш</w:t>
      </w:r>
      <w:r>
        <w:rPr>
          <w:sz w:val="20"/>
        </w:rPr>
        <w:t>их затруднениях, которые могут привести к невыполнению отдельных условий Контракта, для согласования и принятия необходимых мер.</w:t>
      </w:r>
    </w:p>
    <w:p w14:paraId="96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11.3. Стороны признают, что, если какое-либо из положений Контракта становится недействительным в течение срока его действия вс</w:t>
      </w:r>
      <w:r>
        <w:rPr>
          <w:sz w:val="20"/>
        </w:rPr>
        <w:t>ледствие изменения законодательства, остальные положения Контракта обязательны для Сторон в течение срока действия Контракта.</w:t>
      </w:r>
    </w:p>
    <w:p w14:paraId="97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11.4. В случае изменения банковских реквизитов, адресов, номеров телефона, иных реквизитов, Стороны обязаны в течение 5 (пяти) раб</w:t>
      </w:r>
      <w:r>
        <w:rPr>
          <w:sz w:val="20"/>
        </w:rPr>
        <w:t>очих дней в письменной форме извещать друг друга с указанием новых реквизитов. В части оплаты все риски, связанные с перечислением Заказчиком денежных средств по указанным в Контракте реквизитам Исполнителя, несет Исполнитель.</w:t>
      </w:r>
    </w:p>
    <w:p w14:paraId="98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 xml:space="preserve">11.5. Во всем остальном, что </w:t>
      </w:r>
      <w:r>
        <w:rPr>
          <w:sz w:val="20"/>
        </w:rPr>
        <w:t>не предусмотрено Контрактом, Стороны руководствуются действующим законодательством Российской Федерации.</w:t>
      </w:r>
    </w:p>
    <w:p w14:paraId="99000000">
      <w:pPr>
        <w:widowControl w:val="1"/>
        <w:ind w:firstLine="567"/>
        <w:jc w:val="both"/>
        <w:rPr>
          <w:i w:val="1"/>
          <w:sz w:val="20"/>
        </w:rPr>
      </w:pPr>
      <w:r>
        <w:rPr>
          <w:i w:val="1"/>
          <w:sz w:val="20"/>
        </w:rPr>
        <w:t>11.6.</w:t>
      </w:r>
      <w:r>
        <w:rPr>
          <w:i w:val="1"/>
        </w:rPr>
        <w:t xml:space="preserve"> </w:t>
      </w:r>
      <w:r>
        <w:rPr>
          <w:i w:val="1"/>
          <w:sz w:val="20"/>
        </w:rPr>
        <w:t xml:space="preserve">Контракт составлен в 2 (двух) подлинных экземплярах на русском языке, по одному для каждой из Сторон.  </w:t>
      </w:r>
    </w:p>
    <w:p w14:paraId="9A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11.7.</w:t>
      </w:r>
      <w:r>
        <w:rPr>
          <w:i w:val="1"/>
          <w:sz w:val="20"/>
        </w:rPr>
        <w:t xml:space="preserve"> </w:t>
      </w:r>
      <w:r>
        <w:rPr>
          <w:sz w:val="20"/>
        </w:rPr>
        <w:t>Перечисленные ниже документы образу</w:t>
      </w:r>
      <w:r>
        <w:rPr>
          <w:sz w:val="20"/>
        </w:rPr>
        <w:t>ют приложение к настоящему Контракту и являются его неотъемлемой частью:</w:t>
      </w:r>
    </w:p>
    <w:p w14:paraId="9B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1. Спецификация на ___ л.</w:t>
      </w:r>
    </w:p>
    <w:p w14:paraId="9C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2. Список работников на ___л.</w:t>
      </w:r>
    </w:p>
    <w:p w14:paraId="9D000000">
      <w:pPr>
        <w:widowControl w:val="1"/>
        <w:ind w:firstLine="567"/>
        <w:jc w:val="both"/>
        <w:rPr>
          <w:sz w:val="20"/>
        </w:rPr>
      </w:pPr>
      <w:r>
        <w:rPr>
          <w:sz w:val="20"/>
        </w:rPr>
        <w:t>3. Копия лицензии на осуществление медицинской деятельности на __л.</w:t>
      </w:r>
    </w:p>
    <w:p w14:paraId="9E000000">
      <w:pPr>
        <w:widowControl w:val="1"/>
        <w:ind w:firstLine="567"/>
        <w:jc w:val="both"/>
        <w:rPr>
          <w:sz w:val="20"/>
        </w:rPr>
      </w:pPr>
    </w:p>
    <w:p w14:paraId="9F000000">
      <w:pPr>
        <w:widowControl w:val="1"/>
        <w:ind w:firstLine="540"/>
        <w:jc w:val="center"/>
        <w:rPr>
          <w:b w:val="1"/>
          <w:sz w:val="20"/>
        </w:rPr>
      </w:pPr>
      <w:r>
        <w:rPr>
          <w:b w:val="1"/>
          <w:sz w:val="20"/>
        </w:rPr>
        <w:t xml:space="preserve">12. Юридические адреса, банковские реквизиты </w:t>
      </w:r>
    </w:p>
    <w:p w14:paraId="A0000000">
      <w:pPr>
        <w:widowControl w:val="1"/>
        <w:ind w:firstLine="540"/>
        <w:jc w:val="center"/>
        <w:rPr>
          <w:b w:val="1"/>
          <w:sz w:val="20"/>
        </w:rPr>
      </w:pPr>
      <w:r>
        <w:rPr>
          <w:b w:val="1"/>
          <w:sz w:val="20"/>
        </w:rPr>
        <w:t xml:space="preserve">Сторон на </w:t>
      </w:r>
      <w:r>
        <w:rPr>
          <w:b w:val="1"/>
          <w:sz w:val="20"/>
        </w:rPr>
        <w:t>момент заключения Контракта</w:t>
      </w:r>
    </w:p>
    <w:p w14:paraId="A1000000">
      <w:pPr>
        <w:widowControl w:val="1"/>
        <w:ind w:firstLine="540"/>
        <w:jc w:val="center"/>
        <w:rPr>
          <w:b w:val="1"/>
          <w:sz w:val="20"/>
        </w:rPr>
      </w:pPr>
    </w:p>
    <w:tbl>
      <w:tblPr>
        <w:tblStyle w:val="Style_6"/>
        <w:tblW w:type="auto" w:w="0"/>
        <w:tblLayout w:type="fixed"/>
      </w:tblPr>
      <w:tblGrid>
        <w:gridCol w:w="4989"/>
        <w:gridCol w:w="81"/>
        <w:gridCol w:w="4534"/>
        <w:gridCol w:w="374"/>
      </w:tblGrid>
      <w:tr>
        <w:trPr>
          <w:trHeight w:hRule="atLeast" w:val="567"/>
        </w:trPr>
        <w:tc>
          <w:tcPr>
            <w:tcW w:type="dxa" w:w="4989"/>
            <w:shd w:fill="auto" w:val="clear"/>
          </w:tcPr>
          <w:p w14:paraId="A2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b w:val="1"/>
                <w:sz w:val="20"/>
              </w:rPr>
              <w:t>Заказчик</w:t>
            </w:r>
          </w:p>
          <w:p w14:paraId="A3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14:paraId="A4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14:paraId="A5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14:paraId="A6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14:paraId="A7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14:paraId="A8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03561885300) </w:t>
            </w:r>
          </w:p>
          <w:p w14:paraId="A9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r>
              <w:rPr>
                <w:sz w:val="20"/>
              </w:rPr>
              <w:t>СибГУ</w:t>
            </w:r>
            <w:r>
              <w:rPr>
                <w:sz w:val="20"/>
              </w:rPr>
              <w:t xml:space="preserve"> Банка России / </w:t>
            </w:r>
            <w:r>
              <w:rPr>
                <w:sz w:val="20"/>
              </w:rPr>
              <w:t>УФК  по</w:t>
            </w:r>
            <w:r>
              <w:rPr>
                <w:sz w:val="20"/>
              </w:rPr>
              <w:t xml:space="preserve"> Новосибирской области, г. Новосибирск</w:t>
            </w:r>
          </w:p>
          <w:p w14:paraId="AA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14:paraId="AB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14:paraId="AC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type="dxa" w:w="4989"/>
            <w:gridSpan w:val="3"/>
            <w:shd w:fill="auto" w:val="clear"/>
          </w:tcPr>
          <w:p w14:paraId="AD000000">
            <w:pPr>
              <w:rPr>
                <w:sz w:val="20"/>
              </w:rPr>
            </w:pPr>
            <w:r>
              <w:rPr>
                <w:b w:val="1"/>
                <w:i w:val="1"/>
                <w:sz w:val="20"/>
              </w:rPr>
              <w:t>Исполнитель</w:t>
            </w:r>
          </w:p>
          <w:p w14:paraId="AE000000">
            <w:pPr>
              <w:widowControl w:val="0"/>
              <w:ind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Наименование И</w:t>
            </w:r>
            <w:r>
              <w:rPr>
                <w:b w:val="1"/>
                <w:i w:val="1"/>
                <w:sz w:val="20"/>
              </w:rPr>
              <w:t>сполнителя</w:t>
            </w:r>
          </w:p>
          <w:p w14:paraId="AF000000">
            <w:pPr>
              <w:widowControl w:val="0"/>
              <w:tabs>
                <w:tab w:leader="none" w:pos="360" w:val="left"/>
              </w:tabs>
              <w:ind w:right="-31"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Место нахождения (адрес, указанный в выписке из </w:t>
            </w:r>
            <w:r>
              <w:rPr>
                <w:b w:val="1"/>
                <w:i w:val="1"/>
                <w:sz w:val="20"/>
              </w:rPr>
              <w:t>ЕГРЮЛ)/</w:t>
            </w:r>
            <w:r>
              <w:rPr>
                <w:b w:val="1"/>
                <w:i w:val="1"/>
                <w:sz w:val="20"/>
              </w:rPr>
              <w:t xml:space="preserve"> Место регистрации (адрес, указанный в паспорте физического лица)</w:t>
            </w:r>
          </w:p>
          <w:p w14:paraId="B0000000">
            <w:pPr>
              <w:widowControl w:val="0"/>
              <w:tabs>
                <w:tab w:leader="none" w:pos="360" w:val="left"/>
              </w:tabs>
              <w:ind w:right="-31"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Почтовый адрес</w:t>
            </w:r>
          </w:p>
          <w:p w14:paraId="B1000000">
            <w:pPr>
              <w:widowControl w:val="0"/>
              <w:tabs>
                <w:tab w:leader="none" w:pos="360" w:val="left"/>
              </w:tabs>
              <w:ind w:right="-31"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Телефон / факс</w:t>
            </w:r>
          </w:p>
          <w:p w14:paraId="B2000000">
            <w:pPr>
              <w:widowControl w:val="0"/>
              <w:tabs>
                <w:tab w:leader="none" w:pos="360" w:val="left"/>
              </w:tabs>
              <w:ind w:right="-31"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ИНН / КПП</w:t>
            </w:r>
          </w:p>
          <w:p w14:paraId="B3000000">
            <w:pPr>
              <w:widowControl w:val="0"/>
              <w:ind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Все банковские реквизиты</w:t>
            </w:r>
          </w:p>
          <w:p w14:paraId="B4000000">
            <w:pPr>
              <w:widowControl w:val="0"/>
              <w:ind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ОГРН, ОКПО, ОКОПФ, ОКФС, ОКПО и т.д.</w:t>
            </w:r>
          </w:p>
          <w:p w14:paraId="B5000000">
            <w:pPr>
              <w:widowControl w:val="0"/>
              <w:ind/>
              <w:jc w:val="both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Адрес электронной почт</w:t>
            </w:r>
            <w:r>
              <w:rPr>
                <w:b w:val="1"/>
                <w:i w:val="1"/>
                <w:sz w:val="20"/>
              </w:rPr>
              <w:t>ы</w:t>
            </w:r>
          </w:p>
          <w:p w14:paraId="B6000000">
            <w:pPr>
              <w:widowControl w:val="0"/>
              <w:ind/>
              <w:jc w:val="both"/>
              <w:rPr>
                <w:b w:val="1"/>
                <w:i w:val="1"/>
                <w:sz w:val="20"/>
              </w:rPr>
            </w:pPr>
          </w:p>
          <w:p w14:paraId="B7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* Все сведения заносятся на основании </w:t>
            </w:r>
            <w:r>
              <w:rPr>
                <w:b w:val="1"/>
                <w:i w:val="1"/>
                <w:sz w:val="20"/>
              </w:rPr>
              <w:t>сведений</w:t>
            </w:r>
            <w:r>
              <w:rPr>
                <w:b w:val="1"/>
                <w:i w:val="1"/>
                <w:sz w:val="20"/>
              </w:rPr>
              <w:t xml:space="preserve"> внесенных в ЕГРЮЛ, ЕГРИП, ИФНС и т.д.</w:t>
            </w:r>
          </w:p>
        </w:tc>
      </w:tr>
      <w:tr>
        <w:trPr>
          <w:trHeight w:hRule="atLeast" w:val="1791"/>
        </w:trPr>
        <w:tc>
          <w:tcPr>
            <w:tcW w:type="dxa" w:w="4989"/>
            <w:shd w:fill="auto" w:val="clear"/>
          </w:tcPr>
          <w:p w14:paraId="B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14:paraId="B9000000">
            <w:pPr>
              <w:widowControl w:val="0"/>
              <w:ind/>
              <w:rPr>
                <w:sz w:val="20"/>
              </w:rPr>
            </w:pPr>
          </w:p>
          <w:p w14:paraId="BA000000">
            <w:pPr>
              <w:widowControl w:val="0"/>
              <w:ind/>
              <w:rPr>
                <w:sz w:val="20"/>
              </w:rPr>
            </w:pPr>
          </w:p>
          <w:p w14:paraId="BB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___________________   ______________</w:t>
            </w:r>
          </w:p>
          <w:p w14:paraId="BC000000">
            <w:pPr>
              <w:widowControl w:val="1"/>
              <w:ind/>
              <w:jc w:val="both"/>
              <w:rPr>
                <w:sz w:val="20"/>
              </w:rPr>
            </w:pPr>
          </w:p>
          <w:p w14:paraId="BD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14:paraId="BE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type="dxa" w:w="4989"/>
            <w:gridSpan w:val="3"/>
            <w:shd w:fill="auto" w:val="clear"/>
          </w:tcPr>
          <w:p w14:paraId="BF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14:paraId="C0000000">
            <w:pPr>
              <w:widowControl w:val="0"/>
              <w:ind/>
              <w:rPr>
                <w:sz w:val="20"/>
              </w:rPr>
            </w:pPr>
          </w:p>
          <w:p w14:paraId="C1000000">
            <w:pPr>
              <w:widowControl w:val="0"/>
              <w:ind/>
              <w:rPr>
                <w:sz w:val="20"/>
              </w:rPr>
            </w:pPr>
          </w:p>
          <w:p w14:paraId="C2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___________________   ______________</w:t>
            </w:r>
          </w:p>
          <w:p w14:paraId="C3000000">
            <w:pPr>
              <w:widowControl w:val="0"/>
              <w:ind/>
              <w:rPr>
                <w:sz w:val="20"/>
              </w:rPr>
            </w:pPr>
          </w:p>
          <w:p w14:paraId="C4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14:paraId="C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«___» </w:t>
            </w:r>
            <w:r>
              <w:rPr>
                <w:sz w:val="20"/>
              </w:rPr>
              <w:t>_________________ 2026 г.</w:t>
            </w:r>
          </w:p>
        </w:tc>
      </w:tr>
      <w:tr>
        <w:tc>
          <w:tcPr>
            <w:tcW w:type="dxa" w:w="5070"/>
            <w:gridSpan w:val="2"/>
          </w:tcPr>
          <w:p w14:paraId="C6000000">
            <w:pPr>
              <w:widowControl w:val="0"/>
              <w:ind/>
              <w:jc w:val="both"/>
            </w:pPr>
          </w:p>
        </w:tc>
        <w:tc>
          <w:tcPr>
            <w:tcW w:type="dxa" w:w="4534"/>
          </w:tcPr>
          <w:p w14:paraId="C7000000">
            <w:pPr>
              <w:widowControl w:val="0"/>
              <w:tabs>
                <w:tab w:leader="none" w:pos="360" w:val="left"/>
              </w:tabs>
              <w:ind/>
              <w:jc w:val="both"/>
              <w:rPr>
                <w:b w:val="1"/>
                <w:i w:val="1"/>
                <w:sz w:val="20"/>
              </w:rPr>
            </w:pPr>
          </w:p>
        </w:tc>
        <w:tc>
          <w:tcPr>
            <w:tcW w:type="dxa" w:w="374"/>
          </w:tcPr>
          <w:p/>
        </w:tc>
      </w:tr>
      <w:tr>
        <w:tc>
          <w:tcPr>
            <w:tcW w:type="dxa" w:w="5070"/>
            <w:gridSpan w:val="2"/>
          </w:tcPr>
          <w:p w14:paraId="C8000000">
            <w:pPr>
              <w:widowControl w:val="0"/>
              <w:ind/>
              <w:jc w:val="both"/>
            </w:pPr>
          </w:p>
        </w:tc>
        <w:tc>
          <w:tcPr>
            <w:tcW w:type="dxa" w:w="4534"/>
          </w:tcPr>
          <w:p w14:paraId="C9000000">
            <w:pPr>
              <w:rPr>
                <w:sz w:val="14"/>
              </w:rPr>
            </w:pPr>
          </w:p>
        </w:tc>
        <w:tc>
          <w:tcPr>
            <w:tcW w:type="dxa" w:w="374"/>
          </w:tcPr>
          <w:p/>
        </w:tc>
      </w:tr>
    </w:tbl>
    <w:p w14:paraId="CA000000">
      <w:pPr>
        <w:widowControl w:val="1"/>
        <w:ind w:left="6123"/>
        <w:jc w:val="both"/>
        <w:rPr>
          <w:sz w:val="20"/>
        </w:rPr>
      </w:pPr>
      <w:r>
        <w:rPr>
          <w:sz w:val="20"/>
        </w:rPr>
        <w:t>Приложение № 1</w:t>
      </w:r>
    </w:p>
    <w:p w14:paraId="CB000000">
      <w:pPr>
        <w:widowControl w:val="1"/>
        <w:ind w:left="6123"/>
        <w:rPr>
          <w:sz w:val="20"/>
        </w:rPr>
      </w:pPr>
      <w:r>
        <w:rPr>
          <w:sz w:val="20"/>
        </w:rPr>
        <w:t xml:space="preserve">к государственному контракту </w:t>
      </w:r>
    </w:p>
    <w:p w14:paraId="CC000000">
      <w:pPr>
        <w:widowControl w:val="1"/>
        <w:ind w:left="6123"/>
      </w:pPr>
      <w:r>
        <w:rPr>
          <w:sz w:val="20"/>
        </w:rPr>
        <w:t>№ _____ от «____» __________ 2026 г.</w:t>
      </w:r>
    </w:p>
    <w:p w14:paraId="CD000000">
      <w:pPr>
        <w:widowControl w:val="1"/>
        <w:ind w:left="7200"/>
        <w:jc w:val="right"/>
        <w:rPr>
          <w:sz w:val="20"/>
        </w:rPr>
      </w:pPr>
    </w:p>
    <w:p w14:paraId="CE000000">
      <w:pPr>
        <w:widowControl w:val="0"/>
        <w:ind/>
        <w:jc w:val="center"/>
        <w:rPr>
          <w:b w:val="1"/>
          <w:sz w:val="20"/>
        </w:rPr>
      </w:pPr>
      <w:r>
        <w:rPr>
          <w:b w:val="1"/>
          <w:sz w:val="20"/>
        </w:rPr>
        <w:t>Спецификация</w:t>
      </w:r>
    </w:p>
    <w:p w14:paraId="CF000000">
      <w:pPr>
        <w:widowControl w:val="0"/>
        <w:ind/>
        <w:rPr>
          <w:b w:val="1"/>
          <w:sz w:val="20"/>
        </w:rPr>
      </w:pPr>
    </w:p>
    <w:tbl>
      <w:tblPr>
        <w:tblStyle w:val="Style_6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1"/>
        <w:gridCol w:w="1558"/>
        <w:gridCol w:w="3686"/>
        <w:gridCol w:w="568"/>
        <w:gridCol w:w="992"/>
        <w:gridCol w:w="1134"/>
        <w:gridCol w:w="1137"/>
      </w:tblGrid>
      <w:tr>
        <w:trPr>
          <w:trHeight w:hRule="atLeast" w:val="495"/>
        </w:trPr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п.п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услуг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Характеристика Услуги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D3000000">
            <w:pPr>
              <w:widowControl w:val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Цена</w:t>
            </w:r>
          </w:p>
          <w:p w14:paraId="D6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за ед.,</w:t>
            </w:r>
          </w:p>
          <w:p w14:paraId="D7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учета </w:t>
            </w:r>
            <w:r>
              <w:rPr>
                <w:i w:val="1"/>
                <w:sz w:val="20"/>
              </w:rPr>
              <w:t>НДС / с НДС__%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color w:val="000000"/>
                <w:sz w:val="21"/>
              </w:rPr>
              <w:t>Сумма, руб.</w:t>
            </w:r>
          </w:p>
        </w:tc>
      </w:tr>
      <w:tr>
        <w:trPr>
          <w:trHeight w:hRule="atLeast" w:val="495"/>
        </w:trPr>
        <w:tc>
          <w:tcPr>
            <w:tcW w:type="dxa" w:w="4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type="dxa" w:w="1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r>
              <w:rPr>
                <w:sz w:val="21"/>
              </w:rPr>
              <w:t>У</w:t>
            </w:r>
            <w:r>
              <w:rPr>
                <w:sz w:val="21"/>
              </w:rPr>
              <w:t xml:space="preserve">слуги по проведению вакцинации работников ФКОУ ВО Пермский институт ФСИН России 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  <w:sz w:val="21"/>
              </w:rPr>
              <w:t>Против брюшного тифа</w:t>
            </w:r>
          </w:p>
          <w:p w14:paraId="DC000000">
            <w:pPr>
              <w:widowControl w:val="0"/>
              <w:ind/>
              <w:jc w:val="both"/>
              <w:rPr>
                <w:sz w:val="21"/>
              </w:rPr>
            </w:pPr>
            <w:r>
              <w:rPr>
                <w:sz w:val="21"/>
              </w:rPr>
              <w:t>После вакцинации формируется устойчивый иммунитет сроком минимум на 3 года.</w:t>
            </w:r>
          </w:p>
        </w:tc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Усл</w:t>
            </w:r>
            <w:r>
              <w:rPr>
                <w:sz w:val="20"/>
              </w:rPr>
              <w:t>. ед.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0"/>
                <w:highlight w:val="yellow"/>
              </w:rPr>
            </w:pPr>
          </w:p>
        </w:tc>
      </w:tr>
      <w:tr>
        <w:trPr>
          <w:trHeight w:hRule="atLeast" w:val="834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ind/>
              <w:rPr>
                <w:sz w:val="21"/>
              </w:rPr>
            </w:pPr>
            <w:r>
              <w:rPr>
                <w:b w:val="1"/>
                <w:sz w:val="21"/>
              </w:rPr>
              <w:t>Против вирусного гепатита А</w:t>
            </w:r>
          </w:p>
          <w:p w14:paraId="E2000000">
            <w:pPr>
              <w:widowControl w:val="0"/>
              <w:ind/>
              <w:rPr>
                <w:sz w:val="21"/>
              </w:rPr>
            </w:pPr>
            <w:r>
              <w:rPr>
                <w:sz w:val="21"/>
              </w:rPr>
              <w:t xml:space="preserve">После вакцинации иммунитет </w:t>
            </w:r>
            <w:r>
              <w:rPr>
                <w:sz w:val="21"/>
              </w:rPr>
              <w:t>сохраняется на 10-20 лет.</w:t>
            </w:r>
          </w:p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</w:pPr>
            <w: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971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tbl>
            <w:tblPr>
              <w:tblStyle w:val="Style_6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686"/>
            </w:tblGrid>
            <w:tr>
              <w:trPr>
                <w:trHeight w:hRule="atLeast" w:val="495"/>
              </w:trPr>
              <w:tc>
                <w:tcPr>
                  <w:tcW w:type="dxa" w:w="368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E6000000">
                  <w:pPr>
                    <w:widowControl w:val="0"/>
                    <w:ind/>
                    <w:jc w:val="both"/>
                    <w:rPr>
                      <w:sz w:val="21"/>
                    </w:rPr>
                  </w:pPr>
                  <w:r>
                    <w:rPr>
                      <w:b w:val="1"/>
                      <w:sz w:val="21"/>
                    </w:rPr>
                    <w:t xml:space="preserve">Против </w:t>
                  </w:r>
                  <w:r>
                    <w:rPr>
                      <w:b w:val="1"/>
                      <w:sz w:val="21"/>
                    </w:rPr>
                    <w:t>шигеллёзов</w:t>
                  </w:r>
                </w:p>
                <w:p w14:paraId="E7000000">
                  <w:pPr>
                    <w:widowControl w:val="0"/>
                    <w:ind/>
                    <w:jc w:val="both"/>
                    <w:rPr>
                      <w:sz w:val="21"/>
                    </w:rPr>
                  </w:pPr>
                  <w:r>
                    <w:rPr>
                      <w:sz w:val="21"/>
                    </w:rPr>
                    <w:t xml:space="preserve">После вакцинации на протяжении 1 года сохраняется хороший </w:t>
                  </w:r>
                  <w:r>
                    <w:rPr>
                      <w:sz w:val="21"/>
                    </w:rPr>
                    <w:t>противошигеллезный</w:t>
                  </w:r>
                  <w:r>
                    <w:rPr>
                      <w:sz w:val="21"/>
                    </w:rPr>
                    <w:t xml:space="preserve"> иммунитет.</w:t>
                  </w:r>
                </w:p>
              </w:tc>
            </w:tr>
            <w:tr>
              <w:trPr>
                <w:trHeight w:hRule="atLeast" w:val="834"/>
              </w:trPr>
              <w:tc>
                <w:tcPr>
                  <w:tcW w:type="dxa" w:w="368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E8000000">
                  <w:pPr>
                    <w:widowControl w:val="0"/>
                    <w:ind/>
                    <w:rPr>
                      <w:sz w:val="21"/>
                    </w:rPr>
                  </w:pPr>
                  <w:r>
                    <w:rPr>
                      <w:b w:val="1"/>
                      <w:sz w:val="21"/>
                    </w:rPr>
                    <w:t>Против вирусного гепатита В</w:t>
                  </w:r>
                </w:p>
                <w:p w14:paraId="E9000000">
                  <w:pPr>
                    <w:widowControl w:val="0"/>
                    <w:ind/>
                    <w:rPr>
                      <w:sz w:val="21"/>
                    </w:rPr>
                  </w:pPr>
                  <w:r>
                    <w:rPr>
                      <w:sz w:val="21"/>
                    </w:rPr>
                    <w:t>После вакцинации иммунитет сохраняется на 5 лет.</w:t>
                  </w:r>
                </w:p>
              </w:tc>
            </w:tr>
            <w:tr>
              <w:trPr>
                <w:trHeight w:hRule="atLeast" w:val="834"/>
              </w:trPr>
              <w:tc>
                <w:tcPr>
                  <w:tcW w:type="dxa" w:w="368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EA000000">
                  <w:pPr>
                    <w:widowControl w:val="0"/>
                    <w:ind/>
                    <w:jc w:val="both"/>
                    <w:rPr>
                      <w:sz w:val="21"/>
                    </w:rPr>
                  </w:pPr>
                  <w:r>
                    <w:rPr>
                      <w:b w:val="1"/>
                      <w:sz w:val="21"/>
                    </w:rPr>
                    <w:t>АДС-М (дифтерия и столбняк)</w:t>
                  </w:r>
                  <w:r>
                    <w:rPr>
                      <w:sz w:val="21"/>
                    </w:rPr>
                    <w:t xml:space="preserve"> </w:t>
                  </w:r>
                </w:p>
                <w:p w14:paraId="EB000000">
                  <w:pPr>
                    <w:widowControl w:val="0"/>
                    <w:ind/>
                    <w:jc w:val="both"/>
                    <w:rPr>
                      <w:sz w:val="21"/>
                    </w:rPr>
                  </w:pPr>
                  <w:r>
                    <w:rPr>
                      <w:sz w:val="21"/>
                    </w:rPr>
                    <w:t xml:space="preserve">После </w:t>
                  </w:r>
                  <w:r>
                    <w:rPr>
                      <w:sz w:val="21"/>
                    </w:rPr>
                    <w:t>вакцинации иммунитет сохраняется на 10 лет.</w:t>
                  </w:r>
                </w:p>
              </w:tc>
            </w:tr>
            <w:tr>
              <w:trPr>
                <w:trHeight w:hRule="atLeast" w:val="834"/>
              </w:trPr>
              <w:tc>
                <w:tcPr>
                  <w:tcW w:type="dxa" w:w="368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EC000000">
                  <w:pPr>
                    <w:widowControl w:val="0"/>
                    <w:ind/>
                    <w:jc w:val="both"/>
                    <w:rPr>
                      <w:b w:val="1"/>
                      <w:sz w:val="21"/>
                    </w:rPr>
                  </w:pPr>
                  <w:r>
                    <w:rPr>
                      <w:b w:val="1"/>
                      <w:sz w:val="21"/>
                    </w:rPr>
                    <w:t xml:space="preserve">Корь </w:t>
                  </w:r>
                  <w:r>
                    <w:rPr>
                      <w:sz w:val="21"/>
                    </w:rPr>
                    <w:t>(иммунитет на 15 лет).</w:t>
                  </w:r>
                </w:p>
              </w:tc>
            </w:tr>
            <w:tr>
              <w:trPr>
                <w:trHeight w:hRule="atLeast" w:val="834"/>
              </w:trPr>
              <w:tc>
                <w:tcPr>
                  <w:tcW w:type="dxa" w:w="368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ED000000">
                  <w:pPr>
                    <w:widowControl w:val="0"/>
                    <w:ind/>
                    <w:jc w:val="both"/>
                    <w:rPr>
                      <w:b w:val="1"/>
                      <w:sz w:val="21"/>
                    </w:rPr>
                  </w:pPr>
                  <w:r>
                    <w:rPr>
                      <w:b w:val="1"/>
                      <w:sz w:val="21"/>
                    </w:rPr>
                    <w:t xml:space="preserve">Краснуха </w:t>
                  </w:r>
                </w:p>
                <w:p w14:paraId="EE000000">
                  <w:r>
                    <w:rPr>
                      <w:sz w:val="21"/>
                    </w:rPr>
                    <w:t>Вакцина ставится женщинам до 25 лет.</w:t>
                  </w:r>
                </w:p>
              </w:tc>
            </w:tr>
          </w:tbl>
          <w:p w14:paraId="EF000000"/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</w:pPr>
            <w: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845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ind/>
              <w:jc w:val="center"/>
            </w:pPr>
            <w: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815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ind/>
              <w:jc w:val="center"/>
            </w:pPr>
            <w: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860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ind/>
              <w:jc w:val="center"/>
            </w:pPr>
            <w: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200"/>
        </w:trPr>
        <w:tc>
          <w:tcPr>
            <w:tcW w:type="dxa" w:w="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ind/>
              <w:jc w:val="center"/>
            </w:pPr>
            <w: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rPr>
                <w:sz w:val="20"/>
                <w:highlight w:val="yellow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rPr>
                <w:sz w:val="20"/>
                <w:highlight w:val="yellow"/>
              </w:rPr>
            </w:pPr>
          </w:p>
        </w:tc>
      </w:tr>
      <w:tr>
        <w:trPr>
          <w:trHeight w:hRule="atLeast" w:val="359"/>
        </w:trPr>
        <w:tc>
          <w:tcPr>
            <w:tcW w:type="dxa" w:w="835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b w:val="1"/>
                <w:sz w:val="20"/>
              </w:rPr>
            </w:pPr>
          </w:p>
        </w:tc>
      </w:tr>
    </w:tbl>
    <w:p w14:paraId="01010000">
      <w:pPr>
        <w:widowControl w:val="1"/>
        <w:ind w:right="-365"/>
      </w:pPr>
    </w:p>
    <w:p w14:paraId="02010000">
      <w:pPr>
        <w:widowControl w:val="1"/>
        <w:ind w:right="-365"/>
      </w:pPr>
      <w:r>
        <w:rPr>
          <w:sz w:val="21"/>
        </w:rPr>
        <w:t>Итого сумма /прописью/: ________________ (__________________) руб. ___ коп.</w:t>
      </w:r>
    </w:p>
    <w:p w14:paraId="03010000">
      <w:pPr>
        <w:widowControl w:val="0"/>
        <w:ind w:firstLine="720"/>
        <w:jc w:val="center"/>
        <w:rPr>
          <w:sz w:val="20"/>
        </w:rPr>
      </w:pPr>
    </w:p>
    <w:p w14:paraId="04010000">
      <w:pPr>
        <w:widowControl w:val="1"/>
        <w:ind w:left="360"/>
        <w:jc w:val="both"/>
        <w:rPr>
          <w:b w:val="1"/>
          <w:sz w:val="20"/>
        </w:rPr>
      </w:pPr>
      <w:r>
        <w:rPr>
          <w:b w:val="1"/>
          <w:sz w:val="20"/>
        </w:rPr>
        <w:t>Заказчик</w:t>
      </w:r>
    </w:p>
    <w:p w14:paraId="05010000">
      <w:pPr>
        <w:widowControl w:val="1"/>
        <w:ind w:left="360"/>
        <w:jc w:val="both"/>
        <w:rPr>
          <w:b w:val="1"/>
          <w:sz w:val="20"/>
        </w:rPr>
      </w:pPr>
    </w:p>
    <w:p w14:paraId="06010000">
      <w:pPr>
        <w:widowControl w:val="1"/>
        <w:ind w:left="360"/>
        <w:jc w:val="both"/>
        <w:rPr>
          <w:b w:val="1"/>
          <w:sz w:val="20"/>
        </w:rPr>
      </w:pPr>
    </w:p>
    <w:p w14:paraId="07010000">
      <w:pPr>
        <w:widowControl w:val="1"/>
        <w:ind w:firstLine="360"/>
        <w:jc w:val="both"/>
        <w:rPr>
          <w:sz w:val="20"/>
        </w:rPr>
      </w:pPr>
      <w:r>
        <w:rPr>
          <w:sz w:val="21"/>
        </w:rPr>
        <w:t>________________</w:t>
      </w:r>
      <w:r>
        <w:rPr>
          <w:sz w:val="20"/>
        </w:rPr>
        <w:t xml:space="preserve">        ___________________  </w:t>
      </w:r>
      <w:r>
        <w:rPr>
          <w:sz w:val="20"/>
        </w:rPr>
        <w:tab/>
      </w:r>
      <w:r>
        <w:rPr>
          <w:sz w:val="21"/>
        </w:rPr>
        <w:t>______________</w:t>
      </w:r>
    </w:p>
    <w:p w14:paraId="08010000">
      <w:pPr>
        <w:widowControl w:val="1"/>
        <w:ind w:left="3196"/>
        <w:jc w:val="both"/>
        <w:rPr>
          <w:sz w:val="20"/>
        </w:rPr>
      </w:pPr>
      <w:r>
        <w:rPr>
          <w:sz w:val="20"/>
        </w:rPr>
        <w:t xml:space="preserve"> М.П.</w:t>
      </w:r>
    </w:p>
    <w:p w14:paraId="09010000">
      <w:pPr>
        <w:widowControl w:val="1"/>
        <w:ind w:left="360"/>
        <w:jc w:val="both"/>
        <w:rPr>
          <w:b w:val="1"/>
          <w:sz w:val="20"/>
        </w:rPr>
      </w:pPr>
    </w:p>
    <w:p w14:paraId="0A010000">
      <w:pPr>
        <w:widowControl w:val="1"/>
        <w:ind w:left="360"/>
        <w:jc w:val="both"/>
        <w:rPr>
          <w:b w:val="1"/>
          <w:sz w:val="20"/>
        </w:rPr>
      </w:pPr>
    </w:p>
    <w:p w14:paraId="0B010000">
      <w:pPr>
        <w:widowControl w:val="1"/>
        <w:ind w:left="360"/>
        <w:jc w:val="both"/>
        <w:rPr>
          <w:b w:val="1"/>
          <w:sz w:val="20"/>
        </w:rPr>
      </w:pPr>
      <w:r>
        <w:rPr>
          <w:b w:val="1"/>
          <w:sz w:val="20"/>
        </w:rPr>
        <w:t>Исполнитель</w:t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</w:p>
    <w:p w14:paraId="0C010000">
      <w:pPr>
        <w:widowControl w:val="1"/>
        <w:ind w:firstLine="360"/>
        <w:jc w:val="both"/>
        <w:rPr>
          <w:sz w:val="20"/>
        </w:rPr>
      </w:pPr>
      <w:r>
        <w:rPr>
          <w:sz w:val="21"/>
        </w:rPr>
        <w:t>________________</w:t>
      </w:r>
      <w:r>
        <w:rPr>
          <w:sz w:val="20"/>
        </w:rPr>
        <w:t xml:space="preserve">        ___________________  </w:t>
      </w:r>
      <w:r>
        <w:rPr>
          <w:sz w:val="20"/>
        </w:rPr>
        <w:tab/>
      </w:r>
      <w:r>
        <w:rPr>
          <w:sz w:val="21"/>
        </w:rPr>
        <w:t>______________</w:t>
      </w:r>
    </w:p>
    <w:p w14:paraId="0D010000">
      <w:pPr>
        <w:widowControl w:val="1"/>
        <w:ind w:left="3196"/>
        <w:jc w:val="both"/>
        <w:rPr>
          <w:sz w:val="20"/>
        </w:rPr>
      </w:pPr>
      <w:r>
        <w:rPr>
          <w:sz w:val="20"/>
        </w:rPr>
        <w:t xml:space="preserve"> М.П.</w:t>
      </w:r>
    </w:p>
    <w:p w14:paraId="0E010000">
      <w:pPr>
        <w:widowControl w:val="1"/>
        <w:ind w:left="3196"/>
        <w:jc w:val="both"/>
        <w:rPr>
          <w:sz w:val="20"/>
        </w:rPr>
      </w:pPr>
    </w:p>
    <w:p w14:paraId="0F010000">
      <w:pPr>
        <w:widowControl w:val="1"/>
        <w:ind w:left="3196"/>
        <w:jc w:val="both"/>
        <w:rPr>
          <w:sz w:val="20"/>
        </w:rPr>
      </w:pPr>
    </w:p>
    <w:p w14:paraId="10010000">
      <w:pPr>
        <w:widowControl w:val="1"/>
        <w:ind w:left="3196"/>
        <w:jc w:val="both"/>
        <w:rPr>
          <w:sz w:val="20"/>
        </w:rPr>
      </w:pPr>
    </w:p>
    <w:p w14:paraId="11010000">
      <w:pPr>
        <w:widowControl w:val="1"/>
        <w:ind w:left="3196"/>
        <w:jc w:val="both"/>
        <w:rPr>
          <w:sz w:val="20"/>
        </w:rPr>
      </w:pPr>
    </w:p>
    <w:p w14:paraId="12010000">
      <w:pPr>
        <w:widowControl w:val="1"/>
        <w:ind w:left="3196"/>
        <w:jc w:val="both"/>
        <w:rPr>
          <w:sz w:val="20"/>
        </w:rPr>
      </w:pPr>
    </w:p>
    <w:p w14:paraId="13010000">
      <w:pPr>
        <w:widowControl w:val="1"/>
        <w:ind w:left="3196"/>
        <w:jc w:val="both"/>
        <w:rPr>
          <w:sz w:val="20"/>
        </w:rPr>
      </w:pPr>
    </w:p>
    <w:p w14:paraId="14010000">
      <w:pPr>
        <w:widowControl w:val="1"/>
        <w:ind w:left="3196"/>
        <w:jc w:val="both"/>
        <w:rPr>
          <w:sz w:val="20"/>
        </w:rPr>
      </w:pPr>
    </w:p>
    <w:p w14:paraId="15010000">
      <w:pPr>
        <w:widowControl w:val="1"/>
        <w:ind w:left="3196"/>
        <w:jc w:val="both"/>
        <w:rPr>
          <w:sz w:val="20"/>
        </w:rPr>
      </w:pPr>
    </w:p>
    <w:p w14:paraId="16010000">
      <w:pPr>
        <w:widowControl w:val="1"/>
        <w:ind w:left="3196"/>
        <w:jc w:val="both"/>
        <w:rPr>
          <w:sz w:val="20"/>
        </w:rPr>
      </w:pPr>
    </w:p>
    <w:p w14:paraId="17010000">
      <w:pPr>
        <w:widowControl w:val="1"/>
        <w:ind w:left="3196"/>
        <w:jc w:val="both"/>
        <w:rPr>
          <w:sz w:val="20"/>
        </w:rPr>
      </w:pPr>
    </w:p>
    <w:p w14:paraId="18010000">
      <w:pPr>
        <w:widowControl w:val="1"/>
        <w:ind w:hanging="3196" w:left="3196"/>
        <w:jc w:val="both"/>
        <w:rPr>
          <w:sz w:val="20"/>
        </w:rPr>
      </w:pPr>
    </w:p>
    <w:p w14:paraId="19010000">
      <w:pPr>
        <w:widowControl w:val="1"/>
        <w:ind w:left="6123"/>
        <w:jc w:val="both"/>
        <w:rPr>
          <w:sz w:val="20"/>
        </w:rPr>
      </w:pPr>
      <w:r>
        <w:rPr>
          <w:sz w:val="20"/>
        </w:rPr>
        <w:t>Приложение № 2</w:t>
      </w:r>
    </w:p>
    <w:p w14:paraId="1A010000">
      <w:pPr>
        <w:widowControl w:val="1"/>
        <w:ind w:left="6123"/>
        <w:rPr>
          <w:sz w:val="20"/>
        </w:rPr>
      </w:pPr>
      <w:r>
        <w:rPr>
          <w:sz w:val="20"/>
        </w:rPr>
        <w:t xml:space="preserve">к государственному контракту </w:t>
      </w:r>
    </w:p>
    <w:p w14:paraId="1B010000">
      <w:pPr>
        <w:widowControl w:val="1"/>
        <w:ind w:hanging="3196" w:left="3905"/>
        <w:jc w:val="right"/>
        <w:rPr>
          <w:sz w:val="20"/>
        </w:rPr>
      </w:pPr>
      <w:r>
        <w:rPr>
          <w:sz w:val="20"/>
        </w:rPr>
        <w:t>№ _____ от «____» __________ 2026 г.</w:t>
      </w:r>
    </w:p>
    <w:p w14:paraId="1C010000">
      <w:pPr>
        <w:widowControl w:val="1"/>
        <w:ind w:hanging="3196" w:left="3905"/>
        <w:jc w:val="both"/>
        <w:rPr>
          <w:sz w:val="20"/>
        </w:rPr>
      </w:pPr>
    </w:p>
    <w:p w14:paraId="1D010000">
      <w:pPr>
        <w:widowControl w:val="1"/>
        <w:ind/>
        <w:jc w:val="center"/>
      </w:pPr>
      <w:r>
        <w:t>Список лиц, подлежащих вакцинации в ФКОУ ВО Пермский институт</w:t>
      </w:r>
    </w:p>
    <w:p w14:paraId="1E010000">
      <w:pPr>
        <w:widowControl w:val="1"/>
        <w:ind/>
        <w:jc w:val="center"/>
      </w:pPr>
      <w:r>
        <w:t>ФСИН России</w:t>
      </w:r>
    </w:p>
    <w:p w14:paraId="1F010000">
      <w:pPr>
        <w:widowControl w:val="1"/>
        <w:ind w:hanging="3196" w:left="3905"/>
        <w:jc w:val="center"/>
        <w:rPr>
          <w:sz w:val="20"/>
        </w:rPr>
      </w:pP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2"/>
        <w:gridCol w:w="2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0010000">
            <w:pPr>
              <w:widowControl w:val="1"/>
              <w:ind/>
              <w:jc w:val="center"/>
            </w:pPr>
            <w:r>
              <w:t>№ п/п</w:t>
            </w:r>
          </w:p>
          <w:p w14:paraId="21010000">
            <w:pPr>
              <w:widowControl w:val="1"/>
              <w:ind/>
              <w:jc w:val="center"/>
            </w:pP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2010000">
            <w:pPr>
              <w:widowControl w:val="1"/>
              <w:ind/>
              <w:jc w:val="center"/>
            </w:pPr>
            <w:r>
              <w:t>ФИО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3010000">
            <w:pPr>
              <w:widowControl w:val="1"/>
              <w:ind/>
              <w:jc w:val="center"/>
            </w:pPr>
            <w:r>
              <w:t>Брюшной тиф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4010000">
            <w:pPr>
              <w:widowControl w:val="1"/>
              <w:ind/>
              <w:jc w:val="center"/>
            </w:pPr>
            <w:r>
              <w:t>ВГА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5010000">
            <w:pPr>
              <w:widowControl w:val="1"/>
              <w:ind/>
              <w:jc w:val="center"/>
            </w:pPr>
            <w:r>
              <w:t>ВГБ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6010000">
            <w:pPr>
              <w:widowControl w:val="1"/>
              <w:ind/>
              <w:jc w:val="center"/>
            </w:pPr>
            <w:r>
              <w:t>Шигеллез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7010000">
            <w:pPr>
              <w:widowControl w:val="1"/>
              <w:ind/>
              <w:jc w:val="center"/>
            </w:pPr>
            <w:r>
              <w:t>АДС-М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8010000">
            <w:pPr>
              <w:widowControl w:val="1"/>
              <w:ind/>
              <w:jc w:val="center"/>
            </w:pPr>
            <w:r>
              <w:t>Корь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9010000">
            <w:pPr>
              <w:widowControl w:val="1"/>
              <w:ind/>
              <w:jc w:val="center"/>
            </w:pPr>
            <w:r>
              <w:t>Краснуха</w:t>
            </w: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A010000">
            <w:r>
              <w:t>1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B010000">
            <w:r>
              <w:t>Аксаитова</w:t>
            </w:r>
            <w:r>
              <w:t xml:space="preserve"> Е.В.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C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D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E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F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0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1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2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3010000">
            <w:r>
              <w:t>2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4010000">
            <w:r>
              <w:t>Верхоланцева</w:t>
            </w:r>
            <w:r>
              <w:t xml:space="preserve"> А.Н.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5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6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7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8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9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A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B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C010000">
            <w:r>
              <w:t>3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D010000">
            <w:r>
              <w:t>Фатхутдинова</w:t>
            </w:r>
            <w:r>
              <w:t xml:space="preserve"> Т.В.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E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F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0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1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2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3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4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5010000">
            <w:r>
              <w:t>4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6010000">
            <w:r>
              <w:t>Васева</w:t>
            </w:r>
            <w:r>
              <w:t xml:space="preserve"> А.В.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7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8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9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A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B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C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D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E010000">
            <w:r>
              <w:t>5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F010000">
            <w:r>
              <w:t>Аспидова</w:t>
            </w:r>
            <w:r>
              <w:t xml:space="preserve"> Е.С.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0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1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2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3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4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5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6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7010000">
            <w:r>
              <w:t>6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8010000">
            <w:r>
              <w:t>Королева О.А.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9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A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B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C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D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E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F010000">
            <w:pPr>
              <w:widowControl w:val="1"/>
              <w:ind/>
              <w:jc w:val="center"/>
            </w:pPr>
            <w:r>
              <w:t>+</w:t>
            </w: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0010000">
            <w:r>
              <w:t>7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1010000">
            <w:r>
              <w:t>Бушкова Л.А.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2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3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4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5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6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7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8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9010000">
            <w:r>
              <w:t>8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A010000">
            <w:r>
              <w:t>Тютикова</w:t>
            </w:r>
            <w:r>
              <w:t xml:space="preserve"> М.Ю.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B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C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D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E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F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0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1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2010000">
            <w:r>
              <w:t>9</w:t>
            </w:r>
          </w:p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3010000">
            <w:r>
              <w:t>Кирпикова</w:t>
            </w:r>
            <w:r>
              <w:t xml:space="preserve"> М.С.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4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5010000">
            <w:pPr>
              <w:widowControl w:val="1"/>
              <w:ind/>
              <w:jc w:val="center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6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7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8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9010000">
            <w:pPr>
              <w:widowControl w:val="1"/>
              <w:ind/>
              <w:jc w:val="center"/>
            </w:pPr>
            <w:r>
              <w:t>+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A010000">
            <w:pPr>
              <w:widowControl w:val="1"/>
              <w:ind/>
              <w:jc w:val="center"/>
            </w:pPr>
          </w:p>
        </w:tc>
      </w:tr>
      <w:tr>
        <w:trPr>
          <w:trHeight w:hRule="atLeast" w:val="36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/>
        </w:tc>
        <w:tc>
          <w:tcPr>
            <w:tcW w:type="dxa" w:w="2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B010000">
            <w:r>
              <w:t>ИТОГО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C01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D010000">
            <w:pPr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E010000">
            <w:pPr>
              <w:widowControl w:val="1"/>
              <w:ind/>
              <w:jc w:val="center"/>
            </w:pPr>
            <w: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7F010000">
            <w:pPr>
              <w:widowControl w:val="1"/>
              <w:ind/>
              <w:jc w:val="center"/>
            </w:pPr>
            <w:r>
              <w:t>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8001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81010000">
            <w:pPr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82010000">
            <w:pPr>
              <w:widowControl w:val="1"/>
              <w:ind/>
              <w:jc w:val="center"/>
            </w:pPr>
            <w:r>
              <w:t>1</w:t>
            </w:r>
          </w:p>
        </w:tc>
      </w:tr>
    </w:tbl>
    <w:p w14:paraId="83010000">
      <w:pPr>
        <w:widowControl w:val="1"/>
        <w:ind w:hanging="3196" w:left="3905"/>
        <w:jc w:val="both"/>
        <w:rPr>
          <w:sz w:val="20"/>
        </w:rPr>
      </w:pPr>
    </w:p>
    <w:p w14:paraId="84010000">
      <w:pPr>
        <w:widowControl w:val="1"/>
        <w:ind w:left="360"/>
        <w:jc w:val="both"/>
        <w:rPr>
          <w:b w:val="1"/>
          <w:sz w:val="20"/>
        </w:rPr>
      </w:pPr>
      <w:r>
        <w:rPr>
          <w:b w:val="1"/>
          <w:sz w:val="20"/>
        </w:rPr>
        <w:t>Заказчик</w:t>
      </w:r>
    </w:p>
    <w:p w14:paraId="85010000">
      <w:pPr>
        <w:widowControl w:val="1"/>
        <w:ind w:left="360"/>
        <w:jc w:val="both"/>
        <w:rPr>
          <w:b w:val="1"/>
          <w:sz w:val="20"/>
        </w:rPr>
      </w:pPr>
    </w:p>
    <w:p w14:paraId="86010000">
      <w:pPr>
        <w:widowControl w:val="1"/>
        <w:ind w:left="360"/>
        <w:jc w:val="both"/>
        <w:rPr>
          <w:b w:val="1"/>
          <w:sz w:val="20"/>
        </w:rPr>
      </w:pPr>
    </w:p>
    <w:p w14:paraId="87010000">
      <w:pPr>
        <w:widowControl w:val="1"/>
        <w:ind w:firstLine="360"/>
        <w:jc w:val="both"/>
        <w:rPr>
          <w:sz w:val="20"/>
        </w:rPr>
      </w:pPr>
      <w:r>
        <w:rPr>
          <w:sz w:val="21"/>
        </w:rPr>
        <w:t>________________</w:t>
      </w:r>
      <w:r>
        <w:rPr>
          <w:sz w:val="20"/>
        </w:rPr>
        <w:t xml:space="preserve">        ___________________  </w:t>
      </w:r>
      <w:r>
        <w:rPr>
          <w:sz w:val="20"/>
        </w:rPr>
        <w:tab/>
      </w:r>
      <w:r>
        <w:rPr>
          <w:sz w:val="21"/>
        </w:rPr>
        <w:t>______________</w:t>
      </w:r>
    </w:p>
    <w:p w14:paraId="88010000">
      <w:pPr>
        <w:widowControl w:val="1"/>
        <w:ind w:left="3196"/>
        <w:jc w:val="both"/>
        <w:rPr>
          <w:sz w:val="20"/>
        </w:rPr>
      </w:pPr>
      <w:r>
        <w:rPr>
          <w:sz w:val="20"/>
        </w:rPr>
        <w:t xml:space="preserve"> М.П.</w:t>
      </w:r>
    </w:p>
    <w:p w14:paraId="89010000">
      <w:pPr>
        <w:widowControl w:val="1"/>
        <w:ind w:left="360"/>
        <w:jc w:val="both"/>
        <w:rPr>
          <w:b w:val="1"/>
          <w:sz w:val="20"/>
        </w:rPr>
      </w:pPr>
    </w:p>
    <w:p w14:paraId="8A010000">
      <w:pPr>
        <w:widowControl w:val="1"/>
        <w:ind w:left="360"/>
        <w:jc w:val="both"/>
        <w:rPr>
          <w:b w:val="1"/>
          <w:sz w:val="20"/>
        </w:rPr>
      </w:pPr>
    </w:p>
    <w:p w14:paraId="8B010000">
      <w:pPr>
        <w:widowControl w:val="1"/>
        <w:ind w:left="360"/>
        <w:jc w:val="both"/>
        <w:rPr>
          <w:b w:val="1"/>
          <w:sz w:val="20"/>
        </w:rPr>
      </w:pPr>
      <w:r>
        <w:rPr>
          <w:b w:val="1"/>
          <w:sz w:val="20"/>
        </w:rPr>
        <w:t>Исполнитель</w:t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  <w:r>
        <w:rPr>
          <w:b w:val="1"/>
          <w:sz w:val="20"/>
        </w:rPr>
        <w:tab/>
      </w:r>
    </w:p>
    <w:p w14:paraId="8C010000">
      <w:pPr>
        <w:widowControl w:val="1"/>
        <w:ind w:firstLine="360"/>
        <w:jc w:val="both"/>
        <w:rPr>
          <w:sz w:val="20"/>
        </w:rPr>
      </w:pPr>
      <w:r>
        <w:rPr>
          <w:sz w:val="21"/>
        </w:rPr>
        <w:t>________________</w:t>
      </w:r>
      <w:r>
        <w:rPr>
          <w:sz w:val="20"/>
        </w:rPr>
        <w:t xml:space="preserve">        ___________________  </w:t>
      </w:r>
      <w:r>
        <w:rPr>
          <w:sz w:val="20"/>
        </w:rPr>
        <w:tab/>
      </w:r>
      <w:r>
        <w:rPr>
          <w:sz w:val="21"/>
        </w:rPr>
        <w:t>______________</w:t>
      </w:r>
    </w:p>
    <w:p w14:paraId="8D010000">
      <w:pPr>
        <w:widowControl w:val="1"/>
        <w:ind w:left="3196"/>
        <w:jc w:val="both"/>
        <w:rPr>
          <w:sz w:val="20"/>
        </w:rPr>
      </w:pPr>
      <w:r>
        <w:rPr>
          <w:sz w:val="20"/>
        </w:rPr>
        <w:t xml:space="preserve"> М.П.</w:t>
      </w:r>
    </w:p>
    <w:p w14:paraId="8E010000">
      <w:pPr>
        <w:widowControl w:val="1"/>
        <w:ind w:hanging="3196" w:left="3905"/>
        <w:jc w:val="both"/>
        <w:rPr>
          <w:sz w:val="20"/>
        </w:rPr>
      </w:pPr>
      <w:bookmarkStart w:id="1" w:name="_GoBack"/>
      <w:bookmarkEnd w:id="1"/>
    </w:p>
    <w:sectPr>
      <w:pgSz w:h="16838" w:orient="portrait" w:w="11906"/>
      <w:pgMar w:bottom="992" w:footer="0" w:gutter="0" w:header="0" w:left="1701" w:right="709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widowControl w:val="1"/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Содержимое таблицы"/>
    <w:basedOn w:val="Style_7"/>
    <w:link w:val="Style_9_ch"/>
    <w:pPr>
      <w:widowControl w:val="0"/>
      <w:ind/>
    </w:pPr>
  </w:style>
  <w:style w:styleId="Style_9_ch" w:type="character">
    <w:name w:val="Содержимое таблицы"/>
    <w:basedOn w:val="Style_7_ch"/>
    <w:link w:val="Style_9"/>
  </w:style>
  <w:style w:styleId="Style_10" w:type="paragraph">
    <w:name w:val="toc 4"/>
    <w:next w:val="Style_7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Endnote"/>
    <w:link w:val="Style_15_ch"/>
    <w:pPr>
      <w:widowControl w:val="1"/>
      <w:ind w:firstLine="851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7"/>
    <w:link w:val="Style_16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6_ch" w:type="character">
    <w:name w:val="heading 3"/>
    <w:basedOn w:val="Style_7_ch"/>
    <w:link w:val="Style_16"/>
    <w:rPr>
      <w:b w:val="1"/>
      <w:sz w:val="27"/>
    </w:rPr>
  </w:style>
  <w:style w:styleId="Style_17" w:type="paragraph">
    <w:name w:val="Unresolved Mention"/>
    <w:basedOn w:val="Style_18"/>
    <w:link w:val="Style_17_ch"/>
    <w:rPr>
      <w:color w:val="605E5C"/>
      <w:shd w:fill="E1DFDD" w:val="clear"/>
    </w:rPr>
  </w:style>
  <w:style w:styleId="Style_17_ch" w:type="character">
    <w:name w:val="Unresolved Mention"/>
    <w:basedOn w:val="Style_18_ch"/>
    <w:link w:val="Style_17"/>
    <w:rPr>
      <w:color w:val="605E5C"/>
      <w:shd w:fill="E1DFDD" w:val="clear"/>
    </w:rPr>
  </w:style>
  <w:style w:styleId="Style_19" w:type="paragraph">
    <w:name w:val="controls-scroll__content"/>
    <w:link w:val="Style_19_ch"/>
  </w:style>
  <w:style w:styleId="Style_19_ch" w:type="character">
    <w:name w:val="controls-scroll__content"/>
    <w:link w:val="Style_19"/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Нижний колонтитул1"/>
    <w:basedOn w:val="Style_7"/>
    <w:link w:val="Style_21_ch"/>
    <w:pPr>
      <w:widowControl w:val="1"/>
      <w:tabs>
        <w:tab w:leader="none" w:pos="4677" w:val="center"/>
        <w:tab w:leader="none" w:pos="9355" w:val="right"/>
      </w:tabs>
      <w:ind/>
    </w:pPr>
  </w:style>
  <w:style w:styleId="Style_21_ch" w:type="character">
    <w:name w:val="Нижний колонтитул1"/>
    <w:basedOn w:val="Style_7_ch"/>
    <w:link w:val="Style_21"/>
  </w:style>
  <w:style w:styleId="Style_22" w:type="paragraph">
    <w:name w:val="index heading"/>
    <w:basedOn w:val="Style_7"/>
    <w:link w:val="Style_22_ch"/>
  </w:style>
  <w:style w:styleId="Style_22_ch" w:type="character">
    <w:name w:val="index heading"/>
    <w:basedOn w:val="Style_7_ch"/>
    <w:link w:val="Style_22"/>
  </w:style>
  <w:style w:styleId="Style_23" w:type="paragraph">
    <w:name w:val="toc 3"/>
    <w:next w:val="Style_7"/>
    <w:link w:val="Style_23_ch"/>
    <w:uiPriority w:val="39"/>
    <w:pPr>
      <w:widowControl w:val="1"/>
      <w:ind w:left="400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Заголовок1"/>
    <w:basedOn w:val="Style_7"/>
    <w:next w:val="Style_25"/>
    <w:link w:val="Style_24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24_ch" w:type="character">
    <w:name w:val="Заголовок1"/>
    <w:basedOn w:val="Style_7_ch"/>
    <w:link w:val="Style_24"/>
    <w:rPr>
      <w:rFonts w:ascii="Arial" w:hAnsi="Arial"/>
      <w:sz w:val="28"/>
    </w:rPr>
  </w:style>
  <w:style w:styleId="Style_26" w:type="paragraph">
    <w:name w:val="text-secondary"/>
    <w:basedOn w:val="Style_7"/>
    <w:link w:val="Style_26_ch"/>
    <w:pPr>
      <w:widowControl w:val="1"/>
      <w:spacing w:afterAutospacing="on" w:beforeAutospacing="on"/>
      <w:ind/>
    </w:pPr>
  </w:style>
  <w:style w:styleId="Style_26_ch" w:type="character">
    <w:name w:val="text-secondary"/>
    <w:basedOn w:val="Style_7_ch"/>
    <w:link w:val="Style_26"/>
  </w:style>
  <w:style w:styleId="Style_2" w:type="paragraph">
    <w:name w:val="ConsPlusNormal"/>
    <w:link w:val="Style_2_ch"/>
    <w:pPr>
      <w:widowControl w:val="1"/>
      <w:ind w:firstLine="72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27" w:type="paragraph">
    <w:name w:val="Интернет-ссылка"/>
    <w:link w:val="Style_27_ch"/>
    <w:rPr>
      <w:color w:val="000080"/>
      <w:u w:val="single"/>
    </w:rPr>
  </w:style>
  <w:style w:styleId="Style_27_ch" w:type="character">
    <w:name w:val="Интернет-ссылка"/>
    <w:link w:val="Style_27"/>
    <w:rPr>
      <w:color w:val="000080"/>
      <w:u w:val="single"/>
    </w:rPr>
  </w:style>
  <w:style w:styleId="Style_28" w:type="paragraph">
    <w:name w:val="Верхний колонтитул Знак"/>
    <w:basedOn w:val="Style_18"/>
    <w:link w:val="Style_28_ch"/>
  </w:style>
  <w:style w:styleId="Style_28_ch" w:type="character">
    <w:name w:val="Верхний колонтитул Знак"/>
    <w:basedOn w:val="Style_18_ch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heading 5"/>
    <w:next w:val="Style_7"/>
    <w:link w:val="Style_3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0_ch" w:type="character">
    <w:name w:val="heading 5"/>
    <w:link w:val="Style_30"/>
    <w:rPr>
      <w:rFonts w:ascii="XO Thames" w:hAnsi="XO Thames"/>
      <w:b w:val="1"/>
      <w:sz w:val="22"/>
    </w:rPr>
  </w:style>
  <w:style w:styleId="Style_31" w:type="paragraph">
    <w:name w:val="Название объекта1"/>
    <w:basedOn w:val="Style_7"/>
    <w:link w:val="Style_31_ch"/>
    <w:pPr>
      <w:widowControl w:val="1"/>
      <w:spacing w:after="120" w:before="120"/>
      <w:ind/>
    </w:pPr>
    <w:rPr>
      <w:i w:val="1"/>
    </w:rPr>
  </w:style>
  <w:style w:styleId="Style_31_ch" w:type="character">
    <w:name w:val="Название объекта1"/>
    <w:basedOn w:val="Style_7_ch"/>
    <w:link w:val="Style_31"/>
    <w:rPr>
      <w:i w:val="1"/>
    </w:rPr>
  </w:style>
  <w:style w:styleId="Style_32" w:type="paragraph">
    <w:name w:val="heading 1"/>
    <w:next w:val="Style_7"/>
    <w:link w:val="Style_3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5" w:type="paragraph">
    <w:name w:val="ConsNormal"/>
    <w:link w:val="Style_5_ch"/>
    <w:pPr>
      <w:widowControl w:val="0"/>
      <w:ind w:firstLine="720"/>
    </w:pPr>
    <w:rPr>
      <w:rFonts w:ascii="Arial" w:hAnsi="Arial"/>
      <w:sz w:val="18"/>
    </w:rPr>
  </w:style>
  <w:style w:styleId="Style_5_ch" w:type="character">
    <w:name w:val="ConsNormal"/>
    <w:link w:val="Style_5"/>
    <w:rPr>
      <w:rFonts w:ascii="Arial" w:hAnsi="Arial"/>
      <w:sz w:val="18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widowControl w:val="1"/>
      <w:ind w:firstLine="851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Верхний колонтитул1"/>
    <w:basedOn w:val="Style_7"/>
    <w:link w:val="Style_35_ch"/>
    <w:pPr>
      <w:widowControl w:val="1"/>
      <w:tabs>
        <w:tab w:leader="none" w:pos="4677" w:val="center"/>
        <w:tab w:leader="none" w:pos="9355" w:val="right"/>
      </w:tabs>
      <w:ind/>
    </w:pPr>
  </w:style>
  <w:style w:styleId="Style_35_ch" w:type="character">
    <w:name w:val="Верхний колонтитул1"/>
    <w:basedOn w:val="Style_7_ch"/>
    <w:link w:val="Style_35"/>
  </w:style>
  <w:style w:styleId="Style_36" w:type="paragraph">
    <w:name w:val="toc 1"/>
    <w:next w:val="Style_7"/>
    <w:link w:val="Style_36_ch"/>
    <w:uiPriority w:val="39"/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Header and Footer"/>
    <w:link w:val="Style_37_ch"/>
    <w:pPr>
      <w:widowControl w:val="1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4" w:type="paragraph">
    <w:name w:val="No Spacing"/>
    <w:link w:val="Style_4_ch"/>
    <w:rPr>
      <w:rFonts w:ascii="Calibri" w:hAnsi="Calibri"/>
      <w:sz w:val="22"/>
    </w:rPr>
  </w:style>
  <w:style w:styleId="Style_4_ch" w:type="character">
    <w:name w:val="No Spacing"/>
    <w:link w:val="Style_4"/>
    <w:rPr>
      <w:rFonts w:ascii="Calibri" w:hAnsi="Calibri"/>
      <w:sz w:val="22"/>
    </w:rPr>
  </w:style>
  <w:style w:styleId="Style_38" w:type="paragraph">
    <w:name w:val="Нижний колонтитул Знак"/>
    <w:basedOn w:val="Style_18"/>
    <w:link w:val="Style_38_ch"/>
  </w:style>
  <w:style w:styleId="Style_38_ch" w:type="character">
    <w:name w:val="Нижний колонтитул Знак"/>
    <w:basedOn w:val="Style_18_ch"/>
    <w:link w:val="Style_38"/>
  </w:style>
  <w:style w:styleId="Style_25" w:type="paragraph">
    <w:name w:val="Body Text"/>
    <w:basedOn w:val="Style_7"/>
    <w:link w:val="Style_25_ch"/>
    <w:pPr>
      <w:widowControl w:val="1"/>
      <w:spacing w:after="140" w:line="276" w:lineRule="auto"/>
      <w:ind/>
    </w:pPr>
  </w:style>
  <w:style w:styleId="Style_25_ch" w:type="character">
    <w:name w:val="Body Text"/>
    <w:basedOn w:val="Style_7_ch"/>
    <w:link w:val="Style_25"/>
  </w:style>
  <w:style w:styleId="Style_39" w:type="paragraph">
    <w:name w:val="toc 9"/>
    <w:next w:val="Style_7"/>
    <w:link w:val="Style_39_ch"/>
    <w:uiPriority w:val="39"/>
    <w:pPr>
      <w:widowControl w:val="1"/>
      <w:ind w:left="1600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3" w:type="paragraph">
    <w:name w:val="List Paragraph"/>
    <w:basedOn w:val="Style_7"/>
    <w:link w:val="Style_3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3_ch" w:type="character">
    <w:name w:val="List Paragraph"/>
    <w:basedOn w:val="Style_7_ch"/>
    <w:link w:val="Style_3"/>
    <w:rPr>
      <w:rFonts w:ascii="Calibri" w:hAnsi="Calibri"/>
      <w:sz w:val="22"/>
    </w:rPr>
  </w:style>
  <w:style w:styleId="Style_1" w:type="paragraph">
    <w:name w:val="ConsNonformat"/>
    <w:link w:val="Style_1_ch"/>
    <w:pPr>
      <w:widowControl w:val="0"/>
      <w:ind/>
    </w:pPr>
    <w:rPr>
      <w:rFonts w:ascii="Courier New" w:hAnsi="Courier New"/>
      <w:sz w:val="18"/>
    </w:rPr>
  </w:style>
  <w:style w:styleId="Style_1_ch" w:type="character">
    <w:name w:val="ConsNonformat"/>
    <w:link w:val="Style_1"/>
    <w:rPr>
      <w:rFonts w:ascii="Courier New" w:hAnsi="Courier New"/>
      <w:sz w:val="18"/>
    </w:rPr>
  </w:style>
  <w:style w:styleId="Style_40" w:type="paragraph">
    <w:name w:val="toc 8"/>
    <w:next w:val="Style_7"/>
    <w:link w:val="Style_40_ch"/>
    <w:uiPriority w:val="39"/>
    <w:pPr>
      <w:widowControl w:val="1"/>
      <w:ind w:left="1400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text-base"/>
    <w:basedOn w:val="Style_7"/>
    <w:link w:val="Style_41_ch"/>
    <w:pPr>
      <w:widowControl w:val="1"/>
      <w:spacing w:afterAutospacing="on" w:beforeAutospacing="on"/>
      <w:ind/>
    </w:pPr>
  </w:style>
  <w:style w:styleId="Style_41_ch" w:type="character">
    <w:name w:val="text-base"/>
    <w:basedOn w:val="Style_7_ch"/>
    <w:link w:val="Style_41"/>
  </w:style>
  <w:style w:styleId="Style_42" w:type="paragraph">
    <w:name w:val="Верхний и нижний колонтитулы"/>
    <w:basedOn w:val="Style_7"/>
    <w:link w:val="Style_42_ch"/>
  </w:style>
  <w:style w:styleId="Style_42_ch" w:type="character">
    <w:name w:val="Верхний и нижний колонтитулы"/>
    <w:basedOn w:val="Style_7_ch"/>
    <w:link w:val="Style_42"/>
  </w:style>
  <w:style w:styleId="Style_43" w:type="paragraph">
    <w:name w:val="toc 5"/>
    <w:next w:val="Style_7"/>
    <w:link w:val="Style_43_ch"/>
    <w:uiPriority w:val="39"/>
    <w:pPr>
      <w:widowControl w:val="1"/>
      <w:ind w:left="800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Balloon Text"/>
    <w:basedOn w:val="Style_7"/>
    <w:link w:val="Style_44_ch"/>
    <w:rPr>
      <w:rFonts w:ascii="Segoe UI" w:hAnsi="Segoe UI"/>
      <w:sz w:val="18"/>
    </w:rPr>
  </w:style>
  <w:style w:styleId="Style_44_ch" w:type="character">
    <w:name w:val="Balloon Text"/>
    <w:basedOn w:val="Style_7_ch"/>
    <w:link w:val="Style_44"/>
    <w:rPr>
      <w:rFonts w:ascii="Segoe UI" w:hAnsi="Segoe UI"/>
      <w:sz w:val="18"/>
    </w:rPr>
  </w:style>
  <w:style w:styleId="Style_45" w:type="paragraph">
    <w:name w:val="List"/>
    <w:basedOn w:val="Style_25"/>
    <w:link w:val="Style_45_ch"/>
  </w:style>
  <w:style w:styleId="Style_45_ch" w:type="character">
    <w:name w:val="List"/>
    <w:basedOn w:val="Style_25_ch"/>
    <w:link w:val="Style_45"/>
  </w:style>
  <w:style w:styleId="Style_46" w:type="paragraph">
    <w:name w:val="Subtitle"/>
    <w:next w:val="Style_7"/>
    <w:link w:val="Style_46_ch"/>
    <w:uiPriority w:val="11"/>
    <w:qFormat/>
    <w:pPr>
      <w:widowControl w:val="1"/>
      <w:ind/>
      <w:jc w:val="both"/>
    </w:pPr>
    <w:rPr>
      <w:rFonts w:ascii="XO Thames" w:hAnsi="XO Thames"/>
      <w:i w:val="1"/>
    </w:rPr>
  </w:style>
  <w:style w:styleId="Style_46_ch" w:type="character">
    <w:name w:val="Subtitle"/>
    <w:link w:val="Style_46"/>
    <w:rPr>
      <w:rFonts w:ascii="XO Thames" w:hAnsi="XO Thames"/>
      <w:i w:val="1"/>
    </w:rPr>
  </w:style>
  <w:style w:styleId="Style_47" w:type="paragraph">
    <w:name w:val="Гиперссылка1"/>
    <w:basedOn w:val="Style_18"/>
    <w:link w:val="Style_47_ch"/>
    <w:rPr>
      <w:color w:themeColor="hyperlink" w:val="0000FF"/>
      <w:u w:val="single"/>
    </w:rPr>
  </w:style>
  <w:style w:styleId="Style_47_ch" w:type="character">
    <w:name w:val="Гиперссылка1"/>
    <w:basedOn w:val="Style_18_ch"/>
    <w:link w:val="Style_47"/>
    <w:rPr>
      <w:color w:themeColor="hyperlink" w:val="0000FF"/>
      <w:u w:val="single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48" w:type="paragraph">
    <w:name w:val="Обычный1"/>
    <w:link w:val="Style_48_ch"/>
  </w:style>
  <w:style w:styleId="Style_48_ch" w:type="character">
    <w:name w:val="Обычный1"/>
    <w:link w:val="Style_48"/>
  </w:style>
  <w:style w:styleId="Style_49" w:type="paragraph">
    <w:name w:val="Title"/>
    <w:next w:val="Style_7"/>
    <w:link w:val="Style_4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9_ch" w:type="character">
    <w:name w:val="Title"/>
    <w:link w:val="Style_49"/>
    <w:rPr>
      <w:rFonts w:ascii="XO Thames" w:hAnsi="XO Thames"/>
      <w:b w:val="1"/>
      <w:caps w:val="1"/>
      <w:sz w:val="40"/>
    </w:rPr>
  </w:style>
  <w:style w:styleId="Style_50" w:type="paragraph">
    <w:name w:val="heading 4"/>
    <w:next w:val="Style_7"/>
    <w:link w:val="Style_5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</w:rPr>
  </w:style>
  <w:style w:styleId="Style_50_ch" w:type="character">
    <w:name w:val="heading 4"/>
    <w:link w:val="Style_50"/>
    <w:rPr>
      <w:rFonts w:ascii="XO Thames" w:hAnsi="XO Thames"/>
      <w:b w:val="1"/>
    </w:rPr>
  </w:style>
  <w:style w:styleId="Style_51" w:type="paragraph">
    <w:name w:val="Заголовок таблицы"/>
    <w:basedOn w:val="Style_9"/>
    <w:link w:val="Style_51_ch"/>
    <w:pPr>
      <w:widowControl w:val="1"/>
      <w:ind/>
      <w:jc w:val="center"/>
    </w:pPr>
    <w:rPr>
      <w:b w:val="1"/>
    </w:rPr>
  </w:style>
  <w:style w:styleId="Style_51_ch" w:type="character">
    <w:name w:val="Заголовок таблицы"/>
    <w:basedOn w:val="Style_9_ch"/>
    <w:link w:val="Style_51"/>
    <w:rPr>
      <w:b w:val="1"/>
    </w:rPr>
  </w:style>
  <w:style w:styleId="Style_52" w:type="paragraph">
    <w:name w:val="heading 2"/>
    <w:next w:val="Style_7"/>
    <w:link w:val="Style_5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2_ch" w:type="character">
    <w:name w:val="heading 2"/>
    <w:link w:val="Style_52"/>
    <w:rPr>
      <w:rFonts w:ascii="XO Thames" w:hAnsi="XO Thames"/>
      <w:b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MyOffice-CoreFramework-Windows/38-1384.1107.10199.1019.1@2600cfe5f4b542ca5f3c0e142379f873658cd812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2025-01-20T08:46:00Z</dcterms:created>
  <dcterms:modified xsi:type="dcterms:W3CDTF">2026-08-10T09:16:03Z</dcterms:modified>
</cp:coreProperties>
</file>