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8"/>
        <w:ind w:firstLine="567"/>
        <w:jc w:val="center"/>
        <w:spacing w:after="120" w:before="120"/>
        <w:rPr>
          <w:rFonts w:cs="Times New Roman"/>
          <w:bCs/>
          <w:color w:val="000000"/>
          <w:sz w:val="23"/>
          <w:szCs w:val="23"/>
        </w:rPr>
      </w:pPr>
      <w:r>
        <w:rPr>
          <w:rFonts w:cs="Times New Roman"/>
          <w:b/>
          <w:color w:val="000000" w:themeColor="dark1"/>
          <w:sz w:val="23"/>
          <w:szCs w:val="23"/>
        </w:rPr>
        <w:t xml:space="preserve">Договор </w:t>
      </w:r>
      <w:r>
        <w:rPr>
          <w:rFonts w:cs="Times New Roman"/>
          <w:b/>
          <w:bCs/>
          <w:color w:val="000000" w:themeColor="dark1"/>
          <w:sz w:val="23"/>
          <w:szCs w:val="23"/>
        </w:rPr>
        <w:t xml:space="preserve">№ </w:t>
      </w:r>
      <w:r/>
    </w:p>
    <w:p>
      <w:pPr>
        <w:pStyle w:val="615"/>
        <w:ind w:left="0" w:right="0" w:firstLine="0"/>
        <w:jc w:val="center"/>
        <w:spacing w:after="120" w:before="120"/>
        <w:rPr>
          <w:rFonts w:cs="Times New Roman"/>
          <w:b/>
          <w:bCs/>
          <w:color w:val="000000"/>
          <w:sz w:val="23"/>
          <w:szCs w:val="23"/>
        </w:rPr>
      </w:pPr>
      <w:r>
        <w:rPr>
          <w:rFonts w:cs="Times New Roman"/>
          <w:b/>
          <w:bCs/>
          <w:color w:val="000000" w:themeColor="dark1"/>
          <w:sz w:val="23"/>
          <w:szCs w:val="23"/>
        </w:rPr>
        <w:br/>
        <w:t xml:space="preserve"> </w:t>
      </w:r>
      <w:r>
        <w:rPr>
          <w:rFonts w:cs="Times New Roman"/>
          <w:color w:val="000000" w:themeColor="dark1"/>
          <w:sz w:val="23"/>
          <w:szCs w:val="23"/>
        </w:rPr>
        <w:t xml:space="preserve">г. Киров</w:t>
        <w:tab/>
        <w:t xml:space="preserve">                                                                                                «___» __________ 2026 г.</w:t>
      </w:r>
      <w:r/>
    </w:p>
    <w:p>
      <w:pPr>
        <w:pStyle w:val="598"/>
        <w:ind w:firstLine="964"/>
        <w:jc w:val="both"/>
        <w:spacing w:after="120" w:before="120"/>
        <w:tabs>
          <w:tab w:val="clear" w:pos="708" w:leader="none"/>
          <w:tab w:val="right" w:pos="9923" w:leader="none"/>
        </w:tabs>
      </w:pPr>
      <w:r>
        <w:rPr>
          <w:b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3"/>
          <w:szCs w:val="23"/>
        </w:rPr>
        <w:t xml:space="preserve">именуемое в дальнейшем «</w:t>
      </w:r>
      <w:r>
        <w:rPr>
          <w:b/>
          <w:sz w:val="23"/>
          <w:szCs w:val="23"/>
        </w:rPr>
        <w:t xml:space="preserve">Заказчик</w:t>
      </w:r>
      <w:r>
        <w:rPr>
          <w:sz w:val="23"/>
          <w:szCs w:val="23"/>
        </w:rPr>
        <w:t xml:space="preserve">»,  в лице директора института Парамонова Игоря Владимировича, действующего на основании Устава, с одной стороны, и </w:t>
      </w:r>
      <w:r>
        <w:rPr>
          <w:b/>
          <w:sz w:val="22"/>
          <w:szCs w:val="23"/>
        </w:rPr>
        <w:t xml:space="preserve">                              </w:t>
      </w:r>
      <w:r>
        <w:rPr>
          <w:sz w:val="22"/>
          <w:szCs w:val="23"/>
        </w:rPr>
        <w:t xml:space="preserve">, именуемый в дальнейшем «Поставщик», действующий на основании                      ., с одной стороны</w:t>
      </w:r>
      <w:r>
        <w:rPr>
          <w:rFonts w:cs="Times New Roman"/>
          <w:color w:val="000000" w:themeColor="dark1"/>
          <w:sz w:val="23"/>
          <w:szCs w:val="23"/>
        </w:rPr>
        <w:t xml:space="preserve">, здесь и далее вместе именуемые «Стороны»,</w:t>
      </w:r>
      <w:r>
        <w:rPr>
          <w:rFonts w:cs="Times New Roman"/>
          <w:b/>
          <w:color w:val="000000" w:themeColor="dark1"/>
          <w:sz w:val="23"/>
          <w:szCs w:val="23"/>
        </w:rPr>
        <w:t xml:space="preserve"> </w:t>
      </w:r>
      <w:r>
        <w:rPr>
          <w:rFonts w:cs="Times New Roman"/>
          <w:color w:val="000000" w:themeColor="dark1"/>
          <w:sz w:val="23"/>
          <w:szCs w:val="23"/>
        </w:rPr>
        <w:t xml:space="preserve">идентификационный код закупки </w:t>
      </w:r>
      <w:r>
        <w:rPr>
          <w:rFonts w:cs="Times New Roman"/>
          <w:color w:val="000000"/>
          <w:sz w:val="23"/>
          <w:szCs w:val="23"/>
        </w:rPr>
        <w:t xml:space="preserve">261434600765643450100100</w:t>
      </w:r>
      <w:r>
        <w:rPr>
          <w:rFonts w:cs="Times New Roman"/>
          <w:color w:val="000000"/>
          <w:sz w:val="23"/>
          <w:szCs w:val="23"/>
        </w:rPr>
        <w:t xml:space="preserve">30</w:t>
      </w:r>
      <w:r>
        <w:rPr>
          <w:rFonts w:cs="Times New Roman"/>
          <w:color w:val="000000"/>
          <w:sz w:val="23"/>
          <w:szCs w:val="23"/>
        </w:rPr>
        <w:t xml:space="preserve">0000000244</w:t>
      </w:r>
      <w:r>
        <w:rPr>
          <w:rFonts w:cs="Times New Roman"/>
          <w:color w:val="000000" w:themeColor="dark1"/>
          <w:sz w:val="23"/>
          <w:szCs w:val="23"/>
        </w:rPr>
        <w:t xml:space="preserve">   , руководствуясь п. </w:t>
      </w:r>
      <w:r>
        <w:rPr>
          <w:rFonts w:cs="Times New Roman"/>
          <w:color w:val="000000" w:themeColor="dark1"/>
          <w:sz w:val="23"/>
          <w:szCs w:val="23"/>
        </w:rPr>
        <w:t xml:space="preserve">5 </w:t>
      </w:r>
      <w:r>
        <w:rPr>
          <w:rFonts w:cs="Times New Roman"/>
          <w:color w:val="000000" w:themeColor="dark1"/>
          <w:sz w:val="23"/>
          <w:szCs w:val="23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/>
    </w:p>
    <w:p>
      <w:pPr>
        <w:pStyle w:val="624"/>
        <w:ind w:firstLine="567"/>
        <w:spacing w:after="120" w:before="120"/>
        <w:tabs>
          <w:tab w:val="clear" w:pos="708" w:leader="none"/>
          <w:tab w:val="left" w:pos="3807" w:leader="none"/>
        </w:tabs>
        <w:rPr>
          <w:rFonts w:cs="Times New Roman"/>
          <w:b w:val="false"/>
          <w:color w:val="000000"/>
          <w:sz w:val="23"/>
          <w:szCs w:val="23"/>
        </w:rPr>
      </w:pPr>
      <w:r>
        <w:rPr>
          <w:rFonts w:cs="Times New Roman"/>
          <w:b w:val="false"/>
          <w:color w:val="000000" w:themeColor="dark1"/>
          <w:sz w:val="23"/>
          <w:szCs w:val="23"/>
        </w:rPr>
        <w:t xml:space="preserve">1. Предмет договора</w:t>
      </w:r>
      <w:r/>
    </w:p>
    <w:p>
      <w:pPr>
        <w:pStyle w:val="623"/>
        <w:ind w:firstLine="567"/>
        <w:jc w:val="both"/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1.1. По настоящему договору Поставщик обязуется изготовить и поставить брошюры </w:t>
      </w:r>
      <w:r>
        <w:rPr>
          <w:rFonts w:cs="Times New Roman"/>
          <w:color w:val="000000"/>
          <w:sz w:val="23"/>
          <w:szCs w:val="23"/>
        </w:rPr>
        <w:t xml:space="preserve">в соответствии с Приложением №1 (Спецификация)</w:t>
      </w:r>
      <w:r>
        <w:rPr>
          <w:rFonts w:cs="Times New Roman"/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rFonts w:cs="Times New Roman"/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1.2. Наименование, вид 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 w:eastAsia="Calibri"/>
          <w:color w:val="000000"/>
          <w:sz w:val="23"/>
          <w:szCs w:val="23"/>
          <w:lang w:eastAsia="en-US"/>
        </w:rPr>
      </w:pPr>
      <w:r>
        <w:rPr>
          <w:rFonts w:cs="Times New Roman"/>
          <w:color w:val="000000" w:themeColor="dark1"/>
          <w:sz w:val="23"/>
          <w:szCs w:val="23"/>
        </w:rPr>
        <w:t xml:space="preserve">1.3. </w:t>
      </w:r>
      <w:r>
        <w:rPr>
          <w:rFonts w:cs="Times New Roman" w:eastAsia="Calibri"/>
          <w:color w:val="000000" w:themeColor="dark1"/>
          <w:sz w:val="23"/>
          <w:szCs w:val="23"/>
          <w:lang w:val="ru-RU" w:bidi="ar-SA" w:eastAsia="en-US"/>
        </w:rPr>
        <w:t xml:space="preserve">Срок изготовления  5 (пять) дней с момента подписания договора при условии своевременного предоставления / согласования оригинала макета в работу. Срок поставки – 2 (два) дня с момента готовности продукции . </w:t>
      </w:r>
      <w:r>
        <w:rPr>
          <w:rFonts w:cs="Times New Roman" w:eastAsia="Calibri"/>
          <w:color w:val="000000" w:themeColor="dark1"/>
          <w:sz w:val="23"/>
          <w:szCs w:val="23"/>
          <w:lang w:val="ru-RU" w:bidi="ar-SA" w:eastAsia="en-US"/>
        </w:rPr>
        <w:t xml:space="preserve">Место изготовления Кировская область г. Киров.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 w:eastAsia="Calibri"/>
          <w:color w:val="000000" w:themeColor="dark1"/>
          <w:sz w:val="23"/>
          <w:szCs w:val="23"/>
          <w:lang w:eastAsia="en-US"/>
        </w:rPr>
        <w:t xml:space="preserve">1.4. М</w:t>
      </w:r>
      <w:r>
        <w:rPr>
          <w:rFonts w:cs="Times New Roman" w:eastAsia="Calibri"/>
          <w:color w:val="000000" w:themeColor="dark1"/>
          <w:sz w:val="23"/>
          <w:szCs w:val="23"/>
          <w:lang w:eastAsia="en-US"/>
        </w:rPr>
        <w:t xml:space="preserve">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 w:eastAsia="Calibri"/>
          <w:color w:val="000000" w:themeColor="dark1"/>
          <w:sz w:val="23"/>
          <w:szCs w:val="23"/>
          <w:lang w:eastAsia="en-US"/>
        </w:rPr>
      </w:r>
      <w:r/>
    </w:p>
    <w:p>
      <w:pPr>
        <w:pStyle w:val="624"/>
        <w:ind w:firstLine="567"/>
        <w:spacing w:after="120" w:before="120"/>
        <w:tabs>
          <w:tab w:val="clear" w:pos="708" w:leader="none"/>
          <w:tab w:val="left" w:pos="3807" w:leader="none"/>
        </w:tabs>
        <w:rPr>
          <w:rFonts w:cs="Times New Roman"/>
          <w:b w:val="false"/>
          <w:color w:val="000000"/>
          <w:sz w:val="23"/>
          <w:szCs w:val="23"/>
        </w:rPr>
      </w:pPr>
      <w:r>
        <w:rPr>
          <w:rFonts w:cs="Times New Roman"/>
          <w:b w:val="false"/>
          <w:color w:val="000000" w:themeColor="dark1"/>
          <w:sz w:val="23"/>
          <w:szCs w:val="23"/>
        </w:rPr>
        <w:t xml:space="preserve">2. Цена ДОГОВОРА и порядок оплаты</w:t>
      </w:r>
      <w:r/>
    </w:p>
    <w:p>
      <w:pPr>
        <w:pStyle w:val="598"/>
        <w:ind w:firstLine="567"/>
        <w:jc w:val="both"/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 </w:t>
      </w:r>
      <w:r>
        <w:rPr>
          <w:rFonts w:cs="Times New Roman"/>
          <w:color w:val="000000" w:themeColor="dark1"/>
          <w:sz w:val="23"/>
          <w:szCs w:val="23"/>
        </w:rPr>
        <w:t xml:space="preserve">2.1. Стоимость товара (цена договора) составляет</w:t>
      </w:r>
      <w:r>
        <w:rPr>
          <w:rFonts w:cs="Times New Roman" w:eastAsia="Times New Roman"/>
          <w:color w:val="000000" w:themeColor="dark1"/>
          <w:sz w:val="23"/>
          <w:szCs w:val="23"/>
          <w:lang w:val="ru-RU" w:bidi="ar-SA" w:eastAsia="ar-SA"/>
        </w:rPr>
        <w:t xml:space="preserve">:              (                 ) рублей 00 копеек  в том числе НДС.          </w:t>
      </w:r>
      <w:r/>
    </w:p>
    <w:p>
      <w:pPr>
        <w:pStyle w:val="598"/>
        <w:ind w:firstLine="567"/>
        <w:jc w:val="both"/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Цена за единицу товара установлена в Спецификации к договору.</w:t>
      </w:r>
      <w:r/>
    </w:p>
    <w:p>
      <w:pPr>
        <w:pStyle w:val="598"/>
        <w:ind w:firstLine="567"/>
        <w:jc w:val="both"/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/>
    </w:p>
    <w:p>
      <w:pPr>
        <w:pStyle w:val="598"/>
        <w:ind w:firstLine="567"/>
        <w:jc w:val="both"/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  <w:r/>
    </w:p>
    <w:p>
      <w:pPr>
        <w:pStyle w:val="598"/>
        <w:ind w:firstLine="567"/>
        <w:jc w:val="both"/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/>
    </w:p>
    <w:p>
      <w:pPr>
        <w:pStyle w:val="598"/>
        <w:ind w:firstLine="567"/>
        <w:jc w:val="both"/>
        <w:rPr>
          <w:rFonts w:cs="Times New Roman" w:eastAsia="Calibri"/>
          <w:color w:val="000000"/>
          <w:sz w:val="23"/>
          <w:szCs w:val="23"/>
          <w:lang w:eastAsia="en-US"/>
        </w:rPr>
      </w:pPr>
      <w:r>
        <w:rPr>
          <w:rFonts w:cs="Times New Roman"/>
          <w:color w:val="000000" w:themeColor="dark1"/>
          <w:sz w:val="23"/>
          <w:szCs w:val="23"/>
        </w:rPr>
        <w:t xml:space="preserve">2.4. Сумма, </w:t>
      </w:r>
      <w:r>
        <w:rPr>
          <w:rFonts w:cs="Times New Roman" w:eastAsia="Calibri"/>
          <w:color w:val="000000" w:themeColor="dark1"/>
          <w:sz w:val="23"/>
          <w:szCs w:val="23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cs="Times New Roman" w:eastAsia="Calibri"/>
          <w:color w:val="000000" w:themeColor="dark1"/>
          <w:sz w:val="23"/>
          <w:szCs w:val="23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/>
    </w:p>
    <w:p>
      <w:pPr>
        <w:pStyle w:val="631"/>
        <w:ind w:left="0" w:firstLine="567"/>
        <w:tabs>
          <w:tab w:val="clear" w:pos="851" w:leader="none"/>
        </w:tabs>
        <w:rPr>
          <w:color w:val="000000"/>
          <w:sz w:val="23"/>
          <w:szCs w:val="23"/>
        </w:rPr>
      </w:pPr>
      <w:r>
        <w:rPr>
          <w:color w:val="000000" w:themeColor="dark1"/>
          <w:sz w:val="23"/>
          <w:szCs w:val="23"/>
        </w:rPr>
        <w:t xml:space="preserve"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  <w:r/>
    </w:p>
    <w:p>
      <w:pPr>
        <w:pStyle w:val="598"/>
        <w:ind w:firstLine="567"/>
        <w:jc w:val="both"/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2.7. </w:t>
      </w:r>
      <w:r>
        <w:rPr>
          <w:rFonts w:cs="Times New Roman"/>
          <w:color w:val="000000"/>
          <w:sz w:val="22"/>
          <w:szCs w:val="22"/>
        </w:rPr>
        <w:t xml:space="preserve">Оплата по договору осуществляется на условиях отсрочки пла</w:t>
      </w:r>
      <w:r>
        <w:rPr>
          <w:rFonts w:cs="Times New Roman"/>
          <w:color w:val="000000"/>
          <w:sz w:val="22"/>
          <w:szCs w:val="22"/>
        </w:rPr>
        <w:t xml:space="preserve">тежа в течение 7 (семи) рабочих после исполнения Поставщиком обязательств по поставке Товара (либо - по каждому этапу поставки Товара). Оплата по договору за поставленный товар осуществляется Заказчиком после представления Поставщиком следующих документов:</w:t>
      </w:r>
      <w:r/>
    </w:p>
    <w:p>
      <w:pPr>
        <w:pStyle w:val="598"/>
        <w:ind w:left="-113" w:right="7767"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- счета/- счета-фактуры;</w:t>
      </w:r>
      <w:r/>
    </w:p>
    <w:p>
      <w:pPr>
        <w:pStyle w:val="598"/>
        <w:ind w:left="-113" w:right="7767" w:firstLine="567"/>
        <w:jc w:val="both"/>
      </w:pPr>
      <w:r>
        <w:rPr>
          <w:rFonts w:cs="Times New Roman"/>
          <w:color w:val="000000"/>
          <w:sz w:val="22"/>
          <w:szCs w:val="22"/>
        </w:rPr>
        <w:t xml:space="preserve">- товарной накладной (товарных накладных) или УПД.</w:t>
      </w:r>
      <w:r/>
    </w:p>
    <w:p>
      <w:pPr>
        <w:pStyle w:val="629"/>
        <w:ind w:firstLine="567"/>
        <w:jc w:val="both"/>
        <w:spacing w:lineRule="auto" w:line="240" w:after="0" w:before="0"/>
        <w:rPr>
          <w:color w:val="000000"/>
          <w:sz w:val="23"/>
          <w:szCs w:val="23"/>
        </w:rPr>
      </w:pPr>
      <w:r>
        <w:rPr>
          <w:color w:val="000000" w:themeColor="dark1"/>
          <w:sz w:val="23"/>
          <w:szCs w:val="23"/>
        </w:rPr>
        <w:t xml:space="preserve">2.8. Датой платежа является дата списания денежных средств со счета Заказчика.</w:t>
      </w:r>
      <w:r/>
    </w:p>
    <w:p>
      <w:pPr>
        <w:pStyle w:val="624"/>
        <w:ind w:firstLine="567"/>
        <w:spacing w:after="120" w:before="120"/>
        <w:tabs>
          <w:tab w:val="clear" w:pos="708" w:leader="none"/>
          <w:tab w:val="left" w:pos="3807" w:leader="none"/>
        </w:tabs>
        <w:rPr>
          <w:rFonts w:cs="Times New Roman"/>
          <w:b w:val="false"/>
          <w:color w:val="000000"/>
          <w:sz w:val="23"/>
          <w:szCs w:val="23"/>
        </w:rPr>
      </w:pPr>
      <w:r>
        <w:rPr>
          <w:rFonts w:cs="Times New Roman"/>
          <w:b w:val="false"/>
          <w:color w:val="000000" w:themeColor="dark1"/>
          <w:sz w:val="23"/>
          <w:szCs w:val="23"/>
        </w:rPr>
        <w:t xml:space="preserve">3. обязанности сторон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3.1. Поставщик обязан: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3.1.3. Поставить товар в предусмотренный договором срок.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3.1.4. Вместе с товаром передать Заказчику т</w:t>
      </w:r>
      <w:r>
        <w:rPr>
          <w:rFonts w:cs="Times New Roman"/>
          <w:color w:val="000000" w:themeColor="dark1"/>
          <w:sz w:val="23"/>
          <w:szCs w:val="23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5.3.1.  При невозможности участия в приемке Поставщик уведомляет Заказчика письменно.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3.1.6. Поставить товар надлежащего качества, соответствующий условиям договора, треб</w:t>
      </w:r>
      <w:r>
        <w:rPr>
          <w:rFonts w:cs="Times New Roman"/>
          <w:color w:val="000000" w:themeColor="dark1"/>
          <w:sz w:val="23"/>
          <w:szCs w:val="23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3.1.7. В случае выявления в процессе приёмки недостатков и дефектов товара (а также скрытых дефектов в период гарантийного сро</w:t>
      </w:r>
      <w:r>
        <w:rPr>
          <w:rFonts w:cs="Times New Roman"/>
          <w:color w:val="000000" w:themeColor="dark1"/>
          <w:sz w:val="23"/>
          <w:szCs w:val="23"/>
        </w:rPr>
        <w:t xml:space="preserve">ка) осуществить замену товара ненадлежащего качества на аналогичный товар, соответствующий по качеству условиям договора, в течение 10 (десяти) рабочих дней с момента получения уведомления от Заказчика. Расходы, связанные с заменой товара, несет Поставщик.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3.1.8. Нести все риски утраты или повреждения поставляемого товара до момента передачи товара Заказчику.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3.1.10. </w:t>
      </w:r>
      <w:r>
        <w:rPr>
          <w:rFonts w:cs="Times New Roman"/>
          <w:color w:val="000000"/>
          <w:sz w:val="23"/>
          <w:szCs w:val="23"/>
        </w:rPr>
        <w:t xml:space="preserve">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3.2. Заказчик обязан: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3.2.2. Оплатить принятый товар в соответствии с условиями настоящего договора.</w:t>
      </w:r>
      <w:r/>
    </w:p>
    <w:p>
      <w:pPr>
        <w:pStyle w:val="626"/>
        <w:numPr>
          <w:ilvl w:val="0"/>
          <w:numId w:val="0"/>
        </w:numPr>
        <w:ind w:left="0" w:firstLine="567"/>
        <w:jc w:val="center"/>
        <w:keepNext/>
        <w:spacing w:lineRule="auto" w:line="240" w:after="120" w:before="120"/>
        <w:tabs>
          <w:tab w:val="clear" w:pos="708" w:leader="none"/>
          <w:tab w:val="left" w:pos="2160" w:leader="none"/>
          <w:tab w:val="left" w:pos="2340" w:leader="none"/>
          <w:tab w:val="left" w:pos="3240" w:leader="none"/>
        </w:tabs>
        <w:rPr>
          <w:rFonts w:cs="Times New Roman"/>
          <w:color w:val="000000"/>
          <w:sz w:val="23"/>
          <w:szCs w:val="23"/>
        </w:rPr>
        <w:outlineLvl w:val="3"/>
      </w:pPr>
      <w:r>
        <w:rPr>
          <w:rStyle w:val="601"/>
          <w:rFonts w:cs="Times New Roman"/>
          <w:b/>
          <w:bCs w:val="false"/>
          <w:color w:val="000000" w:themeColor="dark1"/>
          <w:sz w:val="23"/>
          <w:szCs w:val="23"/>
        </w:rPr>
        <w:t xml:space="preserve">4. ПОРЯДОК ПоставкИ ТОВАРА 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cs="Times New Roman"/>
          <w:color w:val="000000" w:themeColor="dark1"/>
          <w:sz w:val="23"/>
          <w:szCs w:val="23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ab/>
        <w:t xml:space="preserve">4.2. Датой надлежащего исполнения обязательств Поставщиком (дата поставки товара)  является дата, указанная Заказчиком в документе о приемке.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4.4. Вместе с товаром Поставщик передает Заказчику документы, предусмотренные п.п. 3.1.4. договора.</w:t>
      </w:r>
      <w:r/>
    </w:p>
    <w:p>
      <w:pPr>
        <w:pStyle w:val="626"/>
        <w:numPr>
          <w:ilvl w:val="0"/>
          <w:numId w:val="0"/>
        </w:numPr>
        <w:ind w:left="0" w:firstLine="567"/>
        <w:jc w:val="center"/>
        <w:keepNext/>
        <w:spacing w:lineRule="auto" w:line="240" w:after="120" w:before="120"/>
        <w:tabs>
          <w:tab w:val="clear" w:pos="708" w:leader="none"/>
          <w:tab w:val="left" w:pos="2160" w:leader="none"/>
          <w:tab w:val="left" w:pos="2340" w:leader="none"/>
          <w:tab w:val="left" w:pos="3240" w:leader="none"/>
        </w:tabs>
        <w:rPr>
          <w:rFonts w:cs="Times New Roman"/>
          <w:color w:val="000000"/>
          <w:sz w:val="23"/>
          <w:szCs w:val="23"/>
        </w:rPr>
        <w:outlineLvl w:val="3"/>
      </w:pPr>
      <w:r>
        <w:rPr>
          <w:rStyle w:val="601"/>
          <w:rFonts w:cs="Times New Roman"/>
          <w:b/>
          <w:bCs w:val="false"/>
          <w:color w:val="000000" w:themeColor="dark1"/>
          <w:sz w:val="23"/>
          <w:szCs w:val="23"/>
        </w:rPr>
        <w:t xml:space="preserve">5. Порядок приемки ТОВАРА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5.1. Приемка товара осуществляется в удобное для Заказчика время и включает в себя следующие этапы: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б) проверка полноты и правильности оформления документа о приемке в соответствии с условиями договора;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г) проверка наличия необходимых документов, предусмотренных п.  4.4. договора.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Упаковка товара не должна иметь механических пов</w:t>
      </w:r>
      <w:r>
        <w:rPr>
          <w:rFonts w:cs="Times New Roman"/>
          <w:color w:val="000000" w:themeColor="dark1"/>
          <w:sz w:val="23"/>
          <w:szCs w:val="23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5.2. Приемка товара в части соответствия количества, ассортимента, комплектности и к</w:t>
      </w:r>
      <w:r>
        <w:rPr>
          <w:rFonts w:cs="Times New Roman"/>
          <w:color w:val="000000" w:themeColor="dark1"/>
          <w:sz w:val="23"/>
          <w:szCs w:val="23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5.2.1. Если при пр</w:t>
      </w:r>
      <w:r>
        <w:rPr>
          <w:rFonts w:cs="Times New Roman"/>
          <w:color w:val="000000" w:themeColor="dark1"/>
          <w:sz w:val="23"/>
          <w:szCs w:val="23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В случае явки пред</w:t>
      </w:r>
      <w:r>
        <w:rPr>
          <w:rFonts w:cs="Times New Roman"/>
          <w:color w:val="000000" w:themeColor="dark1"/>
          <w:sz w:val="23"/>
          <w:szCs w:val="23"/>
        </w:rPr>
        <w:t xml:space="preserve">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 </w:t>
      </w:r>
      <w:r>
        <w:rPr>
          <w:rFonts w:cs="Times New Roman"/>
          <w:color w:val="000000" w:themeColor="dark1"/>
          <w:sz w:val="23"/>
          <w:szCs w:val="23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В случае неявки </w:t>
      </w:r>
      <w:r>
        <w:rPr>
          <w:rFonts w:cs="Times New Roman"/>
          <w:color w:val="000000" w:themeColor="dark1"/>
          <w:sz w:val="23"/>
          <w:szCs w:val="23"/>
        </w:rPr>
        <w:t xml:space="preserve">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</w:t>
      </w:r>
      <w:r>
        <w:rPr>
          <w:rFonts w:cs="Times New Roman"/>
          <w:color w:val="000000" w:themeColor="dark1"/>
          <w:sz w:val="23"/>
          <w:szCs w:val="23"/>
        </w:rPr>
        <w:t xml:space="preserve">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 - согласованными.    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В любо</w:t>
      </w:r>
      <w:r>
        <w:rPr>
          <w:rFonts w:cs="Times New Roman"/>
          <w:color w:val="000000" w:themeColor="dark1"/>
          <w:sz w:val="23"/>
          <w:szCs w:val="23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5.3. При отсутствии претензий к количеству, ассортименту, характеристикам и качеств</w:t>
      </w:r>
      <w:r>
        <w:rPr>
          <w:rFonts w:cs="Times New Roman"/>
          <w:color w:val="000000" w:themeColor="dark1"/>
          <w:sz w:val="23"/>
          <w:szCs w:val="23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cs="Times New Roman"/>
          <w:color w:val="000000" w:themeColor="dark1"/>
          <w:sz w:val="23"/>
          <w:szCs w:val="23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/>
    </w:p>
    <w:p>
      <w:pPr>
        <w:pStyle w:val="598"/>
        <w:ind w:firstLine="283"/>
        <w:jc w:val="both"/>
        <w:spacing w:after="0" w:before="57"/>
        <w:rPr>
          <w:color w:val="000000"/>
          <w:sz w:val="22"/>
          <w:szCs w:val="22"/>
        </w:rPr>
      </w:pPr>
      <w:r>
        <w:rPr>
          <w:rFonts w:cs="Times New Roman"/>
          <w:color w:val="000000" w:themeColor="dark1"/>
          <w:sz w:val="23"/>
          <w:szCs w:val="23"/>
        </w:rPr>
        <w:t xml:space="preserve"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</w:t>
      </w:r>
      <w:r>
        <w:rPr>
          <w:rFonts w:cs="Times New Roman"/>
          <w:color w:val="000000" w:themeColor="dark1"/>
          <w:sz w:val="23"/>
          <w:szCs w:val="23"/>
        </w:rPr>
        <w:t xml:space="preserve">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</w:t>
      </w:r>
      <w:r>
        <w:rPr>
          <w:rFonts w:cs="Times New Roman"/>
          <w:color w:val="000000" w:themeColor="dark1"/>
          <w:sz w:val="23"/>
          <w:szCs w:val="23"/>
        </w:rPr>
        <w:t xml:space="preserve"> т. п.). Вторая сторона обязана обеспечить получение  Акта приемки своим уполномоченным представителем через СБИС (указывается способ получения акта второй стороной: через СБИС, 1С, по электронной почте  - указывается адрес на который будет направлен акт.)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</w:r>
      <w:r/>
    </w:p>
    <w:p>
      <w:pPr>
        <w:pStyle w:val="626"/>
        <w:numPr>
          <w:ilvl w:val="0"/>
          <w:numId w:val="0"/>
        </w:numPr>
        <w:ind w:left="0" w:firstLine="567"/>
        <w:jc w:val="center"/>
        <w:keepNext/>
        <w:spacing w:lineRule="auto" w:line="240" w:after="120" w:before="120"/>
        <w:tabs>
          <w:tab w:val="clear" w:pos="708" w:leader="none"/>
          <w:tab w:val="left" w:pos="2160" w:leader="none"/>
          <w:tab w:val="left" w:pos="2340" w:leader="none"/>
          <w:tab w:val="left" w:pos="3240" w:leader="none"/>
        </w:tabs>
        <w:rPr>
          <w:color w:val="000000"/>
          <w:sz w:val="23"/>
          <w:szCs w:val="23"/>
        </w:rPr>
        <w:outlineLvl w:val="3"/>
      </w:pPr>
      <w:r>
        <w:rPr>
          <w:rStyle w:val="601"/>
          <w:b/>
          <w:bCs w:val="false"/>
          <w:color w:val="000000" w:themeColor="dark1"/>
          <w:sz w:val="23"/>
          <w:szCs w:val="23"/>
        </w:rPr>
        <w:t xml:space="preserve">6.  КАЧЕСТВо ТОВАРА</w:t>
      </w:r>
      <w:r/>
    </w:p>
    <w:p>
      <w:pPr>
        <w:pStyle w:val="598"/>
        <w:jc w:val="both"/>
        <w:tabs>
          <w:tab w:val="left" w:pos="450" w:leader="none"/>
          <w:tab w:val="clear" w:pos="708" w:leader="none"/>
        </w:tabs>
      </w:pPr>
      <w:r>
        <w:rPr>
          <w:lang w:bidi="gu-IN" w:eastAsia="gu-IN"/>
        </w:rPr>
        <w:t xml:space="preserve">     </w:t>
      </w:r>
      <w:r>
        <w:rPr>
          <w:lang w:bidi="gu-IN" w:eastAsia="gu-IN"/>
        </w:rPr>
        <w:t xml:space="preserve">6</w:t>
      </w:r>
      <w:r>
        <w:rPr>
          <w:rFonts w:eastAsia="Arial"/>
          <w:lang w:bidi="gu-IN" w:eastAsia="gu-IN"/>
        </w:rPr>
        <w:t xml:space="preserve">.1. Поставщик гаранти</w:t>
      </w:r>
      <w:r>
        <w:rPr>
          <w:rFonts w:eastAsia="Arial"/>
          <w:lang w:bidi="gu-IN" w:eastAsia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/>
    </w:p>
    <w:p>
      <w:pPr>
        <w:pStyle w:val="598"/>
        <w:ind w:firstLine="567"/>
        <w:jc w:val="both"/>
      </w:pPr>
      <w: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/>
    </w:p>
    <w:p>
      <w:pPr>
        <w:pStyle w:val="598"/>
        <w:ind w:firstLine="540"/>
        <w:jc w:val="both"/>
      </w:pPr>
      <w:r>
        <w:rPr>
          <w:rFonts w:eastAsia="Arial"/>
        </w:rPr>
        <w:t xml:space="preserve">6.3. Качество </w:t>
      </w:r>
      <w:r>
        <w:rPr>
          <w:rFonts w:cs="Courier New" w:eastAsia="Arial"/>
        </w:rPr>
        <w:t xml:space="preserve"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  <w:r/>
    </w:p>
    <w:p>
      <w:pPr>
        <w:pStyle w:val="598"/>
        <w:ind w:firstLine="540"/>
        <w:jc w:val="both"/>
      </w:pPr>
      <w:r>
        <w:rPr>
          <w:rFonts w:cs="Times New Roman"/>
          <w:iCs/>
          <w:color w:val="000000" w:themeColor="dark1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/>
    </w:p>
    <w:p>
      <w:pPr>
        <w:pStyle w:val="598"/>
        <w:ind w:firstLine="540"/>
        <w:jc w:val="both"/>
      </w:pPr>
      <w:r>
        <w:rPr>
          <w:rFonts w:cs="Times New Roman"/>
          <w:iCs/>
          <w:color w:val="000000" w:themeColor="dark1"/>
        </w:rPr>
        <w:t xml:space="preserve">6.5. </w:t>
      </w:r>
      <w:r>
        <w:rPr>
          <w:rFonts w:cs="Times New Roman" w:eastAsia="SimSun"/>
          <w:iCs/>
          <w:color w:val="000000" w:themeColor="dark1"/>
          <w:lang w:eastAsia="en-US"/>
        </w:rPr>
        <w:t xml:space="preserve">Гарантийный срок хранения полиграфической продукции 6 (шесть) месяцев с момента передачи продукции Заказчику.</w:t>
      </w:r>
      <w:r/>
    </w:p>
    <w:p>
      <w:pPr>
        <w:pStyle w:val="626"/>
        <w:numPr>
          <w:ilvl w:val="0"/>
          <w:numId w:val="0"/>
        </w:numPr>
        <w:ind w:left="0" w:firstLine="567"/>
        <w:jc w:val="center"/>
        <w:keepNext/>
        <w:spacing w:lineRule="auto" w:line="240" w:after="120" w:before="120"/>
        <w:tabs>
          <w:tab w:val="clear" w:pos="708" w:leader="none"/>
          <w:tab w:val="left" w:pos="2160" w:leader="none"/>
          <w:tab w:val="left" w:pos="2340" w:leader="none"/>
          <w:tab w:val="left" w:pos="3240" w:leader="none"/>
        </w:tabs>
        <w:rPr>
          <w:color w:val="000000"/>
          <w:sz w:val="23"/>
          <w:szCs w:val="23"/>
        </w:rPr>
        <w:outlineLvl w:val="3"/>
      </w:pPr>
      <w:r>
        <w:rPr>
          <w:rStyle w:val="601"/>
          <w:b/>
          <w:bCs w:val="false"/>
          <w:color w:val="000000" w:themeColor="dark1"/>
          <w:sz w:val="23"/>
          <w:szCs w:val="23"/>
        </w:rPr>
        <w:t xml:space="preserve">7. ОТВЕТСТВЕННОСТЬ СТОРОН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7.2. В слу</w:t>
      </w:r>
      <w:r>
        <w:rPr>
          <w:rFonts w:cs="Times New Roman"/>
          <w:color w:val="000000" w:themeColor="dark1"/>
          <w:sz w:val="23"/>
          <w:szCs w:val="23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 w:themeColor="dark1"/>
          <w:sz w:val="23"/>
          <w:szCs w:val="23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cs="Times New Roman"/>
          <w:color w:val="000000" w:themeColor="dark1"/>
          <w:sz w:val="23"/>
          <w:szCs w:val="23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/>
    </w:p>
    <w:p>
      <w:pPr>
        <w:pStyle w:val="598"/>
        <w:ind w:firstLine="567"/>
        <w:jc w:val="both"/>
        <w:widowControl w:val="off"/>
        <w:rPr>
          <w:color w:val="000000"/>
        </w:rPr>
      </w:pPr>
      <w:r>
        <w:rPr>
          <w:color w:val="000000" w:themeColor="dark1"/>
        </w:rPr>
        <w:t xml:space="preserve">7.4. За каждый факт неисполнения Заказчиком обязате</w:t>
      </w:r>
      <w:r>
        <w:rPr>
          <w:color w:val="000000" w:themeColor="dark1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rFonts w:cs="Times New Roman"/>
          <w:color w:val="000000" w:themeColor="dark1"/>
          <w:sz w:val="23"/>
          <w:szCs w:val="23"/>
        </w:rPr>
        <w:t xml:space="preserve">7.5. </w:t>
      </w:r>
      <w:r>
        <w:rPr>
          <w:color w:val="000000" w:themeColor="dark1"/>
        </w:rPr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/>
    </w:p>
    <w:p>
      <w:pPr>
        <w:pStyle w:val="598"/>
        <w:ind w:firstLine="567"/>
        <w:jc w:val="both"/>
        <w:widowControl w:val="off"/>
        <w:rPr>
          <w:color w:val="000000"/>
        </w:rPr>
      </w:pPr>
      <w:r>
        <w:rPr>
          <w:color w:val="000000" w:themeColor="dark1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color w:val="000000" w:themeColor="dark1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/>
    </w:p>
    <w:p>
      <w:pPr>
        <w:pStyle w:val="598"/>
        <w:ind w:firstLine="567"/>
        <w:jc w:val="both"/>
        <w:rPr>
          <w:color w:val="000000"/>
        </w:rPr>
      </w:pPr>
      <w:r>
        <w:rPr>
          <w:color w:val="000000" w:themeColor="dark1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color w:val="000000" w:themeColor="dark1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/>
    </w:p>
    <w:p>
      <w:pPr>
        <w:pStyle w:val="598"/>
        <w:ind w:firstLine="567"/>
        <w:jc w:val="both"/>
        <w:rPr>
          <w:color w:val="000000"/>
        </w:rPr>
      </w:pPr>
      <w:r>
        <w:rPr>
          <w:color w:val="000000" w:themeColor="dark1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color w:val="000000" w:themeColor="dark1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/>
    </w:p>
    <w:p>
      <w:pPr>
        <w:pStyle w:val="598"/>
        <w:ind w:firstLine="567"/>
        <w:jc w:val="both"/>
        <w:widowControl w:val="off"/>
        <w:rPr>
          <w:color w:val="000000"/>
        </w:rPr>
      </w:pPr>
      <w:r>
        <w:rPr>
          <w:color w:val="000000" w:themeColor="dark1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 w:themeColor="dark1"/>
        </w:rPr>
        <w:t xml:space="preserve"> </w:t>
      </w:r>
      <w:r>
        <w:rPr>
          <w:color w:val="000000" w:themeColor="dark1"/>
        </w:rPr>
        <w:t xml:space="preserve">Поставщик</w:t>
      </w:r>
      <w:r>
        <w:rPr>
          <w:b/>
          <w:color w:val="000000" w:themeColor="dark1"/>
        </w:rPr>
        <w:t xml:space="preserve"> </w:t>
      </w:r>
      <w:r>
        <w:rPr>
          <w:color w:val="000000" w:themeColor="dark1"/>
        </w:rPr>
        <w:t xml:space="preserve">выплачивает Заказчику штраф в размере 10 % цены договора </w:t>
      </w:r>
      <w:r>
        <w:rPr>
          <w:i/>
          <w:color w:val="000000" w:themeColor="dark1"/>
        </w:rPr>
        <w:t xml:space="preserve">(этапа)</w:t>
      </w:r>
      <w:r>
        <w:rPr>
          <w:color w:val="000000" w:themeColor="dark1"/>
        </w:rPr>
        <w:t xml:space="preserve">.</w:t>
      </w:r>
      <w:r/>
    </w:p>
    <w:p>
      <w:pPr>
        <w:pStyle w:val="598"/>
        <w:ind w:firstLine="567"/>
        <w:jc w:val="both"/>
        <w:widowControl w:val="off"/>
        <w:rPr>
          <w:color w:val="000000"/>
        </w:rPr>
      </w:pPr>
      <w:r>
        <w:rPr>
          <w:color w:val="000000" w:themeColor="dark1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 w:themeColor="dark1"/>
        </w:rPr>
        <w:t xml:space="preserve"> </w:t>
      </w:r>
      <w:r>
        <w:rPr>
          <w:color w:val="000000" w:themeColor="dark1"/>
        </w:rPr>
        <w:t xml:space="preserve">Поставщик</w:t>
      </w:r>
      <w:r>
        <w:rPr>
          <w:b/>
          <w:color w:val="000000" w:themeColor="dark1"/>
        </w:rPr>
        <w:t xml:space="preserve"> </w:t>
      </w:r>
      <w:r>
        <w:rPr>
          <w:color w:val="000000" w:themeColor="dark1"/>
        </w:rPr>
        <w:t xml:space="preserve">выплачивает Заказчику штраф: 1000 рублей.</w:t>
      </w:r>
      <w:r/>
    </w:p>
    <w:p>
      <w:pPr>
        <w:pStyle w:val="598"/>
        <w:ind w:firstLine="567"/>
        <w:jc w:val="both"/>
        <w:widowControl w:val="off"/>
        <w:rPr>
          <w:color w:val="000000"/>
        </w:rPr>
      </w:pPr>
      <w:r>
        <w:rPr>
          <w:color w:val="000000" w:themeColor="dark1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/>
    </w:p>
    <w:p>
      <w:pPr>
        <w:pStyle w:val="598"/>
        <w:ind w:firstLine="567"/>
        <w:jc w:val="both"/>
        <w:widowControl w:val="off"/>
        <w:rPr>
          <w:color w:val="000000"/>
        </w:rPr>
      </w:pPr>
      <w:r>
        <w:rPr>
          <w:color w:val="000000" w:themeColor="dark1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/>
    </w:p>
    <w:p>
      <w:pPr>
        <w:pStyle w:val="598"/>
        <w:ind w:firstLine="567"/>
        <w:jc w:val="both"/>
        <w:rPr>
          <w:color w:val="000000"/>
        </w:rPr>
      </w:pPr>
      <w:r>
        <w:rPr>
          <w:color w:val="000000" w:themeColor="dark1"/>
        </w:rPr>
      </w:r>
      <w:r/>
    </w:p>
    <w:p>
      <w:pPr>
        <w:pStyle w:val="624"/>
        <w:spacing w:after="0" w:before="0"/>
        <w:tabs>
          <w:tab w:val="clear" w:pos="708" w:leader="none"/>
          <w:tab w:val="left" w:pos="1134" w:leader="none"/>
        </w:tabs>
        <w:rPr>
          <w:b w:val="false"/>
          <w:color w:val="000000"/>
        </w:rPr>
      </w:pPr>
      <w:r>
        <w:rPr>
          <w:b w:val="false"/>
          <w:color w:val="000000" w:themeColor="dark1"/>
        </w:rPr>
        <w:t xml:space="preserve">8. Срок действия договора</w:t>
      </w:r>
      <w:r/>
    </w:p>
    <w:p>
      <w:pPr>
        <w:pStyle w:val="598"/>
        <w:rPr>
          <w:color w:val="000000"/>
        </w:rPr>
      </w:pPr>
      <w:r>
        <w:rPr>
          <w:color w:val="000000" w:themeColor="dark1"/>
        </w:rPr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8.1. </w:t>
      </w:r>
      <w:r>
        <w:rPr>
          <w:rFonts w:cs="Arial"/>
          <w:color w:val="000000" w:themeColor="dark1"/>
        </w:rPr>
        <w:t xml:space="preserve">Настоящий договор вступает в силу с момента заключения и действует до 31.12.2026г</w:t>
      </w:r>
      <w:r>
        <w:rPr>
          <w:color w:val="000000" w:themeColor="dark1"/>
        </w:rPr>
        <w:t xml:space="preserve">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/>
    </w:p>
    <w:p>
      <w:pPr>
        <w:pStyle w:val="598"/>
        <w:ind w:firstLine="567"/>
        <w:jc w:val="both"/>
        <w:rPr>
          <w:color w:val="000000"/>
        </w:rPr>
      </w:pPr>
      <w:r>
        <w:rPr>
          <w:color w:val="000000" w:themeColor="dark1"/>
        </w:rPr>
      </w:r>
      <w:r/>
    </w:p>
    <w:p>
      <w:pPr>
        <w:pStyle w:val="624"/>
        <w:spacing w:after="0" w:before="0"/>
        <w:tabs>
          <w:tab w:val="left" w:pos="432" w:leader="none"/>
          <w:tab w:val="clear" w:pos="708" w:leader="none"/>
          <w:tab w:val="left" w:pos="1134" w:leader="none"/>
        </w:tabs>
        <w:rPr>
          <w:b w:val="false"/>
          <w:color w:val="000000"/>
        </w:rPr>
      </w:pPr>
      <w:r>
        <w:rPr>
          <w:b w:val="false"/>
          <w:color w:val="000000" w:themeColor="dark1"/>
        </w:rPr>
        <w:t xml:space="preserve">9. переписка Сторон</w:t>
      </w:r>
      <w:r/>
    </w:p>
    <w:p>
      <w:pPr>
        <w:pStyle w:val="598"/>
        <w:rPr>
          <w:color w:val="000000"/>
        </w:rPr>
      </w:pPr>
      <w:r>
        <w:rPr>
          <w:color w:val="000000" w:themeColor="dark1"/>
        </w:rPr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color w:val="000000" w:themeColor="dark1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9.2. </w:t>
      </w:r>
      <w:r>
        <w:rPr>
          <w:color w:val="000000" w:themeColor="dark1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/>
    </w:p>
    <w:p>
      <w:pPr>
        <w:pStyle w:val="598"/>
        <w:ind w:firstLine="567"/>
        <w:jc w:val="both"/>
        <w:rPr>
          <w:color w:val="000000"/>
        </w:rPr>
      </w:pPr>
      <w:r>
        <w:rPr>
          <w:color w:val="000000" w:themeColor="dark1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/>
    </w:p>
    <w:p>
      <w:pPr>
        <w:pStyle w:val="598"/>
        <w:jc w:val="center"/>
        <w:rPr>
          <w:color w:val="000000"/>
        </w:rPr>
      </w:pPr>
      <w:r>
        <w:rPr>
          <w:color w:val="000000" w:themeColor="dark1"/>
        </w:rPr>
        <w:t xml:space="preserve">10. ПРОЧИЕ ПОЛОЖЕНИЯ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9" w:tooltip="http://www.gov-zakupki.ru/zakon/44-fz-id126" w:history="1">
        <w:r>
          <w:rPr>
            <w:color w:val="000000" w:themeColor="dark1"/>
          </w:rPr>
          <w:t xml:space="preserve">05.04.2013 № 44-ФЗ</w:t>
        </w:r>
      </w:hyperlink>
      <w:r>
        <w:rPr>
          <w:color w:val="000000" w:themeColor="dark1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10.3. Все споры и разног</w:t>
      </w:r>
      <w:r>
        <w:rPr>
          <w:color w:val="000000" w:themeColor="dark1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10.4. Стороны осво</w:t>
      </w:r>
      <w:r>
        <w:rPr>
          <w:color w:val="000000" w:themeColor="dark1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color w:val="000000" w:themeColor="dark1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color w:val="000000" w:themeColor="dark1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10.5. Сторона, для которой надлежащее исполнение обязательств оказалось невозможн</w:t>
      </w:r>
      <w:r>
        <w:rPr>
          <w:color w:val="000000" w:themeColor="dark1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К настоящему договору прилагаются:</w:t>
      </w:r>
      <w:r/>
    </w:p>
    <w:p>
      <w:pPr>
        <w:pStyle w:val="598"/>
        <w:ind w:firstLine="567"/>
        <w:tabs>
          <w:tab w:val="clear" w:pos="708" w:leader="none"/>
          <w:tab w:val="right" w:pos="9900" w:leader="none"/>
        </w:tabs>
        <w:rPr>
          <w:color w:val="000000"/>
        </w:rPr>
      </w:pPr>
      <w:r>
        <w:rPr>
          <w:color w:val="000000" w:themeColor="dark1"/>
        </w:rPr>
        <w:t xml:space="preserve">Приложение № 1 – Спецификация.</w:t>
      </w:r>
      <w:r/>
    </w:p>
    <w:p>
      <w:pPr>
        <w:pStyle w:val="598"/>
        <w:jc w:val="center"/>
        <w:rPr>
          <w:color w:val="000000"/>
        </w:rPr>
      </w:pPr>
      <w:r>
        <w:rPr>
          <w:color w:val="000000" w:themeColor="dark1"/>
        </w:rPr>
      </w:r>
      <w:r/>
    </w:p>
    <w:p>
      <w:pPr>
        <w:pStyle w:val="598"/>
        <w:jc w:val="center"/>
        <w:rPr>
          <w:color w:val="000000"/>
        </w:rPr>
      </w:pPr>
      <w:r>
        <w:rPr>
          <w:color w:val="000000" w:themeColor="dark1"/>
        </w:rPr>
        <w:t xml:space="preserve">11.  РЕКВИЗИТЫ И ПОДПИСИ СТОРОН</w:t>
      </w:r>
      <w:r/>
    </w:p>
    <w:tbl>
      <w:tblPr>
        <w:tblW w:w="1584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59"/>
        <w:gridCol w:w="5105"/>
        <w:gridCol w:w="5184"/>
      </w:tblGrid>
      <w:tr>
        <w:trPr>
          <w:trHeight w:val="5302"/>
        </w:trPr>
        <w:tc>
          <w:tcPr>
            <w:tcW w:w="5559" w:type="dxa"/>
            <w:textDirection w:val="lrTb"/>
            <w:noWrap w:val="false"/>
          </w:tcPr>
          <w:p>
            <w:pPr>
              <w:pStyle w:val="598"/>
              <w:ind w:left="142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 w:themeColor="dark1"/>
                <w:sz w:val="22"/>
                <w:szCs w:val="22"/>
              </w:rPr>
              <w:t xml:space="preserve">Заказчик:</w:t>
            </w:r>
            <w:r/>
          </w:p>
          <w:p>
            <w:pPr>
              <w:pStyle w:val="598"/>
              <w:rPr>
                <w:rFonts w:cs="Times New Roman"/>
                <w:b/>
              </w:rPr>
            </w:pPr>
            <w:r>
              <w:rPr>
                <w:rFonts w:cs="Times New Roman" w:eastAsia="Arial Unicode MS"/>
                <w:b/>
                <w:sz w:val="22"/>
                <w:szCs w:val="22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/>
          </w:p>
          <w:p>
            <w:pPr>
              <w:pStyle w:val="598"/>
              <w:ind w:right="0" w:firstLine="0"/>
              <w:rPr>
                <w:rFonts w:cs="Arial" w:eastAsia="Arial Unicode MS"/>
                <w:sz w:val="23"/>
                <w:szCs w:val="23"/>
                <w:lang w:eastAsia="ru-RU"/>
              </w:rPr>
            </w:pPr>
            <w:r>
              <w:rPr>
                <w:rFonts w:cs="Arial" w:eastAsia="Arial Unicode MS"/>
                <w:sz w:val="23"/>
                <w:szCs w:val="23"/>
                <w:lang w:eastAsia="ru-RU"/>
              </w:rPr>
              <w:t xml:space="preserve">Юридический адрес: 610027, г. Киров, ул. Красноармейская, 72</w:t>
            </w:r>
            <w:r/>
          </w:p>
          <w:p>
            <w:pPr>
              <w:pStyle w:val="598"/>
              <w:ind w:right="0" w:firstLine="0"/>
              <w:rPr>
                <w:rFonts w:cs="Arial" w:eastAsia="Arial Unicode MS"/>
                <w:sz w:val="23"/>
                <w:szCs w:val="23"/>
                <w:lang w:eastAsia="ru-RU"/>
              </w:rPr>
            </w:pPr>
            <w:r>
              <w:rPr>
                <w:rFonts w:cs="Arial" w:eastAsia="Arial Unicode MS"/>
                <w:sz w:val="23"/>
                <w:szCs w:val="23"/>
                <w:lang w:eastAsia="ru-RU"/>
              </w:rPr>
              <w:t xml:space="preserve">(8332) 54-97-31, 54-52-92, 54-79-60</w:t>
            </w:r>
            <w:r/>
          </w:p>
          <w:p>
            <w:pPr>
              <w:pStyle w:val="598"/>
              <w:ind w:right="0" w:firstLine="0"/>
              <w:rPr>
                <w:rFonts w:cs="Arial" w:eastAsia="Arial Unicode MS"/>
                <w:sz w:val="23"/>
                <w:szCs w:val="23"/>
                <w:lang w:eastAsia="ru-RU"/>
              </w:rPr>
            </w:pPr>
            <w:r>
              <w:rPr>
                <w:rFonts w:cs="Arial" w:eastAsia="Arial Unicode MS"/>
                <w:sz w:val="23"/>
                <w:szCs w:val="23"/>
                <w:lang w:eastAsia="ru-RU"/>
              </w:rPr>
              <w:t xml:space="preserve">ИНН/КПП 4346007656/434501001</w:t>
            </w:r>
            <w:r/>
          </w:p>
          <w:p>
            <w:pPr>
              <w:pStyle w:val="598"/>
              <w:ind w:right="0" w:firstLine="0"/>
              <w:rPr>
                <w:rFonts w:cs="Arial" w:eastAsia="Arial Unicode MS"/>
                <w:sz w:val="23"/>
                <w:szCs w:val="23"/>
                <w:lang w:eastAsia="ru-RU"/>
              </w:rPr>
            </w:pPr>
            <w:r>
              <w:rPr>
                <w:rFonts w:cs="Arial" w:eastAsia="Arial Unicode MS"/>
                <w:sz w:val="23"/>
                <w:szCs w:val="23"/>
                <w:lang w:eastAsia="ru-RU"/>
              </w:rPr>
              <w:t xml:space="preserve">УФК по Нижегородской области (ФГБУН КНИИГиПК ФМБА России лицевой счет № 20406Ц17940, 21406Ц17940, 22406Ц17940)</w:t>
            </w:r>
            <w:r/>
          </w:p>
          <w:p>
            <w:pPr>
              <w:pStyle w:val="598"/>
              <w:ind w:right="0" w:firstLine="0"/>
              <w:rPr>
                <w:rFonts w:cs="Arial" w:eastAsia="Arial Unicode MS"/>
                <w:sz w:val="23"/>
                <w:szCs w:val="23"/>
                <w:lang w:eastAsia="ru-RU"/>
              </w:rPr>
            </w:pPr>
            <w:r>
              <w:rPr>
                <w:rFonts w:cs="Arial" w:eastAsia="Arial Unicode MS"/>
                <w:sz w:val="23"/>
                <w:szCs w:val="23"/>
                <w:lang w:eastAsia="ru-RU"/>
              </w:rPr>
              <w:t xml:space="preserve">р/сч 03214643000000013246 в ОКЦ № 1 ВВГУ Банка России//УФК по Нижегородской области г. Нижний Новгород</w:t>
            </w:r>
            <w:r/>
          </w:p>
          <w:p>
            <w:pPr>
              <w:pStyle w:val="598"/>
              <w:ind w:right="0" w:firstLine="0"/>
              <w:rPr>
                <w:rFonts w:cs="Arial" w:eastAsia="Arial Unicode MS"/>
                <w:sz w:val="23"/>
                <w:szCs w:val="23"/>
                <w:lang w:eastAsia="ru-RU"/>
              </w:rPr>
            </w:pPr>
            <w:r>
              <w:rPr>
                <w:rFonts w:cs="Arial" w:eastAsia="Arial Unicode MS"/>
                <w:sz w:val="23"/>
                <w:szCs w:val="23"/>
                <w:lang w:eastAsia="ru-RU"/>
              </w:rPr>
              <w:t xml:space="preserve">кор/сч   40102810745370000024</w:t>
            </w:r>
            <w:r/>
          </w:p>
          <w:p>
            <w:pPr>
              <w:pStyle w:val="598"/>
              <w:ind w:right="0" w:firstLine="0"/>
              <w:rPr>
                <w:rFonts w:cs="Arial" w:eastAsia="Arial Unicode MS"/>
                <w:sz w:val="23"/>
                <w:szCs w:val="23"/>
                <w:lang w:eastAsia="ru-RU"/>
              </w:rPr>
            </w:pPr>
            <w:r>
              <w:rPr>
                <w:rFonts w:cs="Arial" w:eastAsia="Arial Unicode MS"/>
                <w:sz w:val="23"/>
                <w:szCs w:val="23"/>
                <w:lang w:eastAsia="ru-RU"/>
              </w:rPr>
              <w:t xml:space="preserve">БИК 012202102</w:t>
            </w:r>
            <w:r/>
          </w:p>
          <w:p>
            <w:pPr>
              <w:pStyle w:val="598"/>
              <w:rPr>
                <w:rFonts w:cs="Times New Roman"/>
              </w:rPr>
            </w:pPr>
            <w:r>
              <w:rPr>
                <w:rFonts w:cs="Times New Roman"/>
              </w:rPr>
            </w:r>
            <w:r/>
          </w:p>
          <w:p>
            <w:pPr>
              <w:pStyle w:val="598"/>
              <w:ind w:left="14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 w:themeColor="dark1"/>
              </w:rPr>
            </w:r>
            <w:r/>
          </w:p>
          <w:p>
            <w:pPr>
              <w:pStyle w:val="598"/>
              <w:ind w:left="14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 w:themeColor="dark1"/>
                <w:sz w:val="22"/>
                <w:szCs w:val="22"/>
              </w:rPr>
              <w:t xml:space="preserve">Директор</w:t>
            </w:r>
            <w:r/>
          </w:p>
          <w:p>
            <w:pPr>
              <w:pStyle w:val="598"/>
              <w:ind w:left="14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 w:themeColor="dark1"/>
              </w:rPr>
            </w:r>
            <w:r/>
          </w:p>
          <w:p>
            <w:pPr>
              <w:pStyle w:val="598"/>
              <w:ind w:left="14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 w:themeColor="dark1"/>
                <w:sz w:val="22"/>
                <w:szCs w:val="22"/>
              </w:rPr>
              <w:t xml:space="preserve">_________________И.В.Парамонов</w:t>
            </w:r>
            <w:r/>
          </w:p>
          <w:p>
            <w:pPr>
              <w:pStyle w:val="598"/>
              <w:ind w:left="14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 w:themeColor="dark1"/>
                <w:sz w:val="22"/>
                <w:szCs w:val="22"/>
              </w:rPr>
              <w:t xml:space="preserve">МП</w:t>
            </w:r>
            <w:r/>
          </w:p>
        </w:tc>
        <w:tc>
          <w:tcPr>
            <w:tcW w:w="5105" w:type="dxa"/>
            <w:textDirection w:val="lrTb"/>
            <w:noWrap w:val="false"/>
          </w:tcPr>
          <w:p>
            <w:pPr>
              <w:pStyle w:val="598"/>
              <w:rPr>
                <w:rFonts w:cs="Times New Roman"/>
                <w:b/>
                <w:color w:val="000000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dark1"/>
                <w:sz w:val="23"/>
                <w:szCs w:val="23"/>
              </w:rPr>
              <w:t xml:space="preserve">Поставщик:</w:t>
            </w:r>
            <w:r/>
          </w:p>
          <w:p>
            <w:pPr>
              <w:pStyle w:val="598"/>
              <w:rPr>
                <w:b/>
                <w:bCs/>
                <w:sz w:val="22"/>
              </w:rPr>
            </w:pPr>
            <w:r/>
            <w:r/>
          </w:p>
          <w:p>
            <w:pPr>
              <w:pStyle w:val="598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/>
          </w:p>
          <w:p>
            <w:pPr>
              <w:pStyle w:val="598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_____________________________ /                         /</w:t>
            </w:r>
            <w:r/>
          </w:p>
          <w:p>
            <w:pPr>
              <w:pStyle w:val="598"/>
              <w:ind w:left="142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color w:val="000000" w:themeColor="dark1"/>
                <w:sz w:val="22"/>
                <w:szCs w:val="22"/>
              </w:rPr>
              <w:t xml:space="preserve">МП</w:t>
            </w:r>
            <w:r/>
          </w:p>
          <w:p>
            <w:pPr>
              <w:pStyle w:val="598"/>
              <w:spacing w:lineRule="atLeast" w:line="200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/>
          </w:p>
          <w:p>
            <w:pPr>
              <w:pStyle w:val="598"/>
              <w:spacing w:lineRule="atLeast" w:line="200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/>
          </w:p>
        </w:tc>
        <w:tc>
          <w:tcPr>
            <w:tcW w:w="5184" w:type="dxa"/>
            <w:textDirection w:val="lrTb"/>
            <w:noWrap w:val="false"/>
          </w:tcPr>
          <w:p>
            <w:pPr>
              <w:pStyle w:val="598"/>
              <w:rPr>
                <w:rFonts w:cs="Times New Roman"/>
                <w:color w:val="000000"/>
                <w:sz w:val="23"/>
                <w:szCs w:val="23"/>
              </w:rPr>
            </w:pPr>
            <w:r>
              <w:rPr>
                <w:rFonts w:cs="Times New Roman"/>
                <w:color w:val="000000" w:themeColor="dark1"/>
                <w:sz w:val="23"/>
                <w:szCs w:val="23"/>
              </w:rPr>
            </w:r>
            <w:r/>
          </w:p>
        </w:tc>
      </w:tr>
    </w:tbl>
    <w:p>
      <w:pPr>
        <w:pStyle w:val="624"/>
        <w:ind w:firstLine="567"/>
        <w:jc w:val="right"/>
        <w:spacing w:after="0" w:before="0"/>
        <w:tabs>
          <w:tab w:val="right" w:pos="0" w:leader="none"/>
          <w:tab w:val="clear" w:pos="708" w:leader="none"/>
        </w:tabs>
        <w:rPr>
          <w:rFonts w:cs="Times New Roman"/>
          <w:b w:val="false"/>
          <w:caps w:val="false"/>
          <w:smallCaps w:val="false"/>
          <w:sz w:val="23"/>
          <w:szCs w:val="23"/>
        </w:rPr>
      </w:pPr>
      <w:r>
        <w:rPr>
          <w:rFonts w:cs="Times New Roman"/>
          <w:b w:val="false"/>
          <w:caps w:val="false"/>
          <w:smallCaps w:val="false"/>
          <w:sz w:val="23"/>
          <w:szCs w:val="23"/>
        </w:rPr>
      </w:r>
      <w:r>
        <w:br w:type="page"/>
      </w:r>
      <w:r/>
    </w:p>
    <w:p>
      <w:pPr>
        <w:pStyle w:val="598"/>
        <w:jc w:val="right"/>
        <w:spacing w:after="0" w:before="0"/>
        <w:tabs>
          <w:tab w:val="center" w:pos="0" w:leader="none"/>
          <w:tab w:val="clear" w:pos="708" w:leader="none"/>
          <w:tab w:val="right" w:pos="9355" w:leader="none"/>
        </w:tabs>
      </w:pPr>
      <w:r>
        <w:t xml:space="preserve">Приложение № 1 к договору поставки</w:t>
      </w:r>
      <w:r/>
    </w:p>
    <w:p>
      <w:pPr>
        <w:pStyle w:val="598"/>
        <w:jc w:val="right"/>
        <w:tabs>
          <w:tab w:val="clear" w:pos="708" w:leader="none"/>
          <w:tab w:val="center" w:pos="4677" w:leader="none"/>
          <w:tab w:val="right" w:pos="9355" w:leader="none"/>
        </w:tabs>
      </w:pPr>
      <w:r>
        <w:t xml:space="preserve">                                                         №</w:t>
      </w:r>
      <w:r>
        <w:rPr>
          <w:b w:val="false"/>
          <w:bCs w:val="false"/>
        </w:rPr>
        <w:t xml:space="preserve"> </w:t>
      </w:r>
      <w:r>
        <w:rPr>
          <w:rFonts w:cs="Times New Roman" w:eastAsia="Times New Roman"/>
          <w:b/>
          <w:bCs w:val="false"/>
          <w:color w:val="000000" w:themeColor="dark1"/>
          <w:sz w:val="23"/>
          <w:szCs w:val="23"/>
          <w:lang w:val="ru-RU" w:bidi="ar-SA" w:eastAsia="ar-SA"/>
        </w:rPr>
        <w:t xml:space="preserve">                                </w:t>
      </w:r>
      <w:r>
        <w:rPr>
          <w:rFonts w:cs="Times New Roman"/>
          <w:b/>
          <w:bCs/>
          <w:color w:val="000000" w:themeColor="dark1"/>
          <w:sz w:val="23"/>
          <w:szCs w:val="23"/>
        </w:rPr>
        <w:t xml:space="preserve"> </w:t>
      </w:r>
      <w:r>
        <w:t xml:space="preserve"> </w:t>
      </w:r>
      <w:r>
        <w:t xml:space="preserve">от  «__»__________2026 г.</w:t>
      </w:r>
      <w:r/>
    </w:p>
    <w:p>
      <w:pPr>
        <w:pStyle w:val="598"/>
        <w:ind w:firstLine="709"/>
        <w:jc w:val="both"/>
        <w:tabs>
          <w:tab w:val="clear" w:pos="708" w:leader="none"/>
          <w:tab w:val="right" w:pos="9900" w:leader="none"/>
        </w:tabs>
      </w:pPr>
      <w:r/>
      <w:r/>
    </w:p>
    <w:p>
      <w:pPr>
        <w:pStyle w:val="598"/>
        <w:ind w:firstLine="709"/>
        <w:jc w:val="center"/>
        <w:tabs>
          <w:tab w:val="clear" w:pos="708" w:leader="none"/>
          <w:tab w:val="right" w:pos="9900" w:leader="none"/>
        </w:tabs>
        <w:rPr>
          <w:b/>
          <w:bCs/>
          <w:smallCaps/>
        </w:rPr>
      </w:pPr>
      <w:r>
        <w:rPr>
          <w:b/>
          <w:bCs/>
          <w:smallCaps/>
        </w:rPr>
        <w:t xml:space="preserve">Спецификация</w:t>
      </w:r>
      <w:r/>
    </w:p>
    <w:p>
      <w:pPr>
        <w:pStyle w:val="598"/>
        <w:ind w:firstLine="709"/>
        <w:jc w:val="center"/>
        <w:tabs>
          <w:tab w:val="clear" w:pos="708" w:leader="none"/>
          <w:tab w:val="right" w:pos="9900" w:leader="none"/>
        </w:tabs>
        <w:rPr>
          <w:b/>
          <w:bCs/>
          <w:smallCaps/>
        </w:rPr>
      </w:pPr>
      <w:r>
        <w:rPr>
          <w:b/>
          <w:bCs/>
          <w:smallCaps/>
        </w:rPr>
        <w:t xml:space="preserve">(характеристика поставляемого товара)</w:t>
      </w:r>
      <w:r/>
    </w:p>
    <w:p>
      <w:pPr>
        <w:pStyle w:val="598"/>
        <w:ind w:firstLine="709"/>
        <w:jc w:val="both"/>
        <w:tabs>
          <w:tab w:val="clear" w:pos="708" w:leader="none"/>
          <w:tab w:val="right" w:pos="9900" w:leader="none"/>
        </w:tabs>
      </w:pPr>
      <w:r>
        <w:t xml:space="preserve">Весь поставляемый Товар должен быть доставлен Заказчику согласно настоящей Спецификации:</w:t>
      </w:r>
      <w:r/>
    </w:p>
    <w:tbl>
      <w:tblPr>
        <w:tblW w:w="1102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9"/>
        <w:gridCol w:w="1814"/>
        <w:gridCol w:w="284"/>
        <w:gridCol w:w="3384"/>
        <w:gridCol w:w="1860"/>
        <w:gridCol w:w="1417"/>
        <w:gridCol w:w="1627"/>
        <w:gridCol w:w="216"/>
      </w:tblGrid>
      <w:tr>
        <w:trPr>
          <w:trHeight w:val="103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19" w:type="dxa"/>
            <w:vAlign w:val="center"/>
            <w:textDirection w:val="lrTb"/>
            <w:noWrap w:val="false"/>
          </w:tcPr>
          <w:p>
            <w:pPr>
              <w:pStyle w:val="5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 xml:space="preserve">п/п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098" w:type="dxa"/>
            <w:vAlign w:val="center"/>
            <w:textDirection w:val="lrTb"/>
            <w:noWrap w:val="false"/>
          </w:tcPr>
          <w:p>
            <w:pPr>
              <w:pStyle w:val="636"/>
              <w:ind w:left="10" w:right="0"/>
              <w:jc w:val="center"/>
              <w:spacing w:after="0" w:before="0"/>
              <w:rPr>
                <w:sz w:val="20"/>
                <w:szCs w:val="23"/>
              </w:rPr>
            </w:pPr>
            <w:r>
              <w:rPr>
                <w:sz w:val="20"/>
                <w:szCs w:val="23"/>
                <w:lang w:eastAsia="en-US"/>
              </w:rPr>
              <w:t xml:space="preserve">Наименование и характеристика товара</w:t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84" w:type="dxa"/>
            <w:vAlign w:val="center"/>
            <w:textDirection w:val="lrTb"/>
            <w:noWrap w:val="false"/>
          </w:tcPr>
          <w:p>
            <w:pPr>
              <w:pStyle w:val="5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Описание продукции </w:t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pStyle w:val="5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Кол-во</w:t>
            </w:r>
            <w:r>
              <w:rPr>
                <w:sz w:val="20"/>
              </w:rPr>
            </w:r>
          </w:p>
          <w:p>
            <w:pPr>
              <w:pStyle w:val="5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(ед изм) шт</w:t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636"/>
              <w:ind w:left="0" w:right="0"/>
              <w:jc w:val="center"/>
              <w:spacing w:after="0" w:before="0"/>
              <w:rPr>
                <w:sz w:val="20"/>
                <w:szCs w:val="24"/>
              </w:rPr>
            </w:pPr>
            <w:r>
              <w:rPr>
                <w:sz w:val="20"/>
                <w:szCs w:val="24"/>
                <w:lang w:eastAsia="en-US"/>
              </w:rPr>
              <w:t xml:space="preserve">Цена за ед. </w:t>
            </w:r>
            <w:r>
              <w:rPr>
                <w:sz w:val="20"/>
                <w:szCs w:val="24"/>
              </w:rPr>
              <w:t xml:space="preserve">руб.</w:t>
            </w:r>
            <w:r>
              <w:rPr>
                <w:sz w:val="20"/>
                <w:szCs w:val="24"/>
                <w:lang w:eastAsia="en-US"/>
              </w:rPr>
              <w:t xml:space="preserve"> в том числе НДС</w:t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27" w:type="dxa"/>
            <w:vAlign w:val="center"/>
            <w:textDirection w:val="lrTb"/>
            <w:noWrap w:val="false"/>
          </w:tcPr>
          <w:p>
            <w:pPr>
              <w:pStyle w:val="636"/>
              <w:ind w:left="0" w:right="0"/>
              <w:jc w:val="center"/>
              <w:spacing w:after="0" w:before="0"/>
              <w:rPr>
                <w:sz w:val="20"/>
                <w:szCs w:val="24"/>
              </w:rPr>
            </w:pPr>
            <w:r>
              <w:rPr>
                <w:sz w:val="20"/>
                <w:szCs w:val="24"/>
                <w:lang w:eastAsia="en-US"/>
              </w:rPr>
              <w:t xml:space="preserve">Общая цена руб. в том числе НДС</w:t>
            </w:r>
            <w:r>
              <w:rPr>
                <w:sz w:val="20"/>
              </w:rPr>
            </w:r>
          </w:p>
        </w:tc>
        <w:tc>
          <w:tcPr>
            <w:tcW w:w="216" w:type="dxa"/>
            <w:textDirection w:val="lrTb"/>
            <w:noWrap w:val="false"/>
          </w:tcPr>
          <w:p>
            <w:pPr>
              <w:pStyle w:val="59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039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19" w:type="dxa"/>
            <w:vAlign w:val="center"/>
            <w:textDirection w:val="lrTb"/>
            <w:noWrap w:val="false"/>
          </w:tcPr>
          <w:p>
            <w:pPr>
              <w:pStyle w:val="5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2098" w:type="dxa"/>
            <w:vAlign w:val="center"/>
            <w:textDirection w:val="lrTb"/>
            <w:noWrap w:val="false"/>
          </w:tcPr>
          <w:p>
            <w:pPr>
              <w:pStyle w:val="1_1858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Брошюра о донорстве костного мозга в мягком переплете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384" w:type="dxa"/>
            <w:vAlign w:val="center"/>
            <w:textDirection w:val="lrTb"/>
            <w:noWrap w:val="false"/>
          </w:tcPr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Формат: 210 на 210мм (в готовом виде).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Печать: цифровая (качественная и яркая). 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Бумага на блок мелованная матовая 200 гр./м2</w:t>
            </w:r>
            <w:r/>
          </w:p>
          <w:p>
            <w:pPr>
              <w:pStyle w:val="1_1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Красочность 4+4.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Объем: 24 стр. 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Защита вд лакировкой.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Клеевое шовное скрепление.</w:t>
            </w:r>
            <w:r>
              <w:rPr>
                <w:b/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Обложка (мягкая)</w:t>
            </w:r>
            <w:r>
              <w:rPr>
                <w:sz w:val="20"/>
                <w:szCs w:val="20"/>
              </w:rPr>
              <w:t xml:space="preserve"> мелованная матовая 250 г. Красочность 4+4, 4 стр, ламинация обложки 1+0 софт скин, выборочный УФ лак.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Разработка и верстка макета, корректура, допечатная подготовка.  </w:t>
              <w:br/>
              <w:t xml:space="preserve">Доставка: Кировская область, Киров, ул. Красноармейская, 72.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pStyle w:val="636"/>
              <w:ind w:left="10" w:right="0"/>
              <w:jc w:val="center"/>
              <w:spacing w:after="0" w:before="0"/>
              <w:widowControl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color w:val="auto"/>
                <w:sz w:val="20"/>
                <w:lang w:val="ru-RU" w:bidi="ar-SA"/>
              </w:rPr>
              <w:t xml:space="preserve">100</w:t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636"/>
              <w:ind w:left="0" w:right="0"/>
              <w:jc w:val="center"/>
              <w:spacing w:after="0" w:before="0"/>
              <w:rPr>
                <w:sz w:val="20"/>
                <w:szCs w:val="24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27" w:type="dxa"/>
            <w:vAlign w:val="center"/>
            <w:textDirection w:val="lrTb"/>
            <w:noWrap w:val="false"/>
          </w:tcPr>
          <w:p>
            <w:pPr>
              <w:pStyle w:val="636"/>
              <w:ind w:left="0" w:right="0"/>
              <w:jc w:val="center"/>
              <w:spacing w:after="0" w:before="0"/>
              <w:rPr>
                <w:sz w:val="20"/>
                <w:szCs w:val="24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16" w:type="dxa"/>
            <w:textDirection w:val="lrTb"/>
            <w:noWrap w:val="false"/>
          </w:tcPr>
          <w:p>
            <w:pPr>
              <w:pStyle w:val="59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039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19" w:type="dxa"/>
            <w:vAlign w:val="center"/>
            <w:textDirection w:val="lrTb"/>
            <w:noWrap w:val="false"/>
          </w:tcPr>
          <w:p>
            <w:pPr>
              <w:pStyle w:val="5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2098" w:type="dxa"/>
            <w:vAlign w:val="center"/>
            <w:textDirection w:val="lrTb"/>
            <w:noWrap w:val="false"/>
          </w:tcPr>
          <w:p>
            <w:pPr>
              <w:pStyle w:val="1_1858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Брошюра о донорстве костного мозга в твердом переплете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384" w:type="dxa"/>
            <w:vAlign w:val="center"/>
            <w:textDirection w:val="lrTb"/>
            <w:noWrap w:val="false"/>
          </w:tcPr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Формат: 210 на 210 (в готовом виде).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Печать: цифровая (качественная и яркая). 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Бумага на блок мелованная матовая 200 гр./м2</w:t>
            </w:r>
            <w:r/>
          </w:p>
          <w:p>
            <w:pPr>
              <w:pStyle w:val="1_1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Красочность 4+4.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Объем: 24 стр. 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Защита вд лакировкой.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Клеевое шовное скрепление. Переплет.</w:t>
            </w:r>
            <w:r>
              <w:rPr>
                <w:b/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Обложка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(твердая)</w:t>
            </w:r>
            <w:r>
              <w:rPr>
                <w:sz w:val="20"/>
                <w:szCs w:val="20"/>
              </w:rPr>
              <w:t xml:space="preserve">, переплетная крышка с ламинацией матовой пленкой. Красочность 4+4, 4 стр.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Форзац 4+4.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Разработка и верстка макета, корректура, допечатная подготовка. </w:t>
            </w:r>
            <w:r>
              <w:rPr>
                <w:sz w:val="20"/>
                <w:szCs w:val="20"/>
              </w:rPr>
            </w:r>
            <w:r>
              <w:rPr>
                <w:sz w:val="20"/>
              </w:rPr>
            </w:r>
          </w:p>
          <w:p>
            <w:pPr>
              <w:pStyle w:val="1_1858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Доставка: Кировская область, Киров, ул. Красноармейская, 72.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pStyle w:val="636"/>
              <w:ind w:left="10" w:right="0"/>
              <w:jc w:val="center"/>
              <w:spacing w:after="0" w:before="0"/>
              <w:widowControl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color w:val="auto"/>
                <w:sz w:val="20"/>
                <w:lang w:val="ru-RU" w:bidi="ar-SA"/>
              </w:rPr>
              <w:t xml:space="preserve">50</w:t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636"/>
              <w:ind w:left="0" w:right="0"/>
              <w:jc w:val="center"/>
              <w:spacing w:after="0" w:before="0"/>
              <w:rPr>
                <w:sz w:val="20"/>
                <w:szCs w:val="24"/>
              </w:rPr>
            </w:pPr>
            <w:r>
              <w:rPr>
                <w:sz w:val="20"/>
                <w:szCs w:val="24"/>
                <w:lang w:eastAsia="en-US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27" w:type="dxa"/>
            <w:vAlign w:val="center"/>
            <w:textDirection w:val="lrTb"/>
            <w:noWrap w:val="false"/>
          </w:tcPr>
          <w:p>
            <w:pPr>
              <w:pStyle w:val="636"/>
              <w:ind w:left="0" w:right="0"/>
              <w:jc w:val="center"/>
              <w:spacing w:after="0" w:before="0"/>
              <w:rPr>
                <w:sz w:val="20"/>
                <w:szCs w:val="24"/>
              </w:rPr>
            </w:pPr>
            <w:r>
              <w:rPr>
                <w:sz w:val="20"/>
                <w:szCs w:val="24"/>
                <w:lang w:eastAsia="en-US"/>
              </w:rPr>
            </w:r>
            <w:r>
              <w:rPr>
                <w:sz w:val="20"/>
              </w:rPr>
            </w:r>
          </w:p>
        </w:tc>
        <w:tc>
          <w:tcPr>
            <w:tcW w:w="216" w:type="dxa"/>
            <w:textDirection w:val="lrTb"/>
            <w:noWrap w:val="false"/>
          </w:tcPr>
          <w:p>
            <w:pPr>
              <w:pStyle w:val="59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423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3" w:type="dxa"/>
            <w:vAlign w:val="center"/>
            <w:textDirection w:val="lrTb"/>
            <w:noWrap w:val="false"/>
          </w:tcPr>
          <w:p>
            <w:pPr>
              <w:pStyle w:val="59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4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pStyle w:val="5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ИТОГО</w:t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27" w:type="dxa"/>
            <w:vAlign w:val="center"/>
            <w:textDirection w:val="lrTb"/>
            <w:noWrap w:val="false"/>
          </w:tcPr>
          <w:p>
            <w:pPr>
              <w:pStyle w:val="636"/>
              <w:ind w:left="0" w:right="0"/>
              <w:jc w:val="center"/>
              <w:spacing w:after="0" w:before="0"/>
              <w:rPr>
                <w:sz w:val="20"/>
                <w:szCs w:val="24"/>
              </w:rPr>
            </w:pPr>
            <w:r>
              <w:rPr>
                <w:sz w:val="20"/>
                <w:szCs w:val="24"/>
                <w:lang w:eastAsia="en-US"/>
              </w:rPr>
            </w:r>
            <w:r>
              <w:rPr>
                <w:sz w:val="20"/>
              </w:rPr>
            </w:r>
          </w:p>
        </w:tc>
        <w:tc>
          <w:tcPr>
            <w:tcW w:w="216" w:type="dxa"/>
            <w:textDirection w:val="lrTb"/>
            <w:noWrap w:val="false"/>
          </w:tcPr>
          <w:p>
            <w:pPr>
              <w:pStyle w:val="59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</w:pPr>
      <w:r/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i/>
          <w:u w:val="single"/>
          <w:lang w:eastAsia="en-US"/>
        </w:rPr>
      </w:pPr>
      <w:r>
        <w:rPr>
          <w:rFonts w:cs="Times New Roman" w:eastAsia="Times New Roman"/>
          <w:i w:val="false"/>
          <w:iCs w:val="false"/>
          <w:color w:val="000000" w:themeColor="dark1"/>
          <w:sz w:val="23"/>
          <w:szCs w:val="23"/>
          <w:u w:val="none"/>
          <w:lang w:val="ru-RU" w:bidi="ar-SA" w:eastAsia="ar-SA"/>
        </w:rPr>
        <w:t xml:space="preserve"> </w:t>
      </w:r>
      <w:r/>
    </w:p>
    <w:p>
      <w:pPr>
        <w:pStyle w:val="598"/>
        <w:ind w:firstLine="567"/>
        <w:jc w:val="both"/>
        <w:tabs>
          <w:tab w:val="clear" w:pos="708" w:leader="none"/>
          <w:tab w:val="right" w:pos="9900" w:leader="none"/>
        </w:tabs>
        <w:rPr>
          <w:i/>
          <w:u w:val="single"/>
          <w:lang w:eastAsia="en-US"/>
        </w:rPr>
      </w:pPr>
      <w:r>
        <w:rPr>
          <w:i/>
          <w:u w:val="single"/>
          <w:lang w:eastAsia="en-US"/>
        </w:rPr>
      </w:r>
      <w:r/>
    </w:p>
    <w:tbl>
      <w:tblPr>
        <w:tblW w:w="5000" w:type="pct"/>
        <w:jc w:val="righ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54"/>
        <w:gridCol w:w="5476"/>
      </w:tblGrid>
      <w:tr>
        <w:trPr/>
        <w:tc>
          <w:tcPr>
            <w:tcW w:w="5154" w:type="dxa"/>
            <w:textDirection w:val="lrTb"/>
            <w:noWrap w:val="false"/>
          </w:tcPr>
          <w:p>
            <w:pPr>
              <w:pStyle w:val="598"/>
              <w:ind w:left="18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Директор :</w:t>
            </w:r>
            <w:r/>
          </w:p>
          <w:p>
            <w:pPr>
              <w:pStyle w:val="598"/>
              <w:ind w:left="18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  <w:r/>
          </w:p>
          <w:p>
            <w:pPr>
              <w:pStyle w:val="598"/>
              <w:ind w:left="18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  <w:r/>
          </w:p>
          <w:p>
            <w:pPr>
              <w:pStyle w:val="598"/>
              <w:ind w:left="18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  <w:r/>
          </w:p>
          <w:p>
            <w:pPr>
              <w:pStyle w:val="598"/>
              <w:ind w:left="18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_____________________ И.П.Парамонов</w:t>
            </w:r>
            <w:r/>
          </w:p>
          <w:p>
            <w:pPr>
              <w:pStyle w:val="598"/>
              <w:ind w:left="18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М.П.</w:t>
            </w:r>
            <w:r/>
          </w:p>
        </w:tc>
        <w:tc>
          <w:tcPr>
            <w:tcW w:w="5476" w:type="dxa"/>
            <w:textDirection w:val="lrTb"/>
            <w:noWrap w:val="false"/>
          </w:tcPr>
          <w:p>
            <w:pPr>
              <w:pStyle w:val="598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2"/>
              </w:rPr>
              <w:t xml:space="preserve"> </w:t>
            </w:r>
            <w:r/>
          </w:p>
          <w:p>
            <w:pPr>
              <w:pStyle w:val="598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  <w:r/>
          </w:p>
          <w:p>
            <w:pPr>
              <w:pStyle w:val="598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  <w:r/>
          </w:p>
          <w:p>
            <w:pPr>
              <w:pStyle w:val="598"/>
            </w:pPr>
            <w:r>
              <w:rPr>
                <w:b w:val="false"/>
                <w:bCs w:val="false"/>
                <w:sz w:val="22"/>
              </w:rPr>
              <w:t xml:space="preserve">____________________  </w:t>
            </w:r>
            <w:r>
              <w:rPr>
                <w:rFonts w:cs="Calibri" w:eastAsia="Times New Roman"/>
                <w:b w:val="false"/>
                <w:bCs w:val="false"/>
                <w:color w:val="auto"/>
                <w:sz w:val="20"/>
                <w:szCs w:val="20"/>
                <w:lang w:val="ru-RU" w:bidi="ar-SA" w:eastAsia="ar-SA"/>
              </w:rPr>
              <w:t xml:space="preserve"> </w:t>
            </w:r>
            <w:r/>
          </w:p>
          <w:p>
            <w:pPr>
              <w:pStyle w:val="598"/>
              <w:ind w:left="0" w:firstLine="0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color w:val="000000" w:themeColor="dark1"/>
                <w:sz w:val="22"/>
                <w:szCs w:val="22"/>
              </w:rPr>
              <w:t xml:space="preserve">МП</w:t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488" w:right="709" w:bottom="426" w:left="567" w:header="0" w:footer="0" w:gutter="0"/>
          <w:cols w:num="1" w:sep="0" w:space="1701" w:equalWidth="1"/>
          <w:docGrid w:linePitch="360"/>
        </w:sectPr>
      </w:pPr>
      <w:r/>
      <w:r/>
    </w:p>
    <w:p>
      <w:pPr>
        <w:pStyle w:val="598"/>
      </w:pPr>
      <w:r/>
      <w:r/>
    </w:p>
    <w:sectPr>
      <w:footnotePr/>
      <w:endnotePr/>
      <w:type w:val="nextPage"/>
      <w:pgSz w:w="16838" w:h="11906" w:orient="landscape"/>
      <w:pgMar w:top="709" w:right="709" w:bottom="851" w:left="56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Liberation Sans">
    <w:panose1 w:val="020B0604020202020204"/>
  </w:font>
  <w:font w:name="Courier New">
    <w:panose1 w:val="02070309020205020404"/>
  </w:font>
  <w:font w:name="OpenSymbol">
    <w:panose1 w:val="05010000000000000000"/>
  </w:font>
  <w:font w:name="Cambria">
    <w:panose1 w:val="02040503050406030204"/>
  </w:font>
  <w:font w:name="Segoe UI">
    <w:panose1 w:val="020B0502040204020203"/>
  </w:font>
  <w:font w:name="Liberation Serif">
    <w:panose1 w:val="02020603050405020304"/>
  </w:font>
  <w:font w:name="Microsoft YaHei">
    <w:panose1 w:val="020B05030202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Tahoma">
    <w:panose1 w:val="020B060403050404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ahoma" w:eastAsia="Calibri" w:hint="default"/>
        <w:sz w:val="22"/>
        <w:szCs w:val="22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0">
    <w:name w:val="No List"/>
    <w:uiPriority w:val="99"/>
    <w:semiHidden/>
    <w:unhideWhenUsed/>
  </w:style>
  <w:style w:type="character" w:styleId="12">
    <w:name w:val="Heading 1 Char"/>
    <w:basedOn w:val="600"/>
    <w:link w:val="599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00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00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00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00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00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00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00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00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600"/>
    <w:link w:val="623"/>
    <w:uiPriority w:val="10"/>
    <w:rPr>
      <w:sz w:val="48"/>
      <w:szCs w:val="48"/>
    </w:rPr>
  </w:style>
  <w:style w:type="character" w:styleId="35">
    <w:name w:val="Subtitle Char"/>
    <w:basedOn w:val="600"/>
    <w:link w:val="632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0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0"/>
    <w:link w:val="42"/>
    <w:uiPriority w:val="99"/>
  </w:style>
  <w:style w:type="character" w:styleId="45">
    <w:name w:val="Caption Char"/>
    <w:basedOn w:val="617"/>
    <w:link w:val="42"/>
    <w:uiPriority w:val="99"/>
  </w:style>
  <w:style w:type="table" w:styleId="46">
    <w:name w:val="Table Grid"/>
    <w:basedOn w:val="64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4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4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4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4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4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4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4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4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4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4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64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4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0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0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rPr>
      <w:rFonts w:ascii="Times New Roman" w:hAnsi="Times New Roman" w:cs="Calibri" w:eastAsia="Times New Roman"/>
      <w:color w:val="auto"/>
      <w:sz w:val="24"/>
      <w:szCs w:val="24"/>
      <w:lang w:val="ru-RU" w:bidi="ar-SA" w:eastAsia="ar-SA"/>
    </w:rPr>
    <w:pPr>
      <w:jc w:val="left"/>
      <w:spacing w:after="0" w:before="0"/>
      <w:widowControl/>
    </w:pPr>
  </w:style>
  <w:style w:type="paragraph" w:styleId="599">
    <w:name w:val="Heading 1"/>
    <w:basedOn w:val="619"/>
    <w:next w:val="615"/>
    <w:qFormat/>
    <w:rPr>
      <w:rFonts w:ascii="Liberation Serif" w:hAnsi="Liberation Serif" w:cs="Tahoma" w:eastAsia="Segoe UI"/>
      <w:b/>
      <w:bCs/>
      <w:sz w:val="48"/>
      <w:szCs w:val="48"/>
    </w:rPr>
    <w:pPr>
      <w:spacing w:after="120" w:before="240"/>
      <w:outlineLvl w:val="0"/>
    </w:pPr>
  </w:style>
  <w:style w:type="character" w:styleId="600" w:default="1">
    <w:name w:val="Default Paragraph Font"/>
    <w:qFormat/>
    <w:uiPriority w:val="1"/>
    <w:semiHidden/>
    <w:unhideWhenUsed/>
  </w:style>
  <w:style w:type="character" w:styleId="601" w:customStyle="1">
    <w:name w:val="Контракт-раздел Знак Знак"/>
    <w:qFormat/>
    <w:rPr>
      <w:b/>
      <w:bCs/>
      <w:caps/>
      <w:sz w:val="24"/>
      <w:szCs w:val="24"/>
      <w:lang w:val="ru-RU" w:bidi="ar-SA" w:eastAsia="ar-SA"/>
    </w:rPr>
  </w:style>
  <w:style w:type="character" w:styleId="602" w:customStyle="1">
    <w:name w:val="Основной текст 2 Знак"/>
    <w:link w:val="629"/>
    <w:qFormat/>
    <w:rPr>
      <w:rFonts w:ascii="Times New Roman" w:hAnsi="Times New Roman" w:cs="Times New Roman" w:eastAsia="Times New Roman"/>
      <w:sz w:val="24"/>
      <w:szCs w:val="24"/>
    </w:rPr>
  </w:style>
  <w:style w:type="character" w:styleId="603" w:customStyle="1">
    <w:name w:val="Название Знак"/>
    <w:basedOn w:val="600"/>
    <w:qFormat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604" w:customStyle="1">
    <w:name w:val="Текст примечания Знак"/>
    <w:basedOn w:val="600"/>
    <w:qFormat/>
    <w:rPr>
      <w:rFonts w:ascii="Times New Roman" w:hAnsi="Times New Roman" w:cs="Calibri" w:eastAsia="Times New Roman"/>
      <w:sz w:val="20"/>
      <w:szCs w:val="20"/>
      <w:lang w:eastAsia="ar-SA"/>
    </w:rPr>
  </w:style>
  <w:style w:type="character" w:styleId="605" w:customStyle="1">
    <w:name w:val="Тема примечания Знак"/>
    <w:basedOn w:val="604"/>
    <w:link w:val="626"/>
    <w:qFormat/>
    <w:rPr>
      <w:rFonts w:ascii="Times New Roman" w:hAnsi="Times New Roman" w:cs="Calibri" w:eastAsia="Times New Roman"/>
      <w:b/>
      <w:bCs/>
      <w:sz w:val="20"/>
      <w:szCs w:val="20"/>
      <w:lang w:eastAsia="ar-SA"/>
    </w:rPr>
  </w:style>
  <w:style w:type="character" w:styleId="606" w:customStyle="1">
    <w:name w:val="Основной текст 2 Знак1"/>
    <w:basedOn w:val="600"/>
    <w:qFormat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607" w:customStyle="1">
    <w:name w:val="Подзаголовок Знак"/>
    <w:basedOn w:val="600"/>
    <w:qFormat/>
    <w:rPr>
      <w:rFonts w:ascii="Cambria" w:hAnsi="Cambria" w:cs="Tahoma" w:eastAsia="Calibri"/>
      <w:i/>
      <w:iCs/>
      <w:color w:val="4F81BD" w:themeColor="accent1"/>
      <w:spacing w:val="15"/>
      <w:sz w:val="24"/>
      <w:szCs w:val="24"/>
      <w:lang w:eastAsia="ar-SA"/>
    </w:rPr>
  </w:style>
  <w:style w:type="character" w:styleId="608">
    <w:name w:val="Strong"/>
    <w:qFormat/>
    <w:rPr>
      <w:b/>
      <w:bCs/>
    </w:rPr>
  </w:style>
  <w:style w:type="character" w:styleId="609">
    <w:name w:val="Hyperlink"/>
    <w:rPr>
      <w:color w:val="0000FF"/>
      <w:u w:val="single"/>
    </w:rPr>
  </w:style>
  <w:style w:type="character" w:styleId="610" w:customStyle="1">
    <w:name w:val="Текст выноски Знак"/>
    <w:basedOn w:val="600"/>
    <w:link w:val="635"/>
    <w:qFormat/>
    <w:rPr>
      <w:rFonts w:ascii="Tahoma" w:hAnsi="Tahoma" w:cs="Tahoma" w:eastAsia="Times New Roman"/>
      <w:sz w:val="16"/>
      <w:szCs w:val="16"/>
      <w:lang w:eastAsia="ar-SA"/>
    </w:rPr>
  </w:style>
  <w:style w:type="character" w:styleId="611" w:customStyle="1">
    <w:name w:val="Схема документа Знак"/>
    <w:basedOn w:val="600"/>
    <w:link w:val="637"/>
    <w:qFormat/>
    <w:rPr>
      <w:rFonts w:ascii="Tahoma" w:hAnsi="Tahoma" w:cs="Tahoma" w:eastAsia="Times New Roman"/>
      <w:sz w:val="16"/>
      <w:szCs w:val="16"/>
      <w:lang w:eastAsia="ar-SA"/>
    </w:rPr>
  </w:style>
  <w:style w:type="character" w:styleId="612" w:customStyle="1">
    <w:name w:val="Маркеры (user)"/>
    <w:qFormat/>
    <w:rPr>
      <w:rFonts w:ascii="OpenSymbol" w:hAnsi="OpenSymbol" w:cs="OpenSymbol" w:eastAsia="OpenSymbol"/>
    </w:rPr>
  </w:style>
  <w:style w:type="character" w:styleId="613">
    <w:name w:val="FollowedHyperlink"/>
    <w:basedOn w:val="600"/>
    <w:rPr>
      <w:rFonts w:cs="Times New Roman"/>
      <w:color w:val="800080"/>
      <w:u w:val="single"/>
    </w:rPr>
  </w:style>
  <w:style w:type="paragraph" w:styleId="614">
    <w:name w:val="Заголовок"/>
    <w:basedOn w:val="598"/>
    <w:next w:val="615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615">
    <w:name w:val="Body Text"/>
    <w:basedOn w:val="598"/>
    <w:pPr>
      <w:spacing w:lineRule="auto" w:line="276" w:after="140" w:before="0"/>
    </w:pPr>
  </w:style>
  <w:style w:type="paragraph" w:styleId="616">
    <w:name w:val="List"/>
    <w:basedOn w:val="615"/>
    <w:rPr>
      <w:rFonts w:cs="Arial"/>
    </w:rPr>
  </w:style>
  <w:style w:type="paragraph" w:styleId="617">
    <w:name w:val="Caption"/>
    <w:basedOn w:val="598"/>
    <w:qFormat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618">
    <w:name w:val="Указатель"/>
    <w:basedOn w:val="598"/>
    <w:qFormat/>
    <w:rPr>
      <w:rFonts w:cs="Arial"/>
    </w:rPr>
    <w:pPr>
      <w:suppressLineNumbers/>
    </w:pPr>
  </w:style>
  <w:style w:type="paragraph" w:styleId="619" w:customStyle="1">
    <w:name w:val="Заголовок (user)"/>
    <w:basedOn w:val="598"/>
    <w:next w:val="615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620">
    <w:name w:val="Указатель (user)"/>
    <w:basedOn w:val="598"/>
    <w:qFormat/>
    <w:rPr>
      <w:rFonts w:cs="Arial"/>
    </w:rPr>
    <w:pPr>
      <w:suppressLineNumbers/>
    </w:pPr>
  </w:style>
  <w:style w:type="paragraph" w:styleId="621">
    <w:name w:val="caption1"/>
    <w:basedOn w:val="598"/>
    <w:qFormat/>
    <w:rPr>
      <w:rFonts w:cs="Arial"/>
      <w:i/>
      <w:iCs/>
    </w:rPr>
    <w:pPr>
      <w:spacing w:after="120" w:before="120"/>
      <w:suppressLineNumbers/>
    </w:pPr>
  </w:style>
  <w:style w:type="paragraph" w:styleId="622">
    <w:name w:val="index heading"/>
    <w:basedOn w:val="598"/>
    <w:qFormat/>
    <w:rPr>
      <w:rFonts w:cs="Arial"/>
    </w:rPr>
    <w:pPr>
      <w:suppressLineNumbers/>
    </w:pPr>
  </w:style>
  <w:style w:type="paragraph" w:styleId="623">
    <w:name w:val="Title"/>
    <w:basedOn w:val="598"/>
    <w:next w:val="632"/>
    <w:link w:val="603"/>
    <w:qFormat/>
    <w:pPr>
      <w:jc w:val="center"/>
    </w:pPr>
  </w:style>
  <w:style w:type="paragraph" w:styleId="624" w:customStyle="1">
    <w:name w:val="Контракт-раздел"/>
    <w:basedOn w:val="598"/>
    <w:next w:val="598"/>
    <w:qFormat/>
    <w:rPr>
      <w:b/>
      <w:bCs/>
      <w:caps/>
    </w:rPr>
    <w:pPr>
      <w:jc w:val="center"/>
      <w:keepNext/>
      <w:spacing w:after="120" w:before="360"/>
    </w:pPr>
  </w:style>
  <w:style w:type="paragraph" w:styleId="625">
    <w:name w:val="annotation text"/>
    <w:basedOn w:val="598"/>
    <w:link w:val="604"/>
    <w:qFormat/>
    <w:rPr>
      <w:sz w:val="20"/>
      <w:szCs w:val="20"/>
    </w:rPr>
  </w:style>
  <w:style w:type="paragraph" w:styleId="626">
    <w:name w:val="annotation subject"/>
    <w:basedOn w:val="598"/>
    <w:next w:val="598"/>
    <w:link w:val="605"/>
    <w:qFormat/>
    <w:rPr>
      <w:b/>
      <w:bCs/>
      <w:sz w:val="20"/>
      <w:szCs w:val="20"/>
    </w:rPr>
    <w:pPr>
      <w:jc w:val="both"/>
      <w:spacing w:lineRule="auto" w:line="360"/>
    </w:pPr>
  </w:style>
  <w:style w:type="paragraph" w:styleId="627" w:customStyle="1">
    <w:name w:val="ConsPlusNormal"/>
    <w:qFormat/>
    <w:rPr>
      <w:rFonts w:ascii="Arial" w:hAnsi="Arial" w:cs="Arial" w:eastAsia="Calibri"/>
      <w:color w:val="auto"/>
      <w:sz w:val="20"/>
      <w:szCs w:val="20"/>
      <w:lang w:val="ru-RU" w:bidi="ar-SA" w:eastAsia="ar-SA"/>
    </w:rPr>
    <w:pPr>
      <w:ind w:firstLine="720"/>
      <w:jc w:val="left"/>
      <w:spacing w:after="0" w:before="0"/>
      <w:widowControl/>
    </w:pPr>
  </w:style>
  <w:style w:type="paragraph" w:styleId="628" w:customStyle="1">
    <w:name w:val="Таблица текст"/>
    <w:basedOn w:val="598"/>
    <w:qFormat/>
    <w:rPr>
      <w:rFonts w:eastAsia="Calibri"/>
      <w:sz w:val="22"/>
      <w:szCs w:val="22"/>
    </w:rPr>
    <w:pPr>
      <w:ind w:left="57" w:right="57"/>
      <w:spacing w:after="40" w:before="40"/>
    </w:pPr>
  </w:style>
  <w:style w:type="paragraph" w:styleId="629">
    <w:name w:val="Body Text 2"/>
    <w:basedOn w:val="598"/>
    <w:link w:val="602"/>
    <w:qFormat/>
    <w:rPr>
      <w:rFonts w:cs="Times New Roman"/>
      <w:lang w:eastAsia="en-US"/>
    </w:rPr>
    <w:pPr>
      <w:spacing w:lineRule="auto" w:line="480" w:after="120" w:before="0"/>
    </w:pPr>
  </w:style>
  <w:style w:type="paragraph" w:styleId="630" w:customStyle="1">
    <w:name w:val="western"/>
    <w:basedOn w:val="598"/>
    <w:qFormat/>
    <w:rPr>
      <w:rFonts w:cs="Times New Roman" w:eastAsia="Calibri"/>
      <w:color w:val="000000"/>
      <w:lang w:eastAsia="ru-RU"/>
    </w:rPr>
    <w:pPr>
      <w:spacing w:after="280" w:before="280"/>
    </w:pPr>
  </w:style>
  <w:style w:type="paragraph" w:styleId="631" w:customStyle="1">
    <w:name w:val="Контракт-пункт"/>
    <w:basedOn w:val="598"/>
    <w:qFormat/>
    <w:rPr>
      <w:rFonts w:cs="Times New Roman"/>
      <w:lang w:eastAsia="ru-RU"/>
    </w:rPr>
    <w:pPr>
      <w:ind w:left="851" w:hanging="851"/>
      <w:jc w:val="both"/>
      <w:tabs>
        <w:tab w:val="clear" w:pos="708" w:leader="none"/>
        <w:tab w:val="left" w:pos="851" w:leader="none"/>
      </w:tabs>
    </w:pPr>
  </w:style>
  <w:style w:type="paragraph" w:styleId="632">
    <w:name w:val="Subtitle"/>
    <w:basedOn w:val="598"/>
    <w:next w:val="598"/>
    <w:link w:val="607"/>
    <w:qFormat/>
    <w:rPr>
      <w:rFonts w:ascii="Cambria" w:hAnsi="Cambria" w:cs="Tahoma" w:eastAsia="Calibri"/>
      <w:i/>
      <w:iCs/>
      <w:color w:val="4F81BD" w:themeColor="accent1"/>
      <w:spacing w:val="15"/>
    </w:rPr>
  </w:style>
  <w:style w:type="paragraph" w:styleId="633">
    <w:name w:val="List Paragraph"/>
    <w:basedOn w:val="598"/>
    <w:qFormat/>
    <w:rPr>
      <w:rFonts w:cs="Times New Roman"/>
      <w:lang w:eastAsia="ru-RU"/>
    </w:rPr>
    <w:pPr>
      <w:contextualSpacing w:val="true"/>
      <w:ind w:left="720"/>
      <w:spacing w:after="0" w:before="0"/>
    </w:pPr>
  </w:style>
  <w:style w:type="paragraph" w:styleId="634" w:customStyle="1">
    <w:name w:val="Default"/>
    <w:qFormat/>
    <w:rPr>
      <w:rFonts w:ascii="Times New Roman" w:hAnsi="Times New Roman" w:cs="Times New Roman" w:eastAsia="Calibri"/>
      <w:color w:val="000000"/>
      <w:sz w:val="24"/>
      <w:szCs w:val="24"/>
      <w:lang w:val="ru-RU" w:bidi="ar-SA" w:eastAsia="en-US"/>
    </w:rPr>
    <w:pPr>
      <w:jc w:val="left"/>
      <w:spacing w:after="0" w:before="0"/>
      <w:widowControl/>
    </w:pPr>
  </w:style>
  <w:style w:type="paragraph" w:styleId="635">
    <w:name w:val="Balloon Text"/>
    <w:basedOn w:val="598"/>
    <w:link w:val="610"/>
    <w:qFormat/>
    <w:rPr>
      <w:rFonts w:ascii="Tahoma" w:hAnsi="Tahoma" w:cs="Tahoma"/>
      <w:sz w:val="16"/>
      <w:szCs w:val="16"/>
    </w:rPr>
  </w:style>
  <w:style w:type="paragraph" w:styleId="636" w:customStyle="1">
    <w:name w:val="Таблица шапка"/>
    <w:basedOn w:val="598"/>
    <w:qFormat/>
    <w:rPr>
      <w:rFonts w:cs="Times New Roman" w:eastAsia="Calibri"/>
      <w:sz w:val="18"/>
      <w:szCs w:val="18"/>
      <w:lang w:eastAsia="ru-RU"/>
    </w:rPr>
    <w:pPr>
      <w:ind w:left="57" w:right="57"/>
      <w:keepNext/>
      <w:spacing w:after="40" w:before="40"/>
    </w:pPr>
  </w:style>
  <w:style w:type="paragraph" w:styleId="637">
    <w:name w:val="Document Map"/>
    <w:basedOn w:val="598"/>
    <w:link w:val="611"/>
    <w:qFormat/>
    <w:rPr>
      <w:rFonts w:ascii="Tahoma" w:hAnsi="Tahoma" w:cs="Tahoma"/>
      <w:sz w:val="16"/>
      <w:szCs w:val="16"/>
    </w:rPr>
  </w:style>
  <w:style w:type="paragraph" w:styleId="638" w:customStyle="1">
    <w:name w:val="Содержимое таблицы (user)"/>
    <w:basedOn w:val="598"/>
    <w:qFormat/>
    <w:pPr>
      <w:widowControl w:val="off"/>
      <w:suppressLineNumbers/>
    </w:pPr>
  </w:style>
  <w:style w:type="paragraph" w:styleId="639" w:customStyle="1">
    <w:name w:val="Заголовок таблицы (user)"/>
    <w:basedOn w:val="638"/>
    <w:qFormat/>
    <w:rPr>
      <w:b/>
      <w:bCs/>
    </w:rPr>
    <w:pPr>
      <w:jc w:val="center"/>
    </w:pPr>
  </w:style>
  <w:style w:type="paragraph" w:styleId="640">
    <w:name w:val="Содержимое таблицы"/>
    <w:basedOn w:val="598"/>
    <w:qFormat/>
    <w:pPr>
      <w:widowControl w:val="off"/>
      <w:suppressLineNumbers/>
    </w:pPr>
  </w:style>
  <w:style w:type="paragraph" w:styleId="641">
    <w:name w:val="Заголовок таблицы"/>
    <w:basedOn w:val="640"/>
    <w:qFormat/>
    <w:rPr>
      <w:b/>
      <w:bCs/>
    </w:rPr>
    <w:pPr>
      <w:jc w:val="center"/>
      <w:suppressLineNumbers/>
    </w:pPr>
  </w:style>
  <w:style w:type="numbering" w:styleId="642" w:default="1">
    <w:name w:val="Без списка"/>
    <w:qFormat/>
    <w:uiPriority w:val="99"/>
    <w:semiHidden/>
    <w:unhideWhenUsed/>
  </w:style>
  <w:style w:type="table" w:styleId="643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1_1858">
    <w:name w:val="Обычный"/>
    <w:next w:val="1034"/>
    <w:link w:val="1034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4"/>
      <w:highlight w:val="none"/>
      <w:u w:val="none"/>
      <w:vertAlign w:val="baseline"/>
      <w:rtl w:val="false"/>
      <w:cs w:val="false"/>
      <w:lang w:val="ru-RU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>КонсультантПлюс Версия 4024.00.32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Подлежит ли постельное белье возврату/обмену в соответствии с законодательством о защите прав потребителей?(Подготовлен для системы КонсультантПлюс, 2025)</dc:title>
  <dc:subject/>
  <dc:creator>mardanova-ms</dc:creator>
  <dc:description/>
  <dc:language>ru-RU</dc:language>
  <cp:revision>12</cp:revision>
  <dcterms:created xsi:type="dcterms:W3CDTF">2025-08-27T07:53:00Z</dcterms:created>
  <dcterms:modified xsi:type="dcterms:W3CDTF">2026-08-10T12:49:17Z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