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2C3C" w:rsidRDefault="00322C3C" w:rsidP="00322C3C">
      <w:pPr>
        <w:pStyle w:val="ConsPlusNonformat"/>
        <w:jc w:val="center"/>
        <w:rPr>
          <w:rFonts w:ascii="Times New Roman" w:hAnsi="Times New Roman" w:cs="Times New Roman"/>
          <w:b/>
          <w:sz w:val="24"/>
          <w:szCs w:val="24"/>
        </w:rPr>
      </w:pPr>
      <w:r>
        <w:rPr>
          <w:rFonts w:ascii="Times New Roman" w:hAnsi="Times New Roman" w:cs="Times New Roman"/>
          <w:b/>
          <w:sz w:val="24"/>
          <w:szCs w:val="24"/>
        </w:rPr>
        <w:t>Обоснование НМЦД,</w:t>
      </w:r>
    </w:p>
    <w:p w:rsidR="00322C3C" w:rsidRDefault="00322C3C" w:rsidP="00322C3C">
      <w:pPr>
        <w:pStyle w:val="ConsPlusNonformat"/>
        <w:jc w:val="center"/>
        <w:rPr>
          <w:rFonts w:ascii="Times New Roman" w:hAnsi="Times New Roman" w:cs="Times New Roman"/>
          <w:b/>
          <w:sz w:val="24"/>
          <w:szCs w:val="24"/>
        </w:rPr>
      </w:pPr>
      <w:r>
        <w:rPr>
          <w:rFonts w:ascii="Times New Roman" w:hAnsi="Times New Roman" w:cs="Times New Roman"/>
          <w:b/>
          <w:sz w:val="24"/>
          <w:szCs w:val="24"/>
        </w:rPr>
        <w:t>цены контракта, заключаемого с единственным поставщиком</w:t>
      </w:r>
    </w:p>
    <w:p w:rsidR="00322C3C" w:rsidRDefault="00322C3C" w:rsidP="00322C3C">
      <w:pPr>
        <w:pStyle w:val="ConsPlusNonformat"/>
        <w:jc w:val="center"/>
        <w:rPr>
          <w:rFonts w:ascii="Times New Roman" w:hAnsi="Times New Roman" w:cs="Times New Roman"/>
          <w:b/>
          <w:sz w:val="24"/>
          <w:szCs w:val="24"/>
        </w:rPr>
      </w:pPr>
      <w:r>
        <w:rPr>
          <w:rFonts w:ascii="Times New Roman" w:hAnsi="Times New Roman" w:cs="Times New Roman"/>
          <w:b/>
          <w:sz w:val="24"/>
          <w:szCs w:val="24"/>
        </w:rPr>
        <w:t>(подрядчиком, исполнителем)</w:t>
      </w:r>
    </w:p>
    <w:p w:rsidR="00322C3C" w:rsidRDefault="00322C3C" w:rsidP="00322C3C">
      <w:pPr>
        <w:spacing w:after="0" w:line="240" w:lineRule="auto"/>
        <w:rPr>
          <w:rFonts w:ascii="Times New Roman" w:hAnsi="Times New Roman"/>
          <w:sz w:val="24"/>
          <w:szCs w:val="24"/>
        </w:rPr>
      </w:pPr>
      <w:r>
        <w:rPr>
          <w:rFonts w:ascii="Times New Roman" w:hAnsi="Times New Roman"/>
          <w:sz w:val="24"/>
          <w:szCs w:val="24"/>
        </w:rPr>
        <w:t>Предмет контракта</w:t>
      </w:r>
      <w:r>
        <w:rPr>
          <w:rFonts w:ascii="Times New Roman" w:hAnsi="Times New Roman"/>
          <w:b/>
          <w:sz w:val="24"/>
          <w:szCs w:val="24"/>
        </w:rPr>
        <w:t>: оказание услуг по внешней оценке качества исследований, выполняемых в лаборатории Заказчика</w:t>
      </w:r>
      <w:r>
        <w:rPr>
          <w:rFonts w:ascii="Times New Roman" w:hAnsi="Times New Roman"/>
          <w:sz w:val="24"/>
          <w:szCs w:val="24"/>
        </w:rPr>
        <w:t>.</w:t>
      </w:r>
    </w:p>
    <w:p w:rsidR="00322C3C" w:rsidRDefault="00322C3C" w:rsidP="00322C3C">
      <w:pPr>
        <w:spacing w:after="0" w:line="240" w:lineRule="auto"/>
        <w:jc w:val="both"/>
        <w:rPr>
          <w:rFonts w:ascii="Times New Roman" w:hAnsi="Times New Roman"/>
          <w:sz w:val="24"/>
          <w:szCs w:val="24"/>
          <w:lang w:eastAsia="en-US"/>
        </w:rPr>
      </w:pPr>
    </w:p>
    <w:p w:rsidR="00322C3C" w:rsidRDefault="00322C3C" w:rsidP="00322C3C">
      <w:pPr>
        <w:spacing w:after="0" w:line="240" w:lineRule="auto"/>
        <w:jc w:val="both"/>
        <w:rPr>
          <w:rFonts w:ascii="Times New Roman" w:hAnsi="Times New Roman"/>
          <w:sz w:val="24"/>
          <w:szCs w:val="24"/>
        </w:rPr>
      </w:pPr>
      <w:r>
        <w:rPr>
          <w:rFonts w:ascii="Times New Roman" w:hAnsi="Times New Roman"/>
          <w:sz w:val="24"/>
          <w:szCs w:val="24"/>
          <w:lang w:eastAsia="en-US"/>
        </w:rPr>
        <w:t>1.</w:t>
      </w:r>
      <w:r>
        <w:rPr>
          <w:rFonts w:ascii="Times New Roman" w:hAnsi="Times New Roman"/>
          <w:sz w:val="24"/>
          <w:szCs w:val="24"/>
          <w:lang w:eastAsia="en-US"/>
        </w:rPr>
        <w:tab/>
        <w:t xml:space="preserve">Расчет </w:t>
      </w:r>
      <w:r>
        <w:rPr>
          <w:rFonts w:ascii="Times New Roman" w:hAnsi="Times New Roman"/>
          <w:sz w:val="24"/>
          <w:szCs w:val="24"/>
        </w:rPr>
        <w:t>НМЦД иным методом</w:t>
      </w:r>
    </w:p>
    <w:p w:rsidR="00322C3C" w:rsidRDefault="00322C3C" w:rsidP="00322C3C">
      <w:pPr>
        <w:widowControl w:val="0"/>
        <w:autoSpaceDE w:val="0"/>
        <w:autoSpaceDN w:val="0"/>
        <w:adjustRightInd w:val="0"/>
        <w:spacing w:after="0" w:line="240" w:lineRule="auto"/>
        <w:ind w:firstLine="426"/>
        <w:rPr>
          <w:rFonts w:ascii="Times New Roman" w:hAnsi="Times New Roman"/>
          <w:sz w:val="24"/>
          <w:szCs w:val="24"/>
        </w:rPr>
      </w:pPr>
      <w:r>
        <w:rPr>
          <w:rFonts w:ascii="Times New Roman" w:hAnsi="Times New Roman"/>
          <w:sz w:val="24"/>
          <w:szCs w:val="24"/>
        </w:rPr>
        <w:t xml:space="preserve">Для обоснования цены был  применён иной метод обоснования и расчета цены, так как метод сопоставимых рыночных цен неприменим ввиду того, что Ассоциация специалистов некоммерческое партнерство «Центр внешнего контроля качества клинических лабораторных исследований» (АСНП «ЦВКК») является  единственным Исполнителем, аккредитованным Федеральной службой по аккредитации в национальной системе аккредитации в качестве Провайдера межлабораторных сличительных испытаний в области «Микроскопические исследования, гематологические исследования, цитологические исследования, бактериологические исследования, </w:t>
      </w:r>
      <w:proofErr w:type="spellStart"/>
      <w:r>
        <w:rPr>
          <w:rFonts w:ascii="Times New Roman" w:hAnsi="Times New Roman"/>
          <w:sz w:val="24"/>
          <w:szCs w:val="24"/>
        </w:rPr>
        <w:t>иммуносерологические</w:t>
      </w:r>
      <w:proofErr w:type="spellEnd"/>
      <w:r>
        <w:rPr>
          <w:rFonts w:ascii="Times New Roman" w:hAnsi="Times New Roman"/>
          <w:sz w:val="24"/>
          <w:szCs w:val="24"/>
        </w:rPr>
        <w:t xml:space="preserve"> исследования, молекулярно-генетические исследования»</w:t>
      </w:r>
    </w:p>
    <w:p w:rsidR="00322C3C" w:rsidRDefault="00322C3C" w:rsidP="00322C3C">
      <w:pPr>
        <w:widowControl w:val="0"/>
        <w:autoSpaceDE w:val="0"/>
        <w:autoSpaceDN w:val="0"/>
        <w:adjustRightInd w:val="0"/>
        <w:spacing w:after="0" w:line="240" w:lineRule="auto"/>
        <w:ind w:firstLine="426"/>
        <w:rPr>
          <w:rFonts w:ascii="Times New Roman" w:hAnsi="Times New Roman"/>
          <w:sz w:val="24"/>
          <w:szCs w:val="24"/>
        </w:rPr>
      </w:pPr>
      <w:r>
        <w:rPr>
          <w:rFonts w:ascii="Times New Roman" w:hAnsi="Times New Roman"/>
          <w:sz w:val="24"/>
          <w:szCs w:val="24"/>
        </w:rPr>
        <w:t xml:space="preserve">Ссылка на реестр: </w:t>
      </w:r>
      <w:hyperlink r:id="rId6" w:history="1">
        <w:r>
          <w:rPr>
            <w:rStyle w:val="a3"/>
            <w:rFonts w:ascii="Times New Roman" w:hAnsi="Times New Roman"/>
            <w:sz w:val="24"/>
            <w:szCs w:val="24"/>
          </w:rPr>
          <w:t>https://pub.fsa.gov.ru/ral/view/16486/applicant</w:t>
        </w:r>
      </w:hyperlink>
      <w:r>
        <w:rPr>
          <w:rFonts w:ascii="Times New Roman" w:hAnsi="Times New Roman"/>
          <w:sz w:val="24"/>
          <w:szCs w:val="24"/>
        </w:rPr>
        <w:t xml:space="preserve"> </w:t>
      </w:r>
    </w:p>
    <w:p w:rsidR="00322C3C" w:rsidRDefault="00322C3C" w:rsidP="00322C3C">
      <w:pPr>
        <w:widowControl w:val="0"/>
        <w:autoSpaceDE w:val="0"/>
        <w:autoSpaceDN w:val="0"/>
        <w:adjustRightInd w:val="0"/>
        <w:spacing w:after="0" w:line="240" w:lineRule="auto"/>
        <w:ind w:firstLine="426"/>
        <w:rPr>
          <w:rFonts w:ascii="Times New Roman" w:hAnsi="Times New Roman"/>
          <w:sz w:val="24"/>
          <w:szCs w:val="24"/>
        </w:rPr>
      </w:pPr>
    </w:p>
    <w:p w:rsidR="00322C3C" w:rsidRDefault="00322C3C" w:rsidP="00322C3C">
      <w:pPr>
        <w:widowControl w:val="0"/>
        <w:autoSpaceDE w:val="0"/>
        <w:autoSpaceDN w:val="0"/>
        <w:adjustRightInd w:val="0"/>
        <w:spacing w:after="0" w:line="240" w:lineRule="auto"/>
        <w:ind w:firstLine="426"/>
        <w:rPr>
          <w:noProof/>
        </w:rPr>
      </w:pPr>
      <w:r>
        <w:rPr>
          <w:noProof/>
        </w:rPr>
        <w:drawing>
          <wp:inline distT="0" distB="0" distL="0" distR="0">
            <wp:extent cx="5567136" cy="38004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72714" cy="3804283"/>
                    </a:xfrm>
                    <a:prstGeom prst="rect">
                      <a:avLst/>
                    </a:prstGeom>
                    <a:noFill/>
                    <a:ln>
                      <a:noFill/>
                    </a:ln>
                  </pic:spPr>
                </pic:pic>
              </a:graphicData>
            </a:graphic>
          </wp:inline>
        </w:drawing>
      </w:r>
    </w:p>
    <w:p w:rsidR="00322C3C" w:rsidRDefault="00322C3C" w:rsidP="00322C3C">
      <w:pPr>
        <w:widowControl w:val="0"/>
        <w:autoSpaceDE w:val="0"/>
        <w:autoSpaceDN w:val="0"/>
        <w:adjustRightInd w:val="0"/>
        <w:spacing w:after="0" w:line="240" w:lineRule="auto"/>
        <w:ind w:firstLine="426"/>
        <w:rPr>
          <w:rFonts w:ascii="Times New Roman" w:hAnsi="Times New Roman"/>
          <w:sz w:val="24"/>
          <w:szCs w:val="24"/>
        </w:rPr>
      </w:pPr>
    </w:p>
    <w:p w:rsidR="00322C3C" w:rsidRDefault="00322C3C" w:rsidP="00322C3C">
      <w:pPr>
        <w:widowControl w:val="0"/>
        <w:autoSpaceDE w:val="0"/>
        <w:autoSpaceDN w:val="0"/>
        <w:adjustRightInd w:val="0"/>
        <w:spacing w:after="0" w:line="240" w:lineRule="auto"/>
        <w:ind w:firstLine="426"/>
        <w:rPr>
          <w:rFonts w:ascii="Times New Roman" w:hAnsi="Times New Roman"/>
          <w:sz w:val="24"/>
          <w:szCs w:val="24"/>
        </w:rPr>
      </w:pPr>
      <w:r>
        <w:rPr>
          <w:rFonts w:ascii="Times New Roman" w:hAnsi="Times New Roman"/>
          <w:sz w:val="24"/>
          <w:szCs w:val="24"/>
        </w:rPr>
        <w:t xml:space="preserve"> Невозможно обосновать цену нормативным методом, так как на текущий момент для заказчика не установлены характеристики и не утверждены предельные цены на такие услуги в соответствии с правилами нормирования.</w:t>
      </w:r>
    </w:p>
    <w:p w:rsidR="00322C3C" w:rsidRDefault="00322C3C" w:rsidP="00322C3C">
      <w:pPr>
        <w:widowControl w:val="0"/>
        <w:autoSpaceDE w:val="0"/>
        <w:autoSpaceDN w:val="0"/>
        <w:adjustRightInd w:val="0"/>
        <w:spacing w:after="0" w:line="240" w:lineRule="auto"/>
        <w:ind w:firstLine="426"/>
        <w:rPr>
          <w:rFonts w:ascii="Times New Roman" w:hAnsi="Times New Roman"/>
          <w:sz w:val="24"/>
          <w:szCs w:val="24"/>
        </w:rPr>
      </w:pPr>
      <w:r>
        <w:rPr>
          <w:rFonts w:ascii="Times New Roman" w:hAnsi="Times New Roman"/>
          <w:sz w:val="24"/>
          <w:szCs w:val="24"/>
        </w:rPr>
        <w:t>Невозможно обосновать цену тарифным методом, в связи с отсутствием НПА, которым утверждены тарифы.</w:t>
      </w:r>
    </w:p>
    <w:p w:rsidR="00322C3C" w:rsidRDefault="00322C3C" w:rsidP="00322C3C">
      <w:pPr>
        <w:spacing w:after="0" w:line="240" w:lineRule="auto"/>
        <w:jc w:val="both"/>
        <w:rPr>
          <w:rStyle w:val="blk"/>
        </w:rPr>
      </w:pPr>
      <w:r>
        <w:rPr>
          <w:rFonts w:ascii="Times New Roman" w:hAnsi="Times New Roman"/>
          <w:sz w:val="24"/>
          <w:szCs w:val="24"/>
        </w:rPr>
        <w:tab/>
        <w:t xml:space="preserve">Невозможно обосновать цену проектно-сметным методом, так как предмет </w:t>
      </w:r>
      <w:proofErr w:type="gramStart"/>
      <w:r>
        <w:rPr>
          <w:rFonts w:ascii="Times New Roman" w:hAnsi="Times New Roman"/>
          <w:sz w:val="24"/>
          <w:szCs w:val="24"/>
        </w:rPr>
        <w:t>договора  не</w:t>
      </w:r>
      <w:proofErr w:type="gramEnd"/>
      <w:r>
        <w:rPr>
          <w:rFonts w:ascii="Times New Roman" w:hAnsi="Times New Roman"/>
          <w:sz w:val="24"/>
          <w:szCs w:val="24"/>
        </w:rPr>
        <w:t xml:space="preserve"> относится к видам </w:t>
      </w:r>
      <w:r>
        <w:rPr>
          <w:rStyle w:val="blk"/>
          <w:rFonts w:ascii="Times New Roman" w:hAnsi="Times New Roman"/>
          <w:sz w:val="24"/>
          <w:szCs w:val="24"/>
        </w:rPr>
        <w:t xml:space="preserve">работ, указанным в ч. 9 ст. 22 ФЗ №44-ФЗ, а именно к работам на: </w:t>
      </w:r>
    </w:p>
    <w:p w:rsidR="00322C3C" w:rsidRDefault="00322C3C" w:rsidP="00322C3C">
      <w:pPr>
        <w:spacing w:after="0" w:line="240" w:lineRule="auto"/>
        <w:jc w:val="both"/>
        <w:rPr>
          <w:rStyle w:val="blk"/>
          <w:rFonts w:ascii="Times New Roman" w:hAnsi="Times New Roman"/>
          <w:sz w:val="24"/>
          <w:szCs w:val="24"/>
        </w:rPr>
      </w:pPr>
      <w:r>
        <w:rPr>
          <w:rStyle w:val="blk"/>
          <w:rFonts w:ascii="Times New Roman" w:hAnsi="Times New Roman"/>
          <w:sz w:val="24"/>
          <w:szCs w:val="24"/>
        </w:rPr>
        <w:t xml:space="preserve">-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w:t>
      </w:r>
      <w:r>
        <w:rPr>
          <w:rStyle w:val="blk"/>
          <w:rFonts w:ascii="Times New Roman" w:hAnsi="Times New Roman"/>
          <w:sz w:val="24"/>
          <w:szCs w:val="24"/>
        </w:rPr>
        <w:lastRenderedPageBreak/>
        <w:t xml:space="preserve">политики и нормативно-правовому регулированию в сфере строительства, или органом исполнительной власти субъекта Российской Федерации; </w:t>
      </w:r>
    </w:p>
    <w:p w:rsidR="00322C3C" w:rsidRDefault="00322C3C" w:rsidP="00322C3C">
      <w:pPr>
        <w:spacing w:after="0" w:line="240" w:lineRule="auto"/>
        <w:jc w:val="both"/>
        <w:rPr>
          <w:rStyle w:val="blk"/>
          <w:rFonts w:ascii="Times New Roman" w:hAnsi="Times New Roman"/>
          <w:sz w:val="24"/>
          <w:szCs w:val="24"/>
        </w:rPr>
      </w:pPr>
      <w:r>
        <w:rPr>
          <w:rStyle w:val="blk"/>
          <w:rFonts w:ascii="Times New Roman" w:hAnsi="Times New Roman"/>
          <w:sz w:val="24"/>
          <w:szCs w:val="24"/>
        </w:rPr>
        <w:t xml:space="preserve">-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w:t>
      </w:r>
      <w:hyperlink r:id="rId8" w:anchor="dst100010" w:history="1">
        <w:r>
          <w:rPr>
            <w:rStyle w:val="a3"/>
            <w:rFonts w:ascii="Times New Roman" w:hAnsi="Times New Roman"/>
            <w:color w:val="auto"/>
            <w:sz w:val="24"/>
            <w:szCs w:val="24"/>
            <w:u w:val="none"/>
          </w:rPr>
          <w:t>порядке</w:t>
        </w:r>
      </w:hyperlink>
      <w:r>
        <w:rPr>
          <w:rStyle w:val="blk"/>
          <w:rFonts w:ascii="Times New Roman" w:hAnsi="Times New Roman"/>
          <w:sz w:val="24"/>
          <w:szCs w:val="24"/>
        </w:rPr>
        <w:t>,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rsidR="00322C3C" w:rsidRDefault="00322C3C" w:rsidP="00322C3C">
      <w:pPr>
        <w:spacing w:after="0" w:line="240" w:lineRule="auto"/>
        <w:jc w:val="both"/>
        <w:rPr>
          <w:rStyle w:val="blk"/>
          <w:rFonts w:ascii="Times New Roman" w:hAnsi="Times New Roman"/>
          <w:sz w:val="24"/>
          <w:szCs w:val="24"/>
        </w:rPr>
      </w:pPr>
      <w:r>
        <w:rPr>
          <w:rStyle w:val="blk"/>
          <w:rFonts w:ascii="Times New Roman" w:hAnsi="Times New Roman"/>
          <w:sz w:val="24"/>
          <w:szCs w:val="24"/>
        </w:rPr>
        <w:t xml:space="preserve"> - текущий ремонт зданий, строений, сооружений, помещений.</w:t>
      </w:r>
    </w:p>
    <w:p w:rsidR="00322C3C" w:rsidRDefault="00322C3C" w:rsidP="00322C3C">
      <w:pPr>
        <w:spacing w:after="0" w:line="240" w:lineRule="auto"/>
        <w:jc w:val="both"/>
        <w:rPr>
          <w:rStyle w:val="blk"/>
          <w:rFonts w:ascii="Times New Roman" w:hAnsi="Times New Roman"/>
          <w:sz w:val="24"/>
          <w:szCs w:val="24"/>
        </w:rPr>
      </w:pPr>
      <w:r>
        <w:rPr>
          <w:rStyle w:val="blk"/>
          <w:rFonts w:ascii="Times New Roman" w:hAnsi="Times New Roman"/>
          <w:sz w:val="24"/>
          <w:szCs w:val="24"/>
        </w:rPr>
        <w:t xml:space="preserve">    </w:t>
      </w:r>
      <w:r>
        <w:rPr>
          <w:rStyle w:val="blk"/>
          <w:rFonts w:ascii="Times New Roman" w:hAnsi="Times New Roman"/>
          <w:sz w:val="24"/>
          <w:szCs w:val="24"/>
        </w:rPr>
        <w:tab/>
        <w:t>Невозможно обосновать цену затратным методом, ввиду специфики услуги и отсутствия у заказчика информации об обычной для сферы провайдеров межлабораторных сличительных испытаний прибыли и суммы производимых затрат оказании услуг.</w:t>
      </w:r>
    </w:p>
    <w:p w:rsidR="00322C3C" w:rsidRDefault="00322C3C" w:rsidP="00322C3C">
      <w:pPr>
        <w:spacing w:after="0" w:line="240" w:lineRule="auto"/>
        <w:jc w:val="both"/>
      </w:pPr>
      <w:r>
        <w:rPr>
          <w:rFonts w:ascii="Times New Roman" w:hAnsi="Times New Roman"/>
          <w:sz w:val="24"/>
          <w:szCs w:val="24"/>
        </w:rPr>
        <w:tab/>
        <w:t xml:space="preserve">В связи с этим НМЦД определено на основании единственного предложения от АСНП «ЦВКК»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2318"/>
        <w:gridCol w:w="2422"/>
        <w:gridCol w:w="1561"/>
        <w:gridCol w:w="2248"/>
      </w:tblGrid>
      <w:tr w:rsidR="00322C3C" w:rsidRPr="00322C3C" w:rsidTr="00894893">
        <w:trPr>
          <w:trHeight w:val="1242"/>
        </w:trPr>
        <w:tc>
          <w:tcPr>
            <w:tcW w:w="426" w:type="pct"/>
            <w:shd w:val="clear" w:color="auto" w:fill="D9D9D9"/>
            <w:vAlign w:val="center"/>
          </w:tcPr>
          <w:p w:rsidR="00322C3C" w:rsidRPr="00322C3C" w:rsidRDefault="00322C3C" w:rsidP="00322C3C">
            <w:pPr>
              <w:jc w:val="center"/>
              <w:rPr>
                <w:rFonts w:ascii="Times New Roman" w:hAnsi="Times New Roman"/>
              </w:rPr>
            </w:pPr>
            <w:r w:rsidRPr="00322C3C">
              <w:rPr>
                <w:rFonts w:ascii="Times New Roman" w:hAnsi="Times New Roman"/>
              </w:rPr>
              <w:t>№ п/п</w:t>
            </w:r>
          </w:p>
        </w:tc>
        <w:tc>
          <w:tcPr>
            <w:tcW w:w="1240" w:type="pct"/>
            <w:shd w:val="clear" w:color="auto" w:fill="D9D9D9"/>
            <w:vAlign w:val="center"/>
          </w:tcPr>
          <w:p w:rsidR="00322C3C" w:rsidRPr="00322C3C" w:rsidRDefault="00322C3C" w:rsidP="00322C3C">
            <w:pPr>
              <w:jc w:val="center"/>
              <w:rPr>
                <w:rFonts w:ascii="Times New Roman" w:hAnsi="Times New Roman"/>
              </w:rPr>
            </w:pPr>
            <w:r w:rsidRPr="00322C3C">
              <w:rPr>
                <w:rFonts w:ascii="Times New Roman" w:hAnsi="Times New Roman"/>
              </w:rPr>
              <w:t>Каталожный номер</w:t>
            </w:r>
          </w:p>
        </w:tc>
        <w:tc>
          <w:tcPr>
            <w:tcW w:w="1296" w:type="pct"/>
            <w:shd w:val="clear" w:color="auto" w:fill="D9D9D9"/>
          </w:tcPr>
          <w:p w:rsidR="00322C3C" w:rsidRPr="00322C3C" w:rsidRDefault="00322C3C" w:rsidP="00322C3C">
            <w:pPr>
              <w:jc w:val="center"/>
              <w:rPr>
                <w:rFonts w:ascii="Times New Roman" w:hAnsi="Times New Roman"/>
              </w:rPr>
            </w:pPr>
            <w:r w:rsidRPr="00322C3C">
              <w:rPr>
                <w:rFonts w:ascii="Times New Roman" w:hAnsi="Times New Roman"/>
              </w:rPr>
              <w:t>Программы</w:t>
            </w:r>
          </w:p>
          <w:p w:rsidR="00322C3C" w:rsidRPr="00322C3C" w:rsidRDefault="00322C3C" w:rsidP="00322C3C">
            <w:pPr>
              <w:jc w:val="center"/>
              <w:rPr>
                <w:rFonts w:ascii="Times New Roman" w:hAnsi="Times New Roman"/>
              </w:rPr>
            </w:pPr>
            <w:r w:rsidRPr="00322C3C">
              <w:rPr>
                <w:rFonts w:ascii="Times New Roman" w:hAnsi="Times New Roman"/>
              </w:rPr>
              <w:t>МСИ «ФСВОК-2026»</w:t>
            </w:r>
          </w:p>
        </w:tc>
        <w:tc>
          <w:tcPr>
            <w:tcW w:w="835" w:type="pct"/>
            <w:shd w:val="clear" w:color="auto" w:fill="D9D9D9"/>
            <w:vAlign w:val="center"/>
          </w:tcPr>
          <w:p w:rsidR="00322C3C" w:rsidRPr="00322C3C" w:rsidRDefault="00322C3C" w:rsidP="00322C3C">
            <w:pPr>
              <w:jc w:val="center"/>
              <w:rPr>
                <w:rFonts w:ascii="Times New Roman" w:hAnsi="Times New Roman"/>
                <w:vertAlign w:val="superscript"/>
              </w:rPr>
            </w:pPr>
            <w:r w:rsidRPr="00322C3C">
              <w:rPr>
                <w:rFonts w:ascii="Times New Roman" w:hAnsi="Times New Roman"/>
              </w:rPr>
              <w:t>Кол-во</w:t>
            </w:r>
          </w:p>
        </w:tc>
        <w:tc>
          <w:tcPr>
            <w:tcW w:w="1203" w:type="pct"/>
            <w:tcBorders>
              <w:right w:val="single" w:sz="4" w:space="0" w:color="auto"/>
            </w:tcBorders>
            <w:shd w:val="clear" w:color="auto" w:fill="D9D9D9"/>
            <w:vAlign w:val="center"/>
          </w:tcPr>
          <w:p w:rsidR="00322C3C" w:rsidRPr="00322C3C" w:rsidRDefault="00322C3C" w:rsidP="00322C3C">
            <w:pPr>
              <w:jc w:val="center"/>
              <w:rPr>
                <w:rFonts w:ascii="Times New Roman" w:hAnsi="Times New Roman"/>
              </w:rPr>
            </w:pPr>
            <w:r w:rsidRPr="00322C3C">
              <w:rPr>
                <w:rFonts w:ascii="Times New Roman" w:hAnsi="Times New Roman"/>
              </w:rPr>
              <w:t>Стоимость (руб.)</w:t>
            </w:r>
            <w:r w:rsidRPr="00322C3C">
              <w:rPr>
                <w:rFonts w:ascii="Times New Roman" w:hAnsi="Times New Roman"/>
              </w:rPr>
              <w:br/>
              <w:t>с НДС</w:t>
            </w:r>
          </w:p>
        </w:tc>
      </w:tr>
      <w:tr w:rsidR="00894893" w:rsidRPr="00322C3C" w:rsidTr="00100508">
        <w:trPr>
          <w:trHeight w:hRule="exact" w:val="1719"/>
        </w:trPr>
        <w:tc>
          <w:tcPr>
            <w:tcW w:w="426" w:type="pct"/>
            <w:vAlign w:val="center"/>
          </w:tcPr>
          <w:p w:rsidR="00894893" w:rsidRPr="00322C3C" w:rsidRDefault="00894893" w:rsidP="00894893">
            <w:pPr>
              <w:numPr>
                <w:ilvl w:val="0"/>
                <w:numId w:val="1"/>
              </w:numPr>
              <w:spacing w:after="0" w:line="240" w:lineRule="auto"/>
              <w:rPr>
                <w:rFonts w:ascii="Times New Roman" w:hAnsi="Times New Roman"/>
                <w:b/>
              </w:rPr>
            </w:pPr>
          </w:p>
        </w:tc>
        <w:tc>
          <w:tcPr>
            <w:tcW w:w="1240" w:type="pct"/>
            <w:vAlign w:val="center"/>
          </w:tcPr>
          <w:p w:rsidR="00894893" w:rsidRPr="00520845" w:rsidRDefault="00894893" w:rsidP="00894893">
            <w:pPr>
              <w:jc w:val="center"/>
              <w:rPr>
                <w:rFonts w:ascii="Times New Roman" w:hAnsi="Times New Roman"/>
                <w:b/>
              </w:rPr>
            </w:pPr>
            <w:bookmarkStart w:id="0" w:name="_GoBack"/>
            <w:bookmarkEnd w:id="0"/>
            <w:r>
              <w:rPr>
                <w:rFonts w:ascii="Times New Roman" w:hAnsi="Times New Roman"/>
                <w:b/>
              </w:rPr>
              <w:t>05-01.1</w:t>
            </w:r>
          </w:p>
        </w:tc>
        <w:tc>
          <w:tcPr>
            <w:tcW w:w="1296" w:type="pct"/>
          </w:tcPr>
          <w:p w:rsidR="00894893" w:rsidRPr="00322C3C" w:rsidRDefault="00100508" w:rsidP="00894893">
            <w:pPr>
              <w:autoSpaceDE w:val="0"/>
              <w:autoSpaceDN w:val="0"/>
              <w:adjustRightInd w:val="0"/>
              <w:spacing w:after="0" w:line="240" w:lineRule="auto"/>
              <w:jc w:val="center"/>
              <w:rPr>
                <w:rFonts w:ascii="Times New Roman" w:hAnsi="Times New Roman"/>
                <w:b/>
                <w:color w:val="000000"/>
              </w:rPr>
            </w:pPr>
            <w:r w:rsidRPr="00100508">
              <w:rPr>
                <w:rFonts w:ascii="Times New Roman" w:hAnsi="Times New Roman"/>
                <w:b/>
                <w:color w:val="000000"/>
              </w:rPr>
              <w:t>Идентификация микроорганизмов. Чувствительность к антибиотикам (клиническая микробиология), 2 ц.</w:t>
            </w:r>
          </w:p>
        </w:tc>
        <w:tc>
          <w:tcPr>
            <w:tcW w:w="835" w:type="pct"/>
          </w:tcPr>
          <w:p w:rsidR="00894893" w:rsidRPr="00322C3C" w:rsidRDefault="00894893" w:rsidP="00894893">
            <w:pPr>
              <w:autoSpaceDE w:val="0"/>
              <w:autoSpaceDN w:val="0"/>
              <w:adjustRightInd w:val="0"/>
              <w:spacing w:after="0" w:line="240" w:lineRule="auto"/>
              <w:jc w:val="center"/>
              <w:rPr>
                <w:rFonts w:ascii="Times New Roman" w:hAnsi="Times New Roman"/>
                <w:b/>
                <w:color w:val="000000"/>
              </w:rPr>
            </w:pPr>
            <w:r w:rsidRPr="00322C3C">
              <w:rPr>
                <w:rFonts w:ascii="Times New Roman" w:hAnsi="Times New Roman"/>
                <w:b/>
                <w:color w:val="000000"/>
              </w:rPr>
              <w:t>1</w:t>
            </w:r>
          </w:p>
        </w:tc>
        <w:tc>
          <w:tcPr>
            <w:tcW w:w="1203" w:type="pct"/>
            <w:tcBorders>
              <w:right w:val="single" w:sz="4" w:space="0" w:color="auto"/>
            </w:tcBorders>
          </w:tcPr>
          <w:p w:rsidR="00894893" w:rsidRPr="00322C3C" w:rsidRDefault="00894893" w:rsidP="00894893">
            <w:pPr>
              <w:autoSpaceDE w:val="0"/>
              <w:autoSpaceDN w:val="0"/>
              <w:adjustRightInd w:val="0"/>
              <w:spacing w:after="0" w:line="240" w:lineRule="auto"/>
              <w:jc w:val="center"/>
              <w:rPr>
                <w:rFonts w:ascii="Times New Roman" w:hAnsi="Times New Roman"/>
                <w:b/>
                <w:color w:val="000000"/>
              </w:rPr>
            </w:pPr>
            <w:r w:rsidRPr="00894893">
              <w:rPr>
                <w:rFonts w:ascii="Times New Roman" w:hAnsi="Times New Roman"/>
                <w:b/>
                <w:color w:val="000000"/>
              </w:rPr>
              <w:t>19581,00</w:t>
            </w:r>
          </w:p>
        </w:tc>
      </w:tr>
      <w:tr w:rsidR="00894893" w:rsidRPr="00322C3C" w:rsidTr="00322C3C">
        <w:trPr>
          <w:trHeight w:hRule="exact" w:val="1855"/>
        </w:trPr>
        <w:tc>
          <w:tcPr>
            <w:tcW w:w="426" w:type="pct"/>
            <w:vAlign w:val="center"/>
          </w:tcPr>
          <w:p w:rsidR="00894893" w:rsidRPr="00322C3C" w:rsidRDefault="00894893" w:rsidP="00894893">
            <w:pPr>
              <w:numPr>
                <w:ilvl w:val="0"/>
                <w:numId w:val="1"/>
              </w:numPr>
              <w:spacing w:after="0" w:line="240" w:lineRule="auto"/>
              <w:rPr>
                <w:rFonts w:ascii="Times New Roman" w:hAnsi="Times New Roman"/>
                <w:b/>
              </w:rPr>
            </w:pPr>
          </w:p>
        </w:tc>
        <w:tc>
          <w:tcPr>
            <w:tcW w:w="1240" w:type="pct"/>
            <w:vAlign w:val="center"/>
          </w:tcPr>
          <w:p w:rsidR="00894893" w:rsidRPr="00520845" w:rsidRDefault="00894893" w:rsidP="00894893">
            <w:pPr>
              <w:jc w:val="center"/>
              <w:rPr>
                <w:rFonts w:ascii="Times New Roman" w:hAnsi="Times New Roman"/>
                <w:b/>
              </w:rPr>
            </w:pPr>
            <w:r>
              <w:rPr>
                <w:rFonts w:ascii="Times New Roman" w:hAnsi="Times New Roman"/>
                <w:b/>
              </w:rPr>
              <w:t>05-02.1</w:t>
            </w:r>
          </w:p>
        </w:tc>
        <w:tc>
          <w:tcPr>
            <w:tcW w:w="1296" w:type="pct"/>
          </w:tcPr>
          <w:p w:rsidR="00894893" w:rsidRPr="00322C3C" w:rsidRDefault="00100508" w:rsidP="00894893">
            <w:pPr>
              <w:jc w:val="center"/>
              <w:rPr>
                <w:rFonts w:ascii="Times New Roman" w:hAnsi="Times New Roman"/>
                <w:b/>
              </w:rPr>
            </w:pPr>
            <w:r w:rsidRPr="00100508">
              <w:rPr>
                <w:rFonts w:ascii="Times New Roman" w:hAnsi="Times New Roman"/>
                <w:b/>
              </w:rPr>
              <w:t>Идентификация микроорганизмов. Чувствительность к антибиотикам (клиническая микробиология, расширенная), 1 ц.</w:t>
            </w:r>
          </w:p>
        </w:tc>
        <w:tc>
          <w:tcPr>
            <w:tcW w:w="835" w:type="pct"/>
            <w:vAlign w:val="center"/>
          </w:tcPr>
          <w:p w:rsidR="00894893" w:rsidRPr="00322C3C" w:rsidRDefault="00894893" w:rsidP="00894893">
            <w:pPr>
              <w:jc w:val="center"/>
              <w:rPr>
                <w:rFonts w:ascii="Times New Roman" w:hAnsi="Times New Roman"/>
                <w:b/>
              </w:rPr>
            </w:pPr>
            <w:r w:rsidRPr="00322C3C">
              <w:rPr>
                <w:rFonts w:ascii="Times New Roman" w:hAnsi="Times New Roman"/>
                <w:b/>
              </w:rPr>
              <w:t>1</w:t>
            </w:r>
          </w:p>
        </w:tc>
        <w:tc>
          <w:tcPr>
            <w:tcW w:w="1203" w:type="pct"/>
            <w:tcBorders>
              <w:right w:val="single" w:sz="4" w:space="0" w:color="auto"/>
            </w:tcBorders>
            <w:vAlign w:val="center"/>
          </w:tcPr>
          <w:p w:rsidR="00894893" w:rsidRPr="00322C3C" w:rsidRDefault="00894893" w:rsidP="00894893">
            <w:pPr>
              <w:jc w:val="center"/>
              <w:rPr>
                <w:rFonts w:ascii="Times New Roman" w:hAnsi="Times New Roman"/>
                <w:b/>
              </w:rPr>
            </w:pPr>
            <w:r w:rsidRPr="00894893">
              <w:rPr>
                <w:rFonts w:ascii="Times New Roman" w:hAnsi="Times New Roman"/>
                <w:b/>
              </w:rPr>
              <w:t>14030,00</w:t>
            </w:r>
          </w:p>
        </w:tc>
      </w:tr>
    </w:tbl>
    <w:p w:rsidR="00322C3C" w:rsidRPr="000F1A23" w:rsidRDefault="000F1A23" w:rsidP="000F1A23">
      <w:pPr>
        <w:spacing w:after="0" w:line="240" w:lineRule="auto"/>
        <w:jc w:val="both"/>
        <w:rPr>
          <w:rStyle w:val="blk"/>
          <w:rFonts w:ascii="Times New Roman" w:hAnsi="Times New Roman"/>
          <w:sz w:val="24"/>
          <w:szCs w:val="24"/>
        </w:rPr>
      </w:pPr>
      <w:r w:rsidRPr="000F1A23">
        <w:rPr>
          <w:rStyle w:val="blk"/>
          <w:rFonts w:ascii="Times New Roman" w:hAnsi="Times New Roman"/>
          <w:sz w:val="24"/>
          <w:szCs w:val="24"/>
        </w:rPr>
        <w:t xml:space="preserve">ИТОГО: </w:t>
      </w:r>
      <w:r w:rsidR="00894893" w:rsidRPr="00894893">
        <w:rPr>
          <w:rStyle w:val="blk"/>
          <w:rFonts w:ascii="Times New Roman" w:hAnsi="Times New Roman"/>
          <w:sz w:val="24"/>
          <w:szCs w:val="24"/>
        </w:rPr>
        <w:t>33 611 (Тридцать три тысячи шестьсот одиннадцать) рублей 00 копеек</w:t>
      </w:r>
    </w:p>
    <w:p w:rsidR="00976D64" w:rsidRDefault="00976D64">
      <w:pPr>
        <w:spacing w:after="160" w:line="259" w:lineRule="auto"/>
      </w:pPr>
      <w:r>
        <w:br w:type="page"/>
      </w:r>
    </w:p>
    <w:sectPr w:rsidR="00976D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320F7B"/>
    <w:multiLevelType w:val="hybridMultilevel"/>
    <w:tmpl w:val="3CC021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F71"/>
    <w:rsid w:val="000F1A23"/>
    <w:rsid w:val="00100508"/>
    <w:rsid w:val="00322C3C"/>
    <w:rsid w:val="00401DC9"/>
    <w:rsid w:val="00722301"/>
    <w:rsid w:val="00880F71"/>
    <w:rsid w:val="00894893"/>
    <w:rsid w:val="00976D64"/>
    <w:rsid w:val="009D5B31"/>
    <w:rsid w:val="00CE57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D0BD13-6426-44AA-BCEA-1260B7A79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2C3C"/>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322C3C"/>
    <w:rPr>
      <w:color w:val="0000FF"/>
      <w:u w:val="single"/>
    </w:rPr>
  </w:style>
  <w:style w:type="paragraph" w:customStyle="1" w:styleId="ConsPlusNonformat">
    <w:name w:val="ConsPlusNonformat"/>
    <w:rsid w:val="00322C3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blk">
    <w:name w:val="blk"/>
    <w:basedOn w:val="a0"/>
    <w:rsid w:val="00322C3C"/>
  </w:style>
  <w:style w:type="character" w:styleId="a4">
    <w:name w:val="FollowedHyperlink"/>
    <w:basedOn w:val="a0"/>
    <w:uiPriority w:val="99"/>
    <w:semiHidden/>
    <w:unhideWhenUsed/>
    <w:rsid w:val="00322C3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1110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89055/"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ub.fsa.gov.ru/ral/view/16486/applican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B1FA24-76BF-4D77-ABEC-51F187894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530</Words>
  <Characters>3024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Казимирова Евгения Игоревна</dc:creator>
  <cp:keywords/>
  <dc:description/>
  <cp:lastModifiedBy>Казимирова Евгения Игоревна</cp:lastModifiedBy>
  <cp:revision>4</cp:revision>
  <dcterms:created xsi:type="dcterms:W3CDTF">2026-05-15T07:04:00Z</dcterms:created>
  <dcterms:modified xsi:type="dcterms:W3CDTF">2026-05-15T07:12:00Z</dcterms:modified>
</cp:coreProperties>
</file>