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3"/>
        <w:tabs>
          <w:tab w:val="clear" w:pos="708"/>
          <w:tab w:val="left" w:pos="1080" w:leader="none"/>
        </w:tabs>
        <w:spacing w:lineRule="auto" w:line="240" w:before="0" w:after="0"/>
        <w:jc w:val="center"/>
        <w:rPr>
          <w:rFonts w:ascii="Times New Roman" w:hAnsi="Times New Roman" w:cs="Times New Roman"/>
          <w:b/>
          <w:b/>
          <w:color w:val="000000"/>
          <w:sz w:val="24"/>
          <w:szCs w:val="24"/>
        </w:rPr>
      </w:pPr>
      <w:r>
        <w:rPr>
          <w:rFonts w:cs="Times New Roman" w:ascii="Times New Roman" w:hAnsi="Times New Roman"/>
          <w:b/>
          <w:color w:val="000000"/>
          <w:sz w:val="24"/>
          <w:szCs w:val="24"/>
        </w:rPr>
        <w:t>ОПИСАНИЕ ОБЪЕКТА ЗАКУПКИ</w:t>
      </w:r>
    </w:p>
    <w:p>
      <w:pPr>
        <w:pStyle w:val="3"/>
        <w:tabs>
          <w:tab w:val="clear" w:pos="708"/>
          <w:tab w:val="left" w:pos="1080" w:leader="none"/>
        </w:tabs>
        <w:spacing w:lineRule="auto" w:line="240" w:before="0" w:after="0"/>
        <w:jc w:val="center"/>
        <w:rPr>
          <w:rFonts w:ascii="Times New Roman" w:hAnsi="Times New Roman" w:cs="Times New Roman"/>
          <w:b/>
          <w:b/>
          <w:color w:val="000000"/>
          <w:sz w:val="24"/>
          <w:szCs w:val="24"/>
        </w:rPr>
      </w:pPr>
      <w:r>
        <w:rPr>
          <w:rFonts w:cs="Times New Roman" w:ascii="Times New Roman" w:hAnsi="Times New Roman"/>
          <w:b/>
          <w:color w:val="000000"/>
          <w:sz w:val="24"/>
          <w:szCs w:val="24"/>
        </w:rPr>
      </w:r>
    </w:p>
    <w:p>
      <w:pPr>
        <w:pStyle w:val="ListParagraph"/>
        <w:numPr>
          <w:ilvl w:val="0"/>
          <w:numId w:val="1"/>
        </w:numPr>
        <w:ind w:left="1040" w:right="0" w:hanging="360"/>
        <w:jc w:val="both"/>
        <w:rPr>
          <w:color w:val="000000"/>
        </w:rPr>
      </w:pPr>
      <w:r>
        <w:rPr>
          <w:rStyle w:val="Rvts50"/>
          <w:b/>
          <w:color w:val="000000"/>
        </w:rPr>
        <w:t xml:space="preserve">Объект закупки: </w:t>
      </w:r>
      <w:r>
        <w:rPr>
          <w:rStyle w:val="Rvts50"/>
          <w:bCs/>
          <w:color w:val="000000"/>
        </w:rPr>
        <w:t xml:space="preserve"> Посуда для лабораторных целей стеклянная в рамках Федерального проекта "Чистый воздух" </w:t>
      </w:r>
    </w:p>
    <w:p>
      <w:pPr>
        <w:pStyle w:val="ListParagraph"/>
        <w:ind w:left="0" w:right="0" w:hanging="0"/>
        <w:jc w:val="both"/>
        <w:rPr>
          <w:b/>
          <w:b/>
          <w:sz w:val="22"/>
          <w:szCs w:val="22"/>
        </w:rPr>
      </w:pPr>
      <w:r>
        <w:rPr>
          <w:b/>
          <w:sz w:val="22"/>
          <w:szCs w:val="22"/>
        </w:rPr>
      </w:r>
    </w:p>
    <w:tbl>
      <w:tblPr>
        <w:tblW w:w="15870" w:type="dxa"/>
        <w:jc w:val="left"/>
        <w:tblInd w:w="-128" w:type="dxa"/>
        <w:tblLayout w:type="fixed"/>
        <w:tblCellMar>
          <w:top w:w="0" w:type="dxa"/>
          <w:left w:w="63" w:type="dxa"/>
          <w:bottom w:w="0" w:type="dxa"/>
          <w:right w:w="108" w:type="dxa"/>
        </w:tblCellMar>
      </w:tblPr>
      <w:tblGrid>
        <w:gridCol w:w="496"/>
        <w:gridCol w:w="2968"/>
        <w:gridCol w:w="2325"/>
        <w:gridCol w:w="1860"/>
        <w:gridCol w:w="1936"/>
        <w:gridCol w:w="2160"/>
        <w:gridCol w:w="1530"/>
        <w:gridCol w:w="735"/>
        <w:gridCol w:w="1858"/>
      </w:tblGrid>
      <w:tr>
        <w:trPr/>
        <w:tc>
          <w:tcPr>
            <w:tcW w:w="496" w:type="dxa"/>
            <w:vMerge w:val="restart"/>
            <w:tcBorders>
              <w:top w:val="single" w:sz="4" w:space="0" w:color="00000A"/>
              <w:left w:val="single" w:sz="4" w:space="0" w:color="00000A"/>
              <w:bottom w:val="single" w:sz="4" w:space="0" w:color="00000A"/>
            </w:tcBorders>
          </w:tcPr>
          <w:p>
            <w:pPr>
              <w:pStyle w:val="Normal"/>
              <w:widowControl w:val="false"/>
              <w:spacing w:lineRule="auto" w:line="276"/>
              <w:jc w:val="center"/>
              <w:rPr>
                <w:rFonts w:eastAsia="Calibri"/>
                <w:b/>
                <w:b/>
                <w:sz w:val="22"/>
                <w:szCs w:val="22"/>
              </w:rPr>
            </w:pPr>
            <w:r>
              <w:rPr>
                <w:rFonts w:eastAsia="Calibri"/>
                <w:b/>
                <w:sz w:val="22"/>
                <w:szCs w:val="22"/>
              </w:rPr>
            </w:r>
          </w:p>
        </w:tc>
        <w:tc>
          <w:tcPr>
            <w:tcW w:w="296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
                <w:b/>
                <w:sz w:val="22"/>
                <w:szCs w:val="22"/>
              </w:rPr>
            </w:pPr>
            <w:r>
              <w:rPr>
                <w:rFonts w:eastAsia="Calibri"/>
                <w:b/>
                <w:sz w:val="22"/>
                <w:szCs w:val="22"/>
              </w:rPr>
              <w:t>Наименование товара, работы, услуг</w:t>
            </w:r>
          </w:p>
        </w:tc>
        <w:tc>
          <w:tcPr>
            <w:tcW w:w="8281" w:type="dxa"/>
            <w:gridSpan w:val="4"/>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
                <w:b/>
                <w:sz w:val="22"/>
                <w:szCs w:val="22"/>
              </w:rPr>
            </w:pPr>
            <w:r>
              <w:rPr>
                <w:rFonts w:eastAsia="Calibri"/>
                <w:b/>
                <w:sz w:val="22"/>
                <w:szCs w:val="22"/>
              </w:rPr>
              <w:t>Характеристики товара, работы, услуги</w:t>
            </w:r>
          </w:p>
        </w:tc>
        <w:tc>
          <w:tcPr>
            <w:tcW w:w="153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
                <w:b/>
                <w:sz w:val="22"/>
                <w:szCs w:val="22"/>
              </w:rPr>
            </w:pPr>
            <w:r>
              <w:rPr>
                <w:rFonts w:eastAsia="Calibri"/>
                <w:b/>
                <w:bCs/>
                <w:sz w:val="22"/>
                <w:szCs w:val="22"/>
              </w:rPr>
              <w:t>Количество (объем работы, услуги) товара</w:t>
            </w:r>
          </w:p>
        </w:tc>
        <w:tc>
          <w:tcPr>
            <w:tcW w:w="735" w:type="dxa"/>
            <w:vMerge w:val="restart"/>
            <w:tcBorders>
              <w:top w:val="single" w:sz="4" w:space="0" w:color="00000A"/>
              <w:left w:val="single" w:sz="4" w:space="0" w:color="00000A"/>
              <w:bottom w:val="single" w:sz="4" w:space="0" w:color="00000A"/>
            </w:tcBorders>
          </w:tcPr>
          <w:p>
            <w:pPr>
              <w:pStyle w:val="Normal"/>
              <w:widowControl w:val="false"/>
              <w:ind w:left="0" w:right="0" w:hanging="0"/>
              <w:jc w:val="center"/>
              <w:rPr>
                <w:rFonts w:eastAsia="Calibri"/>
                <w:b/>
                <w:b/>
                <w:sz w:val="22"/>
                <w:szCs w:val="22"/>
              </w:rPr>
            </w:pPr>
            <w:r>
              <w:rPr>
                <w:rFonts w:eastAsia="Calibri"/>
                <w:b/>
                <w:sz w:val="22"/>
                <w:szCs w:val="22"/>
              </w:rPr>
              <w:t>Ед. изм.</w:t>
            </w:r>
          </w:p>
          <w:p>
            <w:pPr>
              <w:pStyle w:val="Normal"/>
              <w:widowControl w:val="false"/>
              <w:spacing w:lineRule="auto" w:line="276"/>
              <w:rPr>
                <w:rFonts w:eastAsia="Calibri"/>
                <w:b/>
                <w:b/>
                <w:sz w:val="22"/>
                <w:szCs w:val="22"/>
              </w:rPr>
            </w:pPr>
            <w:r>
              <w:rPr>
                <w:rFonts w:eastAsia="Calibri"/>
                <w:b/>
                <w:sz w:val="22"/>
                <w:szCs w:val="22"/>
              </w:rPr>
            </w:r>
          </w:p>
        </w:tc>
        <w:tc>
          <w:tcPr>
            <w:tcW w:w="185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b/>
                <w:bCs/>
              </w:rPr>
            </w:pPr>
            <w:r>
              <w:rPr>
                <w:b/>
                <w:bCs/>
              </w:rPr>
              <w:t>Страна происхождения товара</w:t>
            </w:r>
          </w:p>
        </w:tc>
      </w:tr>
      <w:tr>
        <w:trPr/>
        <w:tc>
          <w:tcPr>
            <w:tcW w:w="496" w:type="dxa"/>
            <w:vMerge w:val="continue"/>
            <w:tcBorders>
              <w:top w:val="single" w:sz="4" w:space="0" w:color="00000A"/>
              <w:left w:val="single" w:sz="4" w:space="0" w:color="00000A"/>
              <w:bottom w:val="single" w:sz="4" w:space="0" w:color="00000A"/>
            </w:tcBorders>
          </w:tcPr>
          <w:p>
            <w:pPr>
              <w:pStyle w:val="Normal"/>
              <w:widowControl w:val="false"/>
              <w:rPr/>
            </w:pPr>
            <w:r>
              <w:rPr/>
            </w:r>
          </w:p>
        </w:tc>
        <w:tc>
          <w:tcPr>
            <w:tcW w:w="2968" w:type="dxa"/>
            <w:vMerge w:val="continue"/>
            <w:tcBorders>
              <w:top w:val="single" w:sz="4" w:space="0" w:color="00000A"/>
              <w:left w:val="single" w:sz="4" w:space="0" w:color="00000A"/>
              <w:bottom w:val="single" w:sz="4" w:space="0" w:color="00000A"/>
              <w:right w:val="single" w:sz="4" w:space="0" w:color="00000A"/>
            </w:tcBorders>
          </w:tcPr>
          <w:p>
            <w:pPr>
              <w:pStyle w:val="Normal"/>
              <w:widowControl w:val="false"/>
              <w:rPr/>
            </w:pPr>
            <w:r>
              <w:rPr/>
            </w:r>
          </w:p>
        </w:tc>
        <w:tc>
          <w:tcPr>
            <w:tcW w:w="2325" w:type="dxa"/>
            <w:tcBorders>
              <w:top w:val="single" w:sz="4" w:space="0" w:color="00000A"/>
              <w:left w:val="single" w:sz="4" w:space="0" w:color="00000A"/>
              <w:bottom w:val="single" w:sz="4" w:space="0" w:color="00000A"/>
              <w:right w:val="single" w:sz="4" w:space="0" w:color="00000A"/>
            </w:tcBorders>
            <w:vAlign w:val="center"/>
          </w:tcPr>
          <w:p>
            <w:pPr>
              <w:pStyle w:val="Normal"/>
              <w:widowControl w:val="false"/>
              <w:ind w:left="0" w:right="0" w:hanging="0"/>
              <w:jc w:val="center"/>
              <w:rPr>
                <w:rFonts w:eastAsia="Calibri"/>
                <w:b/>
                <w:b/>
                <w:bCs/>
                <w:sz w:val="22"/>
                <w:szCs w:val="22"/>
              </w:rPr>
            </w:pPr>
            <w:r>
              <w:rPr>
                <w:rFonts w:eastAsia="Calibri"/>
                <w:b/>
                <w:bCs/>
                <w:sz w:val="22"/>
                <w:szCs w:val="22"/>
              </w:rPr>
              <w:t>Наименование характеристики</w:t>
            </w:r>
          </w:p>
        </w:tc>
        <w:tc>
          <w:tcPr>
            <w:tcW w:w="1860" w:type="dxa"/>
            <w:tcBorders>
              <w:top w:val="single" w:sz="4" w:space="0" w:color="00000A"/>
              <w:left w:val="single" w:sz="4" w:space="0" w:color="00000A"/>
              <w:bottom w:val="single" w:sz="4" w:space="0" w:color="00000A"/>
              <w:right w:val="single" w:sz="4" w:space="0" w:color="00000A"/>
            </w:tcBorders>
            <w:vAlign w:val="center"/>
          </w:tcPr>
          <w:p>
            <w:pPr>
              <w:pStyle w:val="Normal"/>
              <w:widowControl w:val="false"/>
              <w:ind w:left="0" w:right="0" w:hanging="0"/>
              <w:jc w:val="center"/>
              <w:rPr>
                <w:rFonts w:eastAsia="Calibri"/>
                <w:b/>
                <w:b/>
                <w:bCs/>
                <w:sz w:val="22"/>
                <w:szCs w:val="22"/>
              </w:rPr>
            </w:pPr>
            <w:r>
              <w:rPr>
                <w:rFonts w:eastAsia="Calibri"/>
                <w:b/>
                <w:bCs/>
                <w:sz w:val="22"/>
                <w:szCs w:val="22"/>
              </w:rPr>
              <w:t>Значение характеристики</w:t>
            </w:r>
          </w:p>
        </w:tc>
        <w:tc>
          <w:tcPr>
            <w:tcW w:w="1936"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
                <w:b/>
                <w:sz w:val="22"/>
                <w:szCs w:val="22"/>
              </w:rPr>
            </w:pPr>
            <w:r>
              <w:rPr>
                <w:rFonts w:eastAsia="Calibri"/>
                <w:b/>
                <w:bCs/>
                <w:sz w:val="22"/>
                <w:szCs w:val="22"/>
                <w:shd w:fill="FFFFFF" w:val="clear"/>
              </w:rPr>
              <w:t>Единица измерения характеристики</w:t>
            </w:r>
          </w:p>
        </w:tc>
        <w:tc>
          <w:tcPr>
            <w:tcW w:w="2160"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
                <w:b/>
                <w:sz w:val="22"/>
                <w:szCs w:val="22"/>
              </w:rPr>
            </w:pPr>
            <w:r>
              <w:rPr>
                <w:rFonts w:eastAsia="Calibri"/>
                <w:b/>
                <w:sz w:val="22"/>
                <w:szCs w:val="22"/>
              </w:rPr>
              <w:t>Инструкция по заполнению характеристик в заявке</w:t>
            </w:r>
          </w:p>
        </w:tc>
        <w:tc>
          <w:tcPr>
            <w:tcW w:w="1530" w:type="dxa"/>
            <w:vMerge w:val="continue"/>
            <w:tcBorders>
              <w:top w:val="single" w:sz="4" w:space="0" w:color="00000A"/>
              <w:left w:val="single" w:sz="4" w:space="0" w:color="00000A"/>
              <w:bottom w:val="single" w:sz="4" w:space="0" w:color="00000A"/>
              <w:right w:val="single" w:sz="4" w:space="0" w:color="00000A"/>
            </w:tcBorders>
          </w:tcPr>
          <w:p>
            <w:pPr>
              <w:pStyle w:val="Normal"/>
              <w:widowControl w:val="false"/>
              <w:rPr/>
            </w:pPr>
            <w:r>
              <w:rPr/>
            </w:r>
          </w:p>
        </w:tc>
        <w:tc>
          <w:tcPr>
            <w:tcW w:w="735" w:type="dxa"/>
            <w:vMerge w:val="continue"/>
            <w:tcBorders>
              <w:top w:val="single" w:sz="4" w:space="0" w:color="00000A"/>
              <w:left w:val="single" w:sz="4" w:space="0" w:color="00000A"/>
              <w:bottom w:val="single" w:sz="4" w:space="0" w:color="00000A"/>
            </w:tcBorders>
          </w:tcPr>
          <w:p>
            <w:pPr>
              <w:pStyle w:val="Normal"/>
              <w:widowControl w:val="false"/>
              <w:rPr/>
            </w:pPr>
            <w:r>
              <w:rPr/>
            </w:r>
          </w:p>
        </w:tc>
        <w:tc>
          <w:tcPr>
            <w:tcW w:w="1858" w:type="dxa"/>
            <w:vMerge w:val="continue"/>
            <w:tcBorders>
              <w:top w:val="single" w:sz="4" w:space="0" w:color="00000A"/>
              <w:left w:val="single" w:sz="4" w:space="0" w:color="00000A"/>
              <w:bottom w:val="single" w:sz="4" w:space="0" w:color="00000A"/>
              <w:right w:val="single" w:sz="4" w:space="0" w:color="00000A"/>
            </w:tcBorders>
          </w:tcPr>
          <w:p>
            <w:pPr>
              <w:pStyle w:val="Normal"/>
              <w:widowControl w:val="false"/>
              <w:rPr/>
            </w:pPr>
            <w:r>
              <w:rPr/>
            </w:r>
          </w:p>
        </w:tc>
      </w:tr>
      <w:tr>
        <w:trPr/>
        <w:tc>
          <w:tcPr>
            <w:tcW w:w="496" w:type="dxa"/>
            <w:vMerge w:val="restart"/>
            <w:tcBorders>
              <w:top w:val="single" w:sz="4" w:space="0" w:color="00000A"/>
              <w:left w:val="single" w:sz="4" w:space="0" w:color="00000A"/>
              <w:bottom w:val="single" w:sz="4" w:space="0" w:color="00000A"/>
            </w:tcBorders>
          </w:tcPr>
          <w:p>
            <w:pPr>
              <w:pStyle w:val="Style22"/>
              <w:widowControl w:val="false"/>
              <w:jc w:val="left"/>
              <w:rPr>
                <w:sz w:val="22"/>
                <w:szCs w:val="22"/>
              </w:rPr>
            </w:pPr>
            <w:r>
              <w:rPr>
                <w:color w:val="00000A"/>
                <w:sz w:val="22"/>
                <w:szCs w:val="22"/>
              </w:rPr>
              <w:t>1</w:t>
            </w:r>
          </w:p>
        </w:tc>
        <w:tc>
          <w:tcPr>
            <w:tcW w:w="2968" w:type="dxa"/>
            <w:vMerge w:val="restart"/>
            <w:tcBorders>
              <w:top w:val="single" w:sz="4" w:space="0" w:color="00000A"/>
              <w:left w:val="single" w:sz="4" w:space="0" w:color="00000A"/>
              <w:bottom w:val="single" w:sz="4" w:space="0" w:color="00000A"/>
              <w:right w:val="single" w:sz="4" w:space="0" w:color="00000A"/>
            </w:tcBorders>
          </w:tcPr>
          <w:p>
            <w:pPr>
              <w:pStyle w:val="Style22"/>
              <w:widowControl w:val="false"/>
              <w:jc w:val="left"/>
              <w:rPr>
                <w:sz w:val="22"/>
                <w:szCs w:val="22"/>
              </w:rPr>
            </w:pPr>
            <w:r>
              <w:rPr>
                <w:sz w:val="22"/>
                <w:szCs w:val="22"/>
              </w:rPr>
              <w:t xml:space="preserve">Колба мерная с пришлифованной пробкой </w:t>
            </w:r>
          </w:p>
        </w:tc>
        <w:tc>
          <w:tcPr>
            <w:tcW w:w="2325"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rPr>
                <w:sz w:val="22"/>
                <w:szCs w:val="22"/>
              </w:rPr>
            </w:pPr>
            <w:r>
              <w:rPr>
                <w:rFonts w:eastAsia="Calibri"/>
                <w:bCs/>
                <w:sz w:val="22"/>
                <w:szCs w:val="22"/>
              </w:rPr>
              <w:t>Объем</w:t>
            </w:r>
          </w:p>
        </w:tc>
        <w:tc>
          <w:tcPr>
            <w:tcW w:w="1860" w:type="dxa"/>
            <w:tcBorders>
              <w:top w:val="single" w:sz="4" w:space="0" w:color="00000A"/>
              <w:left w:val="single" w:sz="4" w:space="0" w:color="00000A"/>
              <w:bottom w:val="single" w:sz="4" w:space="0" w:color="00000A"/>
              <w:right w:val="single" w:sz="4" w:space="0" w:color="00000A"/>
            </w:tcBorders>
            <w:vAlign w:val="center"/>
          </w:tcPr>
          <w:p>
            <w:pPr>
              <w:pStyle w:val="Normal"/>
              <w:widowControl w:val="false"/>
              <w:jc w:val="center"/>
              <w:rPr>
                <w:rFonts w:eastAsia="Calibri"/>
                <w:color w:val="000000"/>
                <w:sz w:val="22"/>
                <w:szCs w:val="22"/>
              </w:rPr>
            </w:pPr>
            <w:r>
              <w:rPr>
                <w:rFonts w:eastAsia="Calibri"/>
                <w:color w:val="000000"/>
                <w:sz w:val="22"/>
                <w:szCs w:val="22"/>
              </w:rPr>
              <w:t>50</w:t>
            </w:r>
          </w:p>
        </w:tc>
        <w:tc>
          <w:tcPr>
            <w:tcW w:w="1936"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t>Миллилитр (мл)</w:t>
            </w:r>
          </w:p>
        </w:tc>
        <w:tc>
          <w:tcPr>
            <w:tcW w:w="216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rFonts w:eastAsia="Calibri"/>
                <w:bCs/>
                <w:sz w:val="22"/>
                <w:szCs w:val="22"/>
              </w:rPr>
              <w:t>Значение характеристик не может изменяться участником закупки</w:t>
            </w:r>
          </w:p>
        </w:tc>
        <w:tc>
          <w:tcPr>
            <w:tcW w:w="1530" w:type="dxa"/>
            <w:vMerge w:val="restart"/>
            <w:tcBorders>
              <w:top w:val="single" w:sz="4" w:space="0" w:color="00000A"/>
              <w:left w:val="single" w:sz="4" w:space="0" w:color="00000A"/>
              <w:bottom w:val="single" w:sz="4" w:space="0" w:color="00000A"/>
              <w:right w:val="single" w:sz="4" w:space="0" w:color="00000A"/>
            </w:tcBorders>
          </w:tcPr>
          <w:p>
            <w:pPr>
              <w:pStyle w:val="Style22"/>
              <w:widowControl w:val="false"/>
              <w:jc w:val="center"/>
              <w:rPr>
                <w:sz w:val="22"/>
                <w:szCs w:val="22"/>
              </w:rPr>
            </w:pPr>
            <w:r>
              <w:rPr>
                <w:color w:val="000000"/>
                <w:sz w:val="22"/>
                <w:szCs w:val="22"/>
              </w:rPr>
              <w:t>36</w:t>
            </w:r>
          </w:p>
        </w:tc>
        <w:tc>
          <w:tcPr>
            <w:tcW w:w="735" w:type="dxa"/>
            <w:vMerge w:val="restart"/>
            <w:tcBorders>
              <w:top w:val="single" w:sz="4" w:space="0" w:color="00000A"/>
              <w:left w:val="single" w:sz="4" w:space="0" w:color="00000A"/>
              <w:bottom w:val="single" w:sz="4" w:space="0" w:color="00000A"/>
            </w:tcBorders>
          </w:tcPr>
          <w:p>
            <w:pPr>
              <w:pStyle w:val="Normal"/>
              <w:widowControl w:val="false"/>
              <w:spacing w:lineRule="auto" w:line="276"/>
              <w:jc w:val="center"/>
              <w:rPr>
                <w:sz w:val="22"/>
                <w:szCs w:val="22"/>
              </w:rPr>
            </w:pPr>
            <w:r>
              <w:rPr>
                <w:rFonts w:eastAsia="Calibri"/>
                <w:bCs/>
                <w:sz w:val="22"/>
                <w:szCs w:val="22"/>
              </w:rPr>
              <w:t>шт.</w:t>
            </w:r>
          </w:p>
        </w:tc>
        <w:tc>
          <w:tcPr>
            <w:tcW w:w="185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sz w:val="22"/>
                <w:szCs w:val="22"/>
              </w:rPr>
              <w:t>Указывается в составе заявки</w:t>
            </w:r>
          </w:p>
        </w:tc>
      </w:tr>
      <w:tr>
        <w:trPr/>
        <w:tc>
          <w:tcPr>
            <w:tcW w:w="496"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 xml:space="preserve">Допустимая погрешность </w:t>
            </w:r>
          </w:p>
        </w:tc>
        <w:tc>
          <w:tcPr>
            <w:tcW w:w="1860" w:type="dxa"/>
            <w:tcBorders>
              <w:left w:val="single" w:sz="4" w:space="0" w:color="00000A"/>
              <w:bottom w:val="single" w:sz="4" w:space="0" w:color="00000A"/>
              <w:right w:val="single" w:sz="4" w:space="0" w:color="00000A"/>
            </w:tcBorders>
            <w:vAlign w:val="center"/>
          </w:tcPr>
          <w:p>
            <w:pPr>
              <w:pStyle w:val="Normal"/>
              <w:widowControl w:val="false"/>
              <w:ind w:left="0" w:right="0" w:hanging="0"/>
              <w:jc w:val="center"/>
              <w:rPr>
                <w:rFonts w:eastAsia="Calibri"/>
                <w:bCs/>
                <w:sz w:val="22"/>
                <w:szCs w:val="22"/>
              </w:rPr>
            </w:pPr>
            <w:r>
              <w:rPr>
                <w:rFonts w:eastAsia="Calibri"/>
                <w:bCs/>
                <w:sz w:val="22"/>
                <w:szCs w:val="22"/>
              </w:rPr>
              <w:t xml:space="preserve">± 0,12 </w:t>
            </w:r>
          </w:p>
        </w:tc>
        <w:tc>
          <w:tcPr>
            <w:tcW w:w="1936" w:type="dxa"/>
            <w:tcBorders>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t>Миллилитр (мл)</w:t>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5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6"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spacing w:lineRule="auto" w:line="276"/>
              <w:rPr>
                <w:sz w:val="22"/>
                <w:szCs w:val="22"/>
              </w:rPr>
            </w:pPr>
            <w:r>
              <w:rPr>
                <w:rFonts w:eastAsia="Calibri"/>
                <w:bCs/>
                <w:sz w:val="22"/>
                <w:szCs w:val="22"/>
              </w:rPr>
              <w:t>Обозначение конуса</w:t>
            </w:r>
          </w:p>
        </w:tc>
        <w:tc>
          <w:tcPr>
            <w:tcW w:w="1860" w:type="dxa"/>
            <w:tcBorders>
              <w:left w:val="single" w:sz="4" w:space="0" w:color="00000A"/>
              <w:bottom w:val="single" w:sz="4" w:space="0" w:color="00000A"/>
              <w:right w:val="single" w:sz="4" w:space="0" w:color="00000A"/>
            </w:tcBorders>
            <w:vAlign w:val="center"/>
          </w:tcPr>
          <w:p>
            <w:pPr>
              <w:pStyle w:val="Normal"/>
              <w:widowControl w:val="false"/>
              <w:jc w:val="center"/>
              <w:rPr>
                <w:rFonts w:eastAsia="Calibri"/>
                <w:color w:val="000000"/>
                <w:sz w:val="22"/>
                <w:szCs w:val="22"/>
              </w:rPr>
            </w:pPr>
            <w:r>
              <w:rPr>
                <w:rFonts w:eastAsia="Calibri"/>
                <w:color w:val="000000"/>
                <w:sz w:val="22"/>
                <w:szCs w:val="22"/>
              </w:rPr>
              <w:t>10/19</w:t>
            </w:r>
          </w:p>
        </w:tc>
        <w:tc>
          <w:tcPr>
            <w:tcW w:w="1936" w:type="dxa"/>
            <w:tcBorders>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5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6"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spacing w:lineRule="auto" w:line="276"/>
              <w:rPr>
                <w:rFonts w:eastAsia="Calibri"/>
                <w:bCs/>
                <w:sz w:val="22"/>
                <w:szCs w:val="22"/>
              </w:rPr>
            </w:pPr>
            <w:r>
              <w:rPr>
                <w:rFonts w:eastAsia="Calibri"/>
                <w:bCs/>
                <w:sz w:val="22"/>
                <w:szCs w:val="22"/>
              </w:rPr>
              <w:t>Класс точности</w:t>
            </w:r>
          </w:p>
        </w:tc>
        <w:tc>
          <w:tcPr>
            <w:tcW w:w="1860" w:type="dxa"/>
            <w:tcBorders>
              <w:left w:val="single" w:sz="4" w:space="0" w:color="00000A"/>
              <w:bottom w:val="single" w:sz="4" w:space="0" w:color="00000A"/>
              <w:right w:val="single" w:sz="4" w:space="0" w:color="00000A"/>
            </w:tcBorders>
            <w:vAlign w:val="center"/>
          </w:tcPr>
          <w:p>
            <w:pPr>
              <w:pStyle w:val="Normal"/>
              <w:widowControl w:val="false"/>
              <w:jc w:val="center"/>
              <w:rPr>
                <w:sz w:val="22"/>
                <w:szCs w:val="22"/>
              </w:rPr>
            </w:pPr>
            <w:r>
              <w:rPr>
                <w:sz w:val="22"/>
                <w:szCs w:val="22"/>
              </w:rPr>
              <w:t>2</w:t>
            </w:r>
          </w:p>
        </w:tc>
        <w:tc>
          <w:tcPr>
            <w:tcW w:w="1936"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5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6" w:type="dxa"/>
            <w:vMerge w:val="continue"/>
            <w:tcBorders>
              <w:top w:val="single" w:sz="4" w:space="0" w:color="00000A"/>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rPr>
                <w:sz w:val="22"/>
                <w:szCs w:val="22"/>
              </w:rPr>
            </w:pPr>
            <w:r>
              <w:rPr>
                <w:rFonts w:eastAsia="Calibri"/>
                <w:bCs/>
                <w:sz w:val="22"/>
                <w:szCs w:val="22"/>
              </w:rPr>
              <w:t xml:space="preserve">Исполнение </w:t>
            </w:r>
          </w:p>
        </w:tc>
        <w:tc>
          <w:tcPr>
            <w:tcW w:w="186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rFonts w:ascii="Times New Roman" w:hAnsi="Times New Roman" w:eastAsia="Times New Roman" w:cs="Times New Roman"/>
                <w:color w:val="000000"/>
                <w:sz w:val="22"/>
                <w:szCs w:val="22"/>
              </w:rPr>
            </w:pPr>
            <w:r>
              <w:rPr>
                <w:rFonts w:eastAsia="Times New Roman" w:cs="Times New Roman"/>
                <w:color w:val="000000"/>
                <w:sz w:val="22"/>
                <w:szCs w:val="22"/>
              </w:rPr>
              <w:t>2</w:t>
            </w:r>
          </w:p>
        </w:tc>
        <w:tc>
          <w:tcPr>
            <w:tcW w:w="1936" w:type="dxa"/>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160" w:type="dxa"/>
            <w:vMerge w:val="continue"/>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top w:val="single" w:sz="4" w:space="0" w:color="00000A"/>
              <w:left w:val="single" w:sz="4" w:space="0" w:color="00000A"/>
              <w:bottom w:val="single" w:sz="4" w:space="0" w:color="00000A"/>
            </w:tcBorders>
          </w:tcPr>
          <w:p>
            <w:pPr>
              <w:pStyle w:val="Normal"/>
              <w:widowControl w:val="false"/>
              <w:rPr>
                <w:sz w:val="22"/>
                <w:szCs w:val="22"/>
              </w:rPr>
            </w:pPr>
            <w:r>
              <w:rPr>
                <w:sz w:val="22"/>
                <w:szCs w:val="22"/>
              </w:rPr>
            </w:r>
          </w:p>
        </w:tc>
        <w:tc>
          <w:tcPr>
            <w:tcW w:w="1858" w:type="dxa"/>
            <w:vMerge w:val="continue"/>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6" w:type="dxa"/>
            <w:vMerge w:val="restart"/>
            <w:tcBorders>
              <w:top w:val="single" w:sz="4" w:space="0" w:color="00000A"/>
              <w:left w:val="single" w:sz="4" w:space="0" w:color="00000A"/>
              <w:bottom w:val="single" w:sz="4" w:space="0" w:color="00000A"/>
            </w:tcBorders>
          </w:tcPr>
          <w:p>
            <w:pPr>
              <w:pStyle w:val="Style22"/>
              <w:widowControl w:val="false"/>
              <w:jc w:val="left"/>
              <w:rPr>
                <w:sz w:val="22"/>
                <w:szCs w:val="22"/>
              </w:rPr>
            </w:pPr>
            <w:r>
              <w:rPr>
                <w:color w:val="00000A"/>
                <w:sz w:val="22"/>
                <w:szCs w:val="22"/>
              </w:rPr>
              <w:t>2</w:t>
            </w:r>
          </w:p>
        </w:tc>
        <w:tc>
          <w:tcPr>
            <w:tcW w:w="2968" w:type="dxa"/>
            <w:vMerge w:val="restart"/>
            <w:tcBorders>
              <w:top w:val="single" w:sz="4" w:space="0" w:color="00000A"/>
              <w:left w:val="single" w:sz="4" w:space="0" w:color="00000A"/>
              <w:bottom w:val="single" w:sz="4" w:space="0" w:color="00000A"/>
              <w:right w:val="single" w:sz="4" w:space="0" w:color="00000A"/>
            </w:tcBorders>
          </w:tcPr>
          <w:p>
            <w:pPr>
              <w:pStyle w:val="Style22"/>
              <w:widowControl w:val="false"/>
              <w:jc w:val="left"/>
              <w:rPr>
                <w:sz w:val="22"/>
                <w:szCs w:val="22"/>
              </w:rPr>
            </w:pPr>
            <w:r>
              <w:rPr>
                <w:sz w:val="22"/>
                <w:szCs w:val="22"/>
              </w:rPr>
              <w:t xml:space="preserve">Колба  мерная с пришлифованной пробкой </w:t>
            </w:r>
          </w:p>
        </w:tc>
        <w:tc>
          <w:tcPr>
            <w:tcW w:w="2325"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rPr>
                <w:sz w:val="22"/>
                <w:szCs w:val="22"/>
              </w:rPr>
            </w:pPr>
            <w:r>
              <w:rPr>
                <w:rFonts w:eastAsia="Calibri"/>
                <w:bCs/>
                <w:sz w:val="22"/>
                <w:szCs w:val="22"/>
              </w:rPr>
              <w:t>Объем</w:t>
            </w:r>
          </w:p>
        </w:tc>
        <w:tc>
          <w:tcPr>
            <w:tcW w:w="186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1936"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t>Миллилитр (мл)</w:t>
            </w:r>
          </w:p>
        </w:tc>
        <w:tc>
          <w:tcPr>
            <w:tcW w:w="216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bCs/>
                <w:sz w:val="22"/>
                <w:szCs w:val="22"/>
              </w:rPr>
              <w:t>Значение характеристик не может изменяться участником закупки</w:t>
            </w:r>
          </w:p>
        </w:tc>
        <w:tc>
          <w:tcPr>
            <w:tcW w:w="153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48</w:t>
            </w:r>
          </w:p>
        </w:tc>
        <w:tc>
          <w:tcPr>
            <w:tcW w:w="735" w:type="dxa"/>
            <w:vMerge w:val="restart"/>
            <w:tcBorders>
              <w:top w:val="single" w:sz="4" w:space="0" w:color="00000A"/>
              <w:left w:val="single" w:sz="4" w:space="0" w:color="00000A"/>
              <w:bottom w:val="single" w:sz="4" w:space="0" w:color="00000A"/>
            </w:tcBorders>
          </w:tcPr>
          <w:p>
            <w:pPr>
              <w:pStyle w:val="Normal"/>
              <w:widowControl w:val="false"/>
              <w:spacing w:lineRule="auto" w:line="276"/>
              <w:jc w:val="center"/>
              <w:rPr>
                <w:sz w:val="22"/>
                <w:szCs w:val="22"/>
              </w:rPr>
            </w:pPr>
            <w:r>
              <w:rPr>
                <w:rFonts w:eastAsia="Calibri"/>
                <w:bCs/>
                <w:sz w:val="22"/>
                <w:szCs w:val="22"/>
              </w:rPr>
              <w:t>шт.</w:t>
            </w:r>
          </w:p>
        </w:tc>
        <w:tc>
          <w:tcPr>
            <w:tcW w:w="185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t>Указывается в составе заявки</w:t>
            </w:r>
          </w:p>
        </w:tc>
      </w:tr>
      <w:tr>
        <w:trPr/>
        <w:tc>
          <w:tcPr>
            <w:tcW w:w="496"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 xml:space="preserve">Допустимая погрешность </w:t>
            </w:r>
          </w:p>
        </w:tc>
        <w:tc>
          <w:tcPr>
            <w:tcW w:w="1860" w:type="dxa"/>
            <w:tcBorders>
              <w:left w:val="single" w:sz="4" w:space="0" w:color="00000A"/>
              <w:bottom w:val="single" w:sz="4" w:space="0" w:color="00000A"/>
              <w:right w:val="single" w:sz="4" w:space="0" w:color="00000A"/>
            </w:tcBorders>
          </w:tcPr>
          <w:p>
            <w:pPr>
              <w:pStyle w:val="Normal"/>
              <w:widowControl w:val="false"/>
              <w:jc w:val="center"/>
              <w:rPr>
                <w:rFonts w:eastAsia="Calibri"/>
                <w:color w:val="000000"/>
                <w:sz w:val="22"/>
                <w:szCs w:val="22"/>
              </w:rPr>
            </w:pPr>
            <w:r>
              <w:rPr>
                <w:rFonts w:eastAsia="Calibri"/>
                <w:color w:val="000000"/>
                <w:sz w:val="22"/>
                <w:szCs w:val="22"/>
              </w:rPr>
              <w:t>± 0,2</w:t>
            </w:r>
          </w:p>
        </w:tc>
        <w:tc>
          <w:tcPr>
            <w:tcW w:w="1936" w:type="dxa"/>
            <w:tcBorders>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t>Миллилитр (мл)</w:t>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5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6"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spacing w:lineRule="auto" w:line="276"/>
              <w:rPr>
                <w:sz w:val="22"/>
                <w:szCs w:val="22"/>
              </w:rPr>
            </w:pPr>
            <w:r>
              <w:rPr>
                <w:rFonts w:eastAsia="Calibri"/>
                <w:bCs/>
                <w:sz w:val="22"/>
                <w:szCs w:val="22"/>
              </w:rPr>
              <w:t>Обозначение конуса</w:t>
            </w:r>
          </w:p>
        </w:tc>
        <w:tc>
          <w:tcPr>
            <w:tcW w:w="186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10/19</w:t>
            </w:r>
          </w:p>
        </w:tc>
        <w:tc>
          <w:tcPr>
            <w:tcW w:w="1936" w:type="dxa"/>
            <w:tcBorders>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5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6"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spacing w:lineRule="auto" w:line="276"/>
              <w:rPr>
                <w:rFonts w:eastAsia="Calibri"/>
                <w:bCs/>
                <w:sz w:val="22"/>
                <w:szCs w:val="22"/>
              </w:rPr>
            </w:pPr>
            <w:r>
              <w:rPr>
                <w:rFonts w:eastAsia="Calibri"/>
                <w:bCs/>
                <w:sz w:val="22"/>
                <w:szCs w:val="22"/>
              </w:rPr>
              <w:t>Класс точности</w:t>
            </w:r>
          </w:p>
        </w:tc>
        <w:tc>
          <w:tcPr>
            <w:tcW w:w="1860" w:type="dxa"/>
            <w:tcBorders>
              <w:left w:val="single" w:sz="4" w:space="0" w:color="00000A"/>
              <w:bottom w:val="single" w:sz="4" w:space="0" w:color="00000A"/>
              <w:right w:val="single" w:sz="4" w:space="0" w:color="00000A"/>
            </w:tcBorders>
          </w:tcPr>
          <w:p>
            <w:pPr>
              <w:pStyle w:val="Normal"/>
              <w:widowControl w:val="false"/>
              <w:jc w:val="center"/>
              <w:rPr>
                <w:rFonts w:eastAsia="Calibri"/>
                <w:color w:val="000000"/>
                <w:sz w:val="22"/>
                <w:szCs w:val="22"/>
              </w:rPr>
            </w:pPr>
            <w:r>
              <w:rPr>
                <w:rFonts w:eastAsia="Calibri"/>
                <w:color w:val="000000"/>
                <w:sz w:val="22"/>
                <w:szCs w:val="22"/>
              </w:rPr>
              <w:t>2</w:t>
            </w:r>
          </w:p>
        </w:tc>
        <w:tc>
          <w:tcPr>
            <w:tcW w:w="1936"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5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6" w:type="dxa"/>
            <w:vMerge w:val="continue"/>
            <w:tcBorders>
              <w:top w:val="single" w:sz="4" w:space="0" w:color="00000A"/>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rPr>
                <w:sz w:val="22"/>
                <w:szCs w:val="22"/>
              </w:rPr>
            </w:pPr>
            <w:r>
              <w:rPr>
                <w:rFonts w:eastAsia="Calibri"/>
                <w:bCs/>
                <w:sz w:val="22"/>
                <w:szCs w:val="22"/>
              </w:rPr>
              <w:t xml:space="preserve">Исполнение </w:t>
            </w:r>
          </w:p>
        </w:tc>
        <w:tc>
          <w:tcPr>
            <w:tcW w:w="186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rFonts w:eastAsia="Calibri"/>
                <w:color w:val="000000"/>
                <w:sz w:val="22"/>
                <w:szCs w:val="22"/>
              </w:rPr>
            </w:pPr>
            <w:r>
              <w:rPr>
                <w:rFonts w:eastAsia="Calibri"/>
                <w:color w:val="000000"/>
                <w:sz w:val="22"/>
                <w:szCs w:val="22"/>
              </w:rPr>
              <w:t>2</w:t>
            </w:r>
          </w:p>
        </w:tc>
        <w:tc>
          <w:tcPr>
            <w:tcW w:w="1936" w:type="dxa"/>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160" w:type="dxa"/>
            <w:vMerge w:val="continue"/>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top w:val="single" w:sz="4" w:space="0" w:color="00000A"/>
              <w:left w:val="single" w:sz="4" w:space="0" w:color="00000A"/>
              <w:bottom w:val="single" w:sz="4" w:space="0" w:color="00000A"/>
            </w:tcBorders>
          </w:tcPr>
          <w:p>
            <w:pPr>
              <w:pStyle w:val="Normal"/>
              <w:widowControl w:val="false"/>
              <w:rPr>
                <w:sz w:val="22"/>
                <w:szCs w:val="22"/>
              </w:rPr>
            </w:pPr>
            <w:r>
              <w:rPr>
                <w:sz w:val="22"/>
                <w:szCs w:val="22"/>
              </w:rPr>
            </w:r>
          </w:p>
        </w:tc>
        <w:tc>
          <w:tcPr>
            <w:tcW w:w="1858" w:type="dxa"/>
            <w:vMerge w:val="continue"/>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6" w:type="dxa"/>
            <w:vMerge w:val="restart"/>
            <w:tcBorders>
              <w:top w:val="single" w:sz="4" w:space="0" w:color="00000A"/>
              <w:left w:val="single" w:sz="4" w:space="0" w:color="00000A"/>
              <w:bottom w:val="single" w:sz="4" w:space="0" w:color="00000A"/>
            </w:tcBorders>
          </w:tcPr>
          <w:p>
            <w:pPr>
              <w:pStyle w:val="Style22"/>
              <w:widowControl w:val="false"/>
              <w:jc w:val="left"/>
              <w:rPr>
                <w:sz w:val="22"/>
                <w:szCs w:val="22"/>
              </w:rPr>
            </w:pPr>
            <w:r>
              <w:rPr>
                <w:sz w:val="22"/>
                <w:szCs w:val="22"/>
              </w:rPr>
              <w:t>3</w:t>
            </w:r>
          </w:p>
        </w:tc>
        <w:tc>
          <w:tcPr>
            <w:tcW w:w="2968" w:type="dxa"/>
            <w:vMerge w:val="restart"/>
            <w:tcBorders>
              <w:top w:val="single" w:sz="4" w:space="0" w:color="00000A"/>
              <w:left w:val="single" w:sz="4" w:space="0" w:color="00000A"/>
              <w:bottom w:val="single" w:sz="4" w:space="0" w:color="00000A"/>
              <w:right w:val="single" w:sz="4" w:space="0" w:color="00000A"/>
            </w:tcBorders>
          </w:tcPr>
          <w:p>
            <w:pPr>
              <w:pStyle w:val="Style22"/>
              <w:widowControl w:val="false"/>
              <w:jc w:val="left"/>
              <w:rPr>
                <w:sz w:val="22"/>
                <w:szCs w:val="22"/>
              </w:rPr>
            </w:pPr>
            <w:r>
              <w:rPr>
                <w:sz w:val="22"/>
                <w:szCs w:val="22"/>
              </w:rPr>
              <w:t xml:space="preserve">Колба коническая (тип Кн) </w:t>
            </w:r>
            <w:hyperlink r:id="rId2" w:tgtFrame="_blank">
              <w:r>
                <w:rPr>
                  <w:rStyle w:val="Style14"/>
                  <w:sz w:val="22"/>
                  <w:szCs w:val="22"/>
                </w:rPr>
                <w:t>23.19.23.110-00000459</w:t>
              </w:r>
            </w:hyperlink>
          </w:p>
        </w:tc>
        <w:tc>
          <w:tcPr>
            <w:tcW w:w="2325"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rPr>
                <w:sz w:val="22"/>
                <w:szCs w:val="22"/>
              </w:rPr>
            </w:pPr>
            <w:r>
              <w:rPr>
                <w:rFonts w:eastAsia="Calibri"/>
                <w:bCs/>
                <w:sz w:val="22"/>
                <w:szCs w:val="22"/>
              </w:rPr>
              <w:t>Номинальная вместимость</w:t>
            </w:r>
          </w:p>
        </w:tc>
        <w:tc>
          <w:tcPr>
            <w:tcW w:w="186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250</w:t>
            </w:r>
          </w:p>
        </w:tc>
        <w:tc>
          <w:tcPr>
            <w:tcW w:w="1936"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t>Миллилитр (мл)</w:t>
            </w:r>
          </w:p>
        </w:tc>
        <w:tc>
          <w:tcPr>
            <w:tcW w:w="216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bCs/>
                <w:sz w:val="22"/>
                <w:szCs w:val="22"/>
              </w:rPr>
            </w:pPr>
            <w:r>
              <w:rPr>
                <w:bCs/>
                <w:sz w:val="22"/>
                <w:szCs w:val="22"/>
              </w:rPr>
              <w:t>Значение характеристик не может изменяться участником закупки</w:t>
            </w:r>
          </w:p>
        </w:tc>
        <w:tc>
          <w:tcPr>
            <w:tcW w:w="153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12</w:t>
            </w:r>
          </w:p>
        </w:tc>
        <w:tc>
          <w:tcPr>
            <w:tcW w:w="735" w:type="dxa"/>
            <w:vMerge w:val="restart"/>
            <w:tcBorders>
              <w:top w:val="single" w:sz="4" w:space="0" w:color="00000A"/>
              <w:left w:val="single" w:sz="4" w:space="0" w:color="00000A"/>
              <w:bottom w:val="single" w:sz="4" w:space="0" w:color="00000A"/>
            </w:tcBorders>
          </w:tcPr>
          <w:p>
            <w:pPr>
              <w:pStyle w:val="Normal"/>
              <w:widowControl w:val="false"/>
              <w:spacing w:lineRule="auto" w:line="276"/>
              <w:jc w:val="center"/>
              <w:rPr>
                <w:sz w:val="22"/>
                <w:szCs w:val="22"/>
              </w:rPr>
            </w:pPr>
            <w:r>
              <w:rPr>
                <w:sz w:val="22"/>
                <w:szCs w:val="22"/>
              </w:rPr>
              <w:t>шт.</w:t>
            </w:r>
          </w:p>
        </w:tc>
        <w:tc>
          <w:tcPr>
            <w:tcW w:w="185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t>Указывается в составе заявки</w:t>
            </w:r>
          </w:p>
        </w:tc>
      </w:tr>
      <w:tr>
        <w:trPr/>
        <w:tc>
          <w:tcPr>
            <w:tcW w:w="496"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spacing w:lineRule="auto" w:line="276"/>
              <w:rPr>
                <w:sz w:val="22"/>
                <w:szCs w:val="22"/>
              </w:rPr>
            </w:pPr>
            <w:r>
              <w:rPr>
                <w:rFonts w:eastAsia="Calibri"/>
                <w:bCs/>
                <w:sz w:val="22"/>
                <w:szCs w:val="22"/>
              </w:rPr>
              <w:t>Обозначение конуса</w:t>
            </w:r>
          </w:p>
        </w:tc>
        <w:tc>
          <w:tcPr>
            <w:tcW w:w="186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29/32</w:t>
            </w:r>
          </w:p>
        </w:tc>
        <w:tc>
          <w:tcPr>
            <w:tcW w:w="1936" w:type="dxa"/>
            <w:tcBorders>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5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6"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spacing w:lineRule="auto" w:line="276"/>
              <w:rPr>
                <w:sz w:val="22"/>
                <w:szCs w:val="22"/>
              </w:rPr>
            </w:pPr>
            <w:r>
              <w:rPr>
                <w:rFonts w:eastAsia="Calibri"/>
                <w:bCs/>
                <w:sz w:val="22"/>
                <w:szCs w:val="22"/>
              </w:rPr>
              <w:t>Стойкость стекла</w:t>
            </w:r>
          </w:p>
        </w:tc>
        <w:tc>
          <w:tcPr>
            <w:tcW w:w="1860" w:type="dxa"/>
            <w:tcBorders>
              <w:left w:val="single" w:sz="4" w:space="0" w:color="00000A"/>
              <w:bottom w:val="single" w:sz="4" w:space="0" w:color="00000A"/>
              <w:right w:val="single" w:sz="4" w:space="0" w:color="00000A"/>
            </w:tcBorders>
          </w:tcPr>
          <w:p>
            <w:pPr>
              <w:pStyle w:val="Normal"/>
              <w:widowControl w:val="false"/>
              <w:jc w:val="center"/>
              <w:rPr>
                <w:rFonts w:ascii="Times New Roman" w:hAnsi="Times New Roman" w:eastAsia="Times New Roman" w:cs="Times New Roman"/>
                <w:sz w:val="22"/>
                <w:szCs w:val="22"/>
              </w:rPr>
            </w:pPr>
            <w:r>
              <w:rPr>
                <w:rFonts w:eastAsia="Times New Roman" w:cs="Times New Roman"/>
                <w:sz w:val="22"/>
                <w:szCs w:val="22"/>
              </w:rPr>
              <w:t>Термически и химически стойкое стекло (ТХС)</w:t>
            </w:r>
          </w:p>
        </w:tc>
        <w:tc>
          <w:tcPr>
            <w:tcW w:w="1936"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5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6" w:type="dxa"/>
            <w:vMerge w:val="continue"/>
            <w:tcBorders>
              <w:top w:val="single" w:sz="4" w:space="0" w:color="00000A"/>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rPr>
                <w:sz w:val="22"/>
                <w:szCs w:val="22"/>
              </w:rPr>
            </w:pPr>
            <w:r>
              <w:rPr>
                <w:rFonts w:eastAsia="Calibri"/>
                <w:bCs/>
                <w:sz w:val="22"/>
                <w:szCs w:val="22"/>
              </w:rPr>
              <w:t xml:space="preserve">Исполнение </w:t>
            </w:r>
          </w:p>
        </w:tc>
        <w:tc>
          <w:tcPr>
            <w:tcW w:w="186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rFonts w:eastAsia="Calibri"/>
                <w:color w:val="000000"/>
                <w:sz w:val="22"/>
                <w:szCs w:val="22"/>
              </w:rPr>
            </w:pPr>
            <w:r>
              <w:rPr>
                <w:rFonts w:eastAsia="Calibri"/>
                <w:color w:val="000000"/>
                <w:sz w:val="22"/>
                <w:szCs w:val="22"/>
              </w:rPr>
              <w:t>1 (с взаимозаменяемыми конусами)</w:t>
            </w:r>
          </w:p>
        </w:tc>
        <w:tc>
          <w:tcPr>
            <w:tcW w:w="1936" w:type="dxa"/>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160" w:type="dxa"/>
            <w:vMerge w:val="continue"/>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top w:val="single" w:sz="4" w:space="0" w:color="00000A"/>
              <w:left w:val="single" w:sz="4" w:space="0" w:color="00000A"/>
              <w:bottom w:val="single" w:sz="4" w:space="0" w:color="00000A"/>
            </w:tcBorders>
          </w:tcPr>
          <w:p>
            <w:pPr>
              <w:pStyle w:val="Normal"/>
              <w:widowControl w:val="false"/>
              <w:rPr>
                <w:sz w:val="22"/>
                <w:szCs w:val="22"/>
              </w:rPr>
            </w:pPr>
            <w:r>
              <w:rPr>
                <w:sz w:val="22"/>
                <w:szCs w:val="22"/>
              </w:rPr>
            </w:r>
          </w:p>
        </w:tc>
        <w:tc>
          <w:tcPr>
            <w:tcW w:w="1858" w:type="dxa"/>
            <w:vMerge w:val="continue"/>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6" w:type="dxa"/>
            <w:vMerge w:val="restart"/>
            <w:tcBorders>
              <w:top w:val="single" w:sz="4" w:space="0" w:color="00000A"/>
              <w:left w:val="single" w:sz="4" w:space="0" w:color="00000A"/>
              <w:bottom w:val="single" w:sz="4" w:space="0" w:color="00000A"/>
            </w:tcBorders>
          </w:tcPr>
          <w:p>
            <w:pPr>
              <w:pStyle w:val="Style22"/>
              <w:widowControl w:val="false"/>
              <w:jc w:val="left"/>
              <w:rPr>
                <w:color w:val="00000A"/>
                <w:sz w:val="22"/>
                <w:szCs w:val="22"/>
              </w:rPr>
            </w:pPr>
            <w:r>
              <w:rPr>
                <w:color w:val="00000A"/>
                <w:sz w:val="22"/>
                <w:szCs w:val="22"/>
              </w:rPr>
              <w:t>4</w:t>
            </w:r>
          </w:p>
        </w:tc>
        <w:tc>
          <w:tcPr>
            <w:tcW w:w="2968" w:type="dxa"/>
            <w:vMerge w:val="restart"/>
            <w:tcBorders>
              <w:top w:val="single" w:sz="4" w:space="0" w:color="00000A"/>
              <w:left w:val="single" w:sz="4" w:space="0" w:color="00000A"/>
              <w:bottom w:val="single" w:sz="4" w:space="0" w:color="00000A"/>
              <w:right w:val="single" w:sz="4" w:space="0" w:color="00000A"/>
            </w:tcBorders>
          </w:tcPr>
          <w:p>
            <w:pPr>
              <w:pStyle w:val="Style22"/>
              <w:widowControl w:val="false"/>
              <w:jc w:val="left"/>
              <w:rPr>
                <w:sz w:val="22"/>
                <w:szCs w:val="22"/>
              </w:rPr>
            </w:pPr>
            <w:r>
              <w:rPr>
                <w:sz w:val="22"/>
                <w:szCs w:val="22"/>
              </w:rPr>
              <w:t xml:space="preserve">Кювета для КФК </w:t>
            </w:r>
          </w:p>
        </w:tc>
        <w:tc>
          <w:tcPr>
            <w:tcW w:w="2325"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rPr>
                <w:sz w:val="22"/>
                <w:szCs w:val="22"/>
              </w:rPr>
            </w:pPr>
            <w:r>
              <w:rPr>
                <w:rFonts w:eastAsia="Calibri"/>
                <w:bCs/>
                <w:sz w:val="22"/>
                <w:szCs w:val="22"/>
              </w:rPr>
              <w:t>Длина оптического пути</w:t>
            </w:r>
          </w:p>
        </w:tc>
        <w:tc>
          <w:tcPr>
            <w:tcW w:w="186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rFonts w:eastAsia="Calibri"/>
                <w:color w:val="000000"/>
                <w:sz w:val="22"/>
                <w:szCs w:val="22"/>
              </w:rPr>
              <w:t>10</w:t>
            </w:r>
          </w:p>
        </w:tc>
        <w:tc>
          <w:tcPr>
            <w:tcW w:w="1936" w:type="dxa"/>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t>Миллиметр (мм)</w:t>
            </w:r>
          </w:p>
        </w:tc>
        <w:tc>
          <w:tcPr>
            <w:tcW w:w="216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bCs/>
                <w:sz w:val="22"/>
                <w:szCs w:val="22"/>
              </w:rPr>
              <w:t>Значение характеристик не может изменяться участником закупки</w:t>
            </w:r>
          </w:p>
        </w:tc>
        <w:tc>
          <w:tcPr>
            <w:tcW w:w="1530" w:type="dxa"/>
            <w:vMerge w:val="restart"/>
            <w:tcBorders>
              <w:top w:val="single" w:sz="4" w:space="0" w:color="00000A"/>
              <w:left w:val="single" w:sz="4" w:space="0" w:color="00000A"/>
              <w:bottom w:val="single" w:sz="4" w:space="0" w:color="00000A"/>
              <w:right w:val="single" w:sz="4" w:space="0" w:color="00000A"/>
            </w:tcBorders>
          </w:tcPr>
          <w:p>
            <w:pPr>
              <w:pStyle w:val="Style22"/>
              <w:widowControl w:val="false"/>
              <w:jc w:val="center"/>
              <w:rPr>
                <w:sz w:val="22"/>
                <w:szCs w:val="22"/>
              </w:rPr>
            </w:pPr>
            <w:r>
              <w:rPr>
                <w:color w:val="000000"/>
                <w:sz w:val="22"/>
                <w:szCs w:val="22"/>
              </w:rPr>
              <w:t>10</w:t>
            </w:r>
          </w:p>
        </w:tc>
        <w:tc>
          <w:tcPr>
            <w:tcW w:w="735" w:type="dxa"/>
            <w:vMerge w:val="restart"/>
            <w:tcBorders>
              <w:top w:val="single" w:sz="4" w:space="0" w:color="00000A"/>
              <w:left w:val="single" w:sz="4" w:space="0" w:color="00000A"/>
              <w:bottom w:val="single" w:sz="4" w:space="0" w:color="00000A"/>
            </w:tcBorders>
          </w:tcPr>
          <w:p>
            <w:pPr>
              <w:pStyle w:val="Normal"/>
              <w:widowControl w:val="false"/>
              <w:spacing w:lineRule="auto" w:line="276"/>
              <w:jc w:val="center"/>
              <w:rPr>
                <w:sz w:val="22"/>
                <w:szCs w:val="22"/>
              </w:rPr>
            </w:pPr>
            <w:r>
              <w:rPr>
                <w:bCs/>
                <w:sz w:val="22"/>
                <w:szCs w:val="22"/>
              </w:rPr>
              <w:t>шт.</w:t>
            </w:r>
          </w:p>
        </w:tc>
        <w:tc>
          <w:tcPr>
            <w:tcW w:w="185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t>Указывается в составе заявки</w:t>
            </w:r>
          </w:p>
        </w:tc>
      </w:tr>
      <w:tr>
        <w:trPr/>
        <w:tc>
          <w:tcPr>
            <w:tcW w:w="496"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Габаритные размеры: длина</w:t>
            </w:r>
          </w:p>
        </w:tc>
        <w:tc>
          <w:tcPr>
            <w:tcW w:w="1860" w:type="dxa"/>
            <w:tcBorders>
              <w:left w:val="single" w:sz="4" w:space="0" w:color="00000A"/>
              <w:bottom w:val="single" w:sz="4" w:space="0" w:color="00000A"/>
              <w:right w:val="single" w:sz="4" w:space="0" w:color="00000A"/>
            </w:tcBorders>
          </w:tcPr>
          <w:p>
            <w:pPr>
              <w:pStyle w:val="Normal"/>
              <w:widowControl w:val="false"/>
              <w:jc w:val="center"/>
              <w:rPr>
                <w:rFonts w:ascii="Times New Roman" w:hAnsi="Times New Roman" w:eastAsia="Times New Roman" w:cs="Times New Roman"/>
                <w:sz w:val="22"/>
                <w:szCs w:val="22"/>
              </w:rPr>
            </w:pPr>
            <w:r>
              <w:rPr>
                <w:rFonts w:eastAsia="Times New Roman" w:cs="Times New Roman"/>
                <w:sz w:val="22"/>
                <w:szCs w:val="22"/>
              </w:rPr>
              <w:t xml:space="preserve"> </w:t>
            </w:r>
            <w:r>
              <w:rPr>
                <w:rFonts w:eastAsia="Times New Roman" w:cs="Times New Roman"/>
                <w:sz w:val="22"/>
                <w:szCs w:val="22"/>
              </w:rPr>
              <w:t>&gt;</w:t>
            </w:r>
            <w:r>
              <w:rPr>
                <w:rFonts w:eastAsia="Times New Roman" w:cs="Times New Roman"/>
                <w:sz w:val="22"/>
                <w:szCs w:val="22"/>
              </w:rPr>
              <w:t>1</w:t>
            </w:r>
            <w:r>
              <w:rPr>
                <w:rFonts w:eastAsia="Times New Roman" w:cs="Times New Roman"/>
                <w:sz w:val="22"/>
                <w:szCs w:val="22"/>
              </w:rPr>
              <w:t>3 и &lt;</w:t>
            </w:r>
            <w:r>
              <w:rPr>
                <w:rFonts w:eastAsia="Times New Roman" w:cs="Times New Roman"/>
                <w:sz w:val="22"/>
                <w:szCs w:val="22"/>
              </w:rPr>
              <w:t>1</w:t>
            </w:r>
            <w:r>
              <w:rPr>
                <w:rFonts w:eastAsia="Times New Roman" w:cs="Times New Roman"/>
                <w:sz w:val="22"/>
                <w:szCs w:val="22"/>
              </w:rPr>
              <w:t>5</w:t>
            </w:r>
          </w:p>
        </w:tc>
        <w:tc>
          <w:tcPr>
            <w:tcW w:w="1936"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Миллиметр (мм)</w:t>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5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6"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Габаритные размеры: ширина</w:t>
            </w:r>
          </w:p>
        </w:tc>
        <w:tc>
          <w:tcPr>
            <w:tcW w:w="1860" w:type="dxa"/>
            <w:tcBorders>
              <w:left w:val="single" w:sz="4" w:space="0" w:color="00000A"/>
              <w:bottom w:val="single" w:sz="4" w:space="0" w:color="00000A"/>
              <w:right w:val="single" w:sz="4" w:space="0" w:color="00000A"/>
            </w:tcBorders>
          </w:tcPr>
          <w:p>
            <w:pPr>
              <w:pStyle w:val="Normal"/>
              <w:widowControl w:val="false"/>
              <w:jc w:val="center"/>
              <w:rPr>
                <w:rFonts w:ascii="Times New Roman" w:hAnsi="Times New Roman" w:eastAsia="Times New Roman" w:cs="Times New Roman"/>
                <w:sz w:val="22"/>
                <w:szCs w:val="22"/>
              </w:rPr>
            </w:pPr>
            <w:r>
              <w:rPr>
                <w:rFonts w:eastAsia="Times New Roman" w:cs="Times New Roman"/>
                <w:sz w:val="22"/>
                <w:szCs w:val="22"/>
              </w:rPr>
              <w:t xml:space="preserve"> </w:t>
            </w:r>
            <w:r>
              <w:rPr>
                <w:rFonts w:eastAsia="Times New Roman" w:cs="Times New Roman"/>
                <w:sz w:val="22"/>
                <w:szCs w:val="22"/>
              </w:rPr>
              <w:t>&gt;</w:t>
            </w:r>
            <w:r>
              <w:rPr>
                <w:rFonts w:eastAsia="Times New Roman" w:cs="Times New Roman"/>
                <w:sz w:val="22"/>
                <w:szCs w:val="22"/>
              </w:rPr>
              <w:t>2</w:t>
            </w:r>
            <w:r>
              <w:rPr>
                <w:rFonts w:eastAsia="Times New Roman" w:cs="Times New Roman"/>
                <w:sz w:val="22"/>
                <w:szCs w:val="22"/>
              </w:rPr>
              <w:t>3 и &lt;</w:t>
            </w:r>
            <w:r>
              <w:rPr>
                <w:rFonts w:eastAsia="Times New Roman" w:cs="Times New Roman"/>
                <w:sz w:val="22"/>
                <w:szCs w:val="22"/>
              </w:rPr>
              <w:t>2</w:t>
            </w:r>
            <w:r>
              <w:rPr>
                <w:rFonts w:eastAsia="Times New Roman" w:cs="Times New Roman"/>
                <w:sz w:val="22"/>
                <w:szCs w:val="22"/>
              </w:rPr>
              <w:t>5</w:t>
            </w:r>
          </w:p>
        </w:tc>
        <w:tc>
          <w:tcPr>
            <w:tcW w:w="1936"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Миллиметр (мм)</w:t>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5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6"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Габаритные размеры: высота</w:t>
            </w:r>
          </w:p>
        </w:tc>
        <w:tc>
          <w:tcPr>
            <w:tcW w:w="1860" w:type="dxa"/>
            <w:tcBorders>
              <w:left w:val="single" w:sz="4" w:space="0" w:color="00000A"/>
              <w:bottom w:val="single" w:sz="4" w:space="0" w:color="00000A"/>
              <w:right w:val="single" w:sz="4" w:space="0" w:color="00000A"/>
            </w:tcBorders>
          </w:tcPr>
          <w:p>
            <w:pPr>
              <w:pStyle w:val="Normal"/>
              <w:widowControl w:val="false"/>
              <w:jc w:val="center"/>
              <w:rPr>
                <w:rFonts w:ascii="Times New Roman" w:hAnsi="Times New Roman" w:eastAsia="Times New Roman" w:cs="Times New Roman"/>
                <w:sz w:val="22"/>
                <w:szCs w:val="22"/>
              </w:rPr>
            </w:pPr>
            <w:r>
              <w:rPr>
                <w:rFonts w:eastAsia="Times New Roman" w:cs="Times New Roman"/>
                <w:sz w:val="22"/>
                <w:szCs w:val="22"/>
              </w:rPr>
              <w:t xml:space="preserve"> </w:t>
            </w:r>
            <w:r>
              <w:rPr>
                <w:rFonts w:eastAsia="Times New Roman" w:cs="Times New Roman"/>
                <w:sz w:val="22"/>
                <w:szCs w:val="22"/>
              </w:rPr>
              <w:t>&gt;</w:t>
            </w:r>
            <w:r>
              <w:rPr>
                <w:rFonts w:eastAsia="Times New Roman" w:cs="Times New Roman"/>
                <w:sz w:val="22"/>
                <w:szCs w:val="22"/>
              </w:rPr>
              <w:t>37</w:t>
            </w:r>
            <w:r>
              <w:rPr>
                <w:rFonts w:eastAsia="Times New Roman" w:cs="Times New Roman"/>
                <w:sz w:val="22"/>
                <w:szCs w:val="22"/>
              </w:rPr>
              <w:t xml:space="preserve"> и &lt;</w:t>
            </w:r>
            <w:r>
              <w:rPr>
                <w:rFonts w:eastAsia="Times New Roman" w:cs="Times New Roman"/>
                <w:sz w:val="22"/>
                <w:szCs w:val="22"/>
              </w:rPr>
              <w:t>41</w:t>
            </w:r>
          </w:p>
        </w:tc>
        <w:tc>
          <w:tcPr>
            <w:tcW w:w="1936"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Миллиметр (мм)</w:t>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5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6"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6121" w:type="dxa"/>
            <w:gridSpan w:val="3"/>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изготовлены из оптического стекла марки К–8 по технологии УФ–склеивания.</w:t>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5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6"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6121" w:type="dxa"/>
            <w:gridSpan w:val="3"/>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Химически устойчивы к действию кислот (кроме плавиковой кислоты) и разбавленных щелочей</w:t>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5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6" w:type="dxa"/>
            <w:vMerge w:val="restart"/>
            <w:tcBorders>
              <w:left w:val="single" w:sz="4" w:space="0" w:color="00000A"/>
              <w:bottom w:val="single" w:sz="4" w:space="0" w:color="00000A"/>
            </w:tcBorders>
          </w:tcPr>
          <w:p>
            <w:pPr>
              <w:pStyle w:val="Normal"/>
              <w:widowControl w:val="false"/>
              <w:rPr>
                <w:sz w:val="22"/>
                <w:szCs w:val="22"/>
              </w:rPr>
            </w:pPr>
            <w:r>
              <w:rPr>
                <w:sz w:val="22"/>
                <w:szCs w:val="22"/>
              </w:rPr>
              <w:t>5</w:t>
            </w:r>
          </w:p>
        </w:tc>
        <w:tc>
          <w:tcPr>
            <w:tcW w:w="2968" w:type="dxa"/>
            <w:vMerge w:val="restart"/>
            <w:tcBorders>
              <w:left w:val="single" w:sz="4" w:space="0" w:color="00000A"/>
              <w:bottom w:val="single" w:sz="4" w:space="0" w:color="00000A"/>
              <w:right w:val="single" w:sz="4" w:space="0" w:color="00000A"/>
            </w:tcBorders>
          </w:tcPr>
          <w:p>
            <w:pPr>
              <w:pStyle w:val="Style22"/>
              <w:widowControl w:val="false"/>
              <w:jc w:val="left"/>
              <w:rPr>
                <w:sz w:val="22"/>
                <w:szCs w:val="22"/>
              </w:rPr>
            </w:pPr>
            <w:r>
              <w:rPr>
                <w:sz w:val="22"/>
                <w:szCs w:val="22"/>
              </w:rPr>
              <w:t xml:space="preserve">Кювета для КФК </w:t>
            </w:r>
          </w:p>
        </w:tc>
        <w:tc>
          <w:tcPr>
            <w:tcW w:w="2325" w:type="dxa"/>
            <w:tcBorders>
              <w:left w:val="single" w:sz="4" w:space="0" w:color="00000A"/>
              <w:bottom w:val="single" w:sz="4" w:space="0" w:color="00000A"/>
            </w:tcBorders>
          </w:tcPr>
          <w:p>
            <w:pPr>
              <w:pStyle w:val="Normal"/>
              <w:widowControl w:val="false"/>
              <w:ind w:left="0" w:right="0" w:hanging="0"/>
              <w:rPr>
                <w:sz w:val="22"/>
                <w:szCs w:val="22"/>
              </w:rPr>
            </w:pPr>
            <w:r>
              <w:rPr>
                <w:rFonts w:eastAsia="Calibri"/>
                <w:bCs/>
                <w:sz w:val="22"/>
                <w:szCs w:val="22"/>
              </w:rPr>
              <w:t>Длина оптического пути</w:t>
            </w:r>
          </w:p>
        </w:tc>
        <w:tc>
          <w:tcPr>
            <w:tcW w:w="1860" w:type="dxa"/>
            <w:tcBorders>
              <w:left w:val="single" w:sz="4" w:space="0" w:color="00000A"/>
              <w:bottom w:val="single" w:sz="4" w:space="0" w:color="00000A"/>
            </w:tcBorders>
          </w:tcPr>
          <w:p>
            <w:pPr>
              <w:pStyle w:val="Normal"/>
              <w:widowControl w:val="false"/>
              <w:jc w:val="center"/>
              <w:rPr>
                <w:sz w:val="22"/>
                <w:szCs w:val="22"/>
              </w:rPr>
            </w:pPr>
            <w:r>
              <w:rPr>
                <w:rFonts w:eastAsia="Calibri"/>
                <w:color w:val="000000"/>
                <w:sz w:val="22"/>
                <w:szCs w:val="22"/>
              </w:rPr>
              <w:t>20</w:t>
            </w:r>
          </w:p>
        </w:tc>
        <w:tc>
          <w:tcPr>
            <w:tcW w:w="1936"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Миллиметр (мм)</w:t>
            </w:r>
          </w:p>
        </w:tc>
        <w:tc>
          <w:tcPr>
            <w:tcW w:w="2160" w:type="dxa"/>
            <w:vMerge w:val="restart"/>
            <w:tcBorders>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rFonts w:eastAsia="Calibri"/>
                <w:bCs/>
                <w:color w:val="000000"/>
                <w:sz w:val="22"/>
                <w:szCs w:val="22"/>
              </w:rPr>
              <w:t>Значение характеристик не может изменяться участником закупки</w:t>
            </w:r>
          </w:p>
        </w:tc>
        <w:tc>
          <w:tcPr>
            <w:tcW w:w="1530" w:type="dxa"/>
            <w:vMerge w:val="restart"/>
            <w:tcBorders>
              <w:left w:val="single" w:sz="4" w:space="0" w:color="00000A"/>
              <w:bottom w:val="single" w:sz="4" w:space="0" w:color="00000A"/>
              <w:right w:val="single" w:sz="4" w:space="0" w:color="00000A"/>
            </w:tcBorders>
          </w:tcPr>
          <w:p>
            <w:pPr>
              <w:pStyle w:val="Style22"/>
              <w:widowControl w:val="false"/>
              <w:jc w:val="center"/>
              <w:rPr>
                <w:sz w:val="22"/>
                <w:szCs w:val="22"/>
              </w:rPr>
            </w:pPr>
            <w:r>
              <w:rPr>
                <w:color w:val="000000"/>
                <w:sz w:val="22"/>
                <w:szCs w:val="22"/>
              </w:rPr>
              <w:t>14</w:t>
            </w:r>
          </w:p>
        </w:tc>
        <w:tc>
          <w:tcPr>
            <w:tcW w:w="735" w:type="dxa"/>
            <w:vMerge w:val="restart"/>
            <w:tcBorders>
              <w:left w:val="single" w:sz="4" w:space="0" w:color="00000A"/>
              <w:bottom w:val="single" w:sz="4" w:space="0" w:color="00000A"/>
            </w:tcBorders>
          </w:tcPr>
          <w:p>
            <w:pPr>
              <w:pStyle w:val="Normal"/>
              <w:widowControl w:val="false"/>
              <w:spacing w:lineRule="auto" w:line="276"/>
              <w:jc w:val="center"/>
              <w:rPr>
                <w:sz w:val="22"/>
                <w:szCs w:val="22"/>
              </w:rPr>
            </w:pPr>
            <w:r>
              <w:rPr>
                <w:bCs/>
                <w:sz w:val="22"/>
                <w:szCs w:val="22"/>
              </w:rPr>
              <w:t>шт.</w:t>
            </w:r>
          </w:p>
        </w:tc>
        <w:tc>
          <w:tcPr>
            <w:tcW w:w="1858" w:type="dxa"/>
            <w:vMerge w:val="restart"/>
            <w:tcBorders>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color w:val="000000"/>
                <w:sz w:val="22"/>
                <w:szCs w:val="22"/>
              </w:rPr>
              <w:t>Указывается в составе заявки</w:t>
            </w:r>
          </w:p>
        </w:tc>
      </w:tr>
      <w:tr>
        <w:trPr/>
        <w:tc>
          <w:tcPr>
            <w:tcW w:w="496"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tcBorders>
          </w:tcPr>
          <w:p>
            <w:pPr>
              <w:pStyle w:val="Normal"/>
              <w:widowControl w:val="false"/>
              <w:ind w:left="0" w:right="0" w:hanging="0"/>
              <w:rPr>
                <w:rFonts w:eastAsia="Calibri"/>
                <w:bCs/>
                <w:sz w:val="22"/>
                <w:szCs w:val="22"/>
              </w:rPr>
            </w:pPr>
            <w:r>
              <w:rPr>
                <w:rFonts w:eastAsia="Calibri"/>
                <w:bCs/>
                <w:sz w:val="22"/>
                <w:szCs w:val="22"/>
              </w:rPr>
              <w:t>Габаритные размеры: длина</w:t>
            </w:r>
          </w:p>
        </w:tc>
        <w:tc>
          <w:tcPr>
            <w:tcW w:w="1860" w:type="dxa"/>
            <w:tcBorders>
              <w:left w:val="single" w:sz="4" w:space="0" w:color="00000A"/>
              <w:bottom w:val="single" w:sz="4" w:space="0" w:color="00000A"/>
            </w:tcBorders>
          </w:tcPr>
          <w:p>
            <w:pPr>
              <w:pStyle w:val="Normal"/>
              <w:widowControl w:val="false"/>
              <w:jc w:val="center"/>
              <w:rPr>
                <w:rFonts w:ascii="Times New Roman" w:hAnsi="Times New Roman" w:eastAsia="Times New Roman" w:cs="Times New Roman"/>
                <w:sz w:val="22"/>
                <w:szCs w:val="22"/>
              </w:rPr>
            </w:pPr>
            <w:r>
              <w:rPr>
                <w:rFonts w:eastAsia="Times New Roman" w:cs="Times New Roman"/>
                <w:sz w:val="22"/>
                <w:szCs w:val="22"/>
              </w:rPr>
              <w:t xml:space="preserve"> </w:t>
            </w:r>
            <w:r>
              <w:rPr>
                <w:rFonts w:eastAsia="Times New Roman" w:cs="Times New Roman"/>
                <w:sz w:val="22"/>
                <w:szCs w:val="22"/>
              </w:rPr>
              <w:t>&gt;23 и &lt;25</w:t>
            </w:r>
          </w:p>
        </w:tc>
        <w:tc>
          <w:tcPr>
            <w:tcW w:w="1936"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Миллиметр (мм)</w:t>
            </w:r>
          </w:p>
        </w:tc>
        <w:tc>
          <w:tcPr>
            <w:tcW w:w="2160" w:type="dxa"/>
            <w:vMerge w:val="continue"/>
            <w:tcBorders>
              <w:left w:val="single" w:sz="4" w:space="0" w:color="00000A"/>
              <w:bottom w:val="single" w:sz="4" w:space="0" w:color="00000A"/>
              <w:right w:val="single" w:sz="4" w:space="0" w:color="00000A"/>
            </w:tcBorders>
          </w:tcPr>
          <w:p>
            <w:pPr>
              <w:pStyle w:val="Normal"/>
              <w:widowControl w:val="false"/>
              <w:jc w:val="center"/>
              <w:rPr>
                <w:rFonts w:ascii="Times New Roman" w:hAnsi="Times New Roman" w:eastAsia="Times New Roman" w:cs="Times New Roman"/>
                <w:sz w:val="22"/>
                <w:szCs w:val="22"/>
              </w:rPr>
            </w:pPr>
            <w:r>
              <w:rPr>
                <w:rFonts w:eastAsia="Times New Roman" w:cs="Times New Roman"/>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5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6"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tcBorders>
          </w:tcPr>
          <w:p>
            <w:pPr>
              <w:pStyle w:val="Normal"/>
              <w:widowControl w:val="false"/>
              <w:ind w:left="0" w:right="0" w:hanging="0"/>
              <w:rPr>
                <w:rFonts w:eastAsia="Calibri"/>
                <w:bCs/>
                <w:sz w:val="22"/>
                <w:szCs w:val="22"/>
              </w:rPr>
            </w:pPr>
            <w:r>
              <w:rPr>
                <w:rFonts w:eastAsia="Calibri"/>
                <w:bCs/>
                <w:sz w:val="22"/>
                <w:szCs w:val="22"/>
              </w:rPr>
              <w:t>Габаритные размеры: ширина</w:t>
            </w:r>
          </w:p>
        </w:tc>
        <w:tc>
          <w:tcPr>
            <w:tcW w:w="1860" w:type="dxa"/>
            <w:tcBorders>
              <w:left w:val="single" w:sz="4" w:space="0" w:color="00000A"/>
              <w:bottom w:val="single" w:sz="4" w:space="0" w:color="00000A"/>
            </w:tcBorders>
          </w:tcPr>
          <w:p>
            <w:pPr>
              <w:pStyle w:val="Normal"/>
              <w:widowControl w:val="false"/>
              <w:jc w:val="center"/>
              <w:rPr>
                <w:rFonts w:ascii="Times New Roman" w:hAnsi="Times New Roman" w:eastAsia="Times New Roman" w:cs="Times New Roman"/>
                <w:sz w:val="22"/>
                <w:szCs w:val="22"/>
              </w:rPr>
            </w:pPr>
            <w:r>
              <w:rPr>
                <w:rFonts w:eastAsia="Times New Roman" w:cs="Times New Roman"/>
                <w:sz w:val="22"/>
                <w:szCs w:val="22"/>
              </w:rPr>
              <w:t xml:space="preserve"> </w:t>
            </w:r>
            <w:r>
              <w:rPr>
                <w:rFonts w:eastAsia="Times New Roman" w:cs="Times New Roman"/>
                <w:sz w:val="22"/>
                <w:szCs w:val="22"/>
              </w:rPr>
              <w:t>&gt;23 и &lt;25</w:t>
            </w:r>
          </w:p>
        </w:tc>
        <w:tc>
          <w:tcPr>
            <w:tcW w:w="1936"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Миллиметр (мм)</w:t>
            </w:r>
          </w:p>
        </w:tc>
        <w:tc>
          <w:tcPr>
            <w:tcW w:w="2160" w:type="dxa"/>
            <w:vMerge w:val="continue"/>
            <w:tcBorders>
              <w:left w:val="single" w:sz="4" w:space="0" w:color="00000A"/>
              <w:bottom w:val="single" w:sz="4" w:space="0" w:color="00000A"/>
              <w:right w:val="single" w:sz="4" w:space="0" w:color="00000A"/>
            </w:tcBorders>
          </w:tcPr>
          <w:p>
            <w:pPr>
              <w:pStyle w:val="Normal"/>
              <w:widowControl w:val="false"/>
              <w:jc w:val="center"/>
              <w:rPr>
                <w:rFonts w:ascii="Times New Roman" w:hAnsi="Times New Roman" w:eastAsia="Times New Roman" w:cs="Times New Roman"/>
                <w:sz w:val="22"/>
                <w:szCs w:val="22"/>
              </w:rPr>
            </w:pPr>
            <w:r>
              <w:rPr>
                <w:rFonts w:eastAsia="Times New Roman" w:cs="Times New Roman"/>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5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6"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tcBorders>
          </w:tcPr>
          <w:p>
            <w:pPr>
              <w:pStyle w:val="Normal"/>
              <w:widowControl w:val="false"/>
              <w:ind w:left="0" w:right="0" w:hanging="0"/>
              <w:rPr>
                <w:rFonts w:eastAsia="Calibri"/>
                <w:bCs/>
                <w:sz w:val="22"/>
                <w:szCs w:val="22"/>
              </w:rPr>
            </w:pPr>
            <w:r>
              <w:rPr>
                <w:rFonts w:eastAsia="Calibri"/>
                <w:bCs/>
                <w:sz w:val="22"/>
                <w:szCs w:val="22"/>
              </w:rPr>
              <w:t>Габаритные размеры: высота</w:t>
            </w:r>
          </w:p>
        </w:tc>
        <w:tc>
          <w:tcPr>
            <w:tcW w:w="1860" w:type="dxa"/>
            <w:tcBorders>
              <w:left w:val="single" w:sz="4" w:space="0" w:color="00000A"/>
              <w:bottom w:val="single" w:sz="4" w:space="0" w:color="00000A"/>
            </w:tcBorders>
          </w:tcPr>
          <w:p>
            <w:pPr>
              <w:pStyle w:val="Normal"/>
              <w:widowControl w:val="false"/>
              <w:jc w:val="center"/>
              <w:rPr>
                <w:rFonts w:ascii="Times New Roman" w:hAnsi="Times New Roman" w:eastAsia="Times New Roman" w:cs="Times New Roman"/>
                <w:sz w:val="22"/>
                <w:szCs w:val="22"/>
              </w:rPr>
            </w:pPr>
            <w:r>
              <w:rPr>
                <w:rFonts w:eastAsia="Times New Roman" w:cs="Times New Roman"/>
                <w:sz w:val="22"/>
                <w:szCs w:val="22"/>
              </w:rPr>
              <w:t xml:space="preserve"> </w:t>
            </w:r>
            <w:r>
              <w:rPr>
                <w:rFonts w:eastAsia="Times New Roman" w:cs="Times New Roman"/>
                <w:sz w:val="22"/>
                <w:szCs w:val="22"/>
              </w:rPr>
              <w:t>&gt;3</w:t>
            </w:r>
            <w:r>
              <w:rPr>
                <w:rFonts w:eastAsia="Times New Roman" w:cs="Times New Roman"/>
                <w:sz w:val="22"/>
                <w:szCs w:val="22"/>
              </w:rPr>
              <w:t>7</w:t>
            </w:r>
            <w:r>
              <w:rPr>
                <w:rFonts w:eastAsia="Times New Roman" w:cs="Times New Roman"/>
                <w:sz w:val="22"/>
                <w:szCs w:val="22"/>
              </w:rPr>
              <w:t xml:space="preserve"> и &lt;</w:t>
            </w:r>
            <w:r>
              <w:rPr>
                <w:rFonts w:eastAsia="Times New Roman" w:cs="Times New Roman"/>
                <w:sz w:val="22"/>
                <w:szCs w:val="22"/>
              </w:rPr>
              <w:t>41</w:t>
            </w:r>
          </w:p>
        </w:tc>
        <w:tc>
          <w:tcPr>
            <w:tcW w:w="1936"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Миллиметр (мм)</w:t>
            </w:r>
          </w:p>
        </w:tc>
        <w:tc>
          <w:tcPr>
            <w:tcW w:w="2160" w:type="dxa"/>
            <w:vMerge w:val="continue"/>
            <w:tcBorders>
              <w:left w:val="single" w:sz="4" w:space="0" w:color="00000A"/>
              <w:bottom w:val="single" w:sz="4" w:space="0" w:color="00000A"/>
              <w:right w:val="single" w:sz="4" w:space="0" w:color="00000A"/>
            </w:tcBorders>
          </w:tcPr>
          <w:p>
            <w:pPr>
              <w:pStyle w:val="Normal"/>
              <w:widowControl w:val="false"/>
              <w:jc w:val="center"/>
              <w:rPr>
                <w:rFonts w:ascii="Times New Roman" w:hAnsi="Times New Roman" w:eastAsia="Times New Roman" w:cs="Times New Roman"/>
                <w:sz w:val="22"/>
                <w:szCs w:val="22"/>
              </w:rPr>
            </w:pPr>
            <w:r>
              <w:rPr>
                <w:rFonts w:eastAsia="Times New Roman" w:cs="Times New Roman"/>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5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6"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6121" w:type="dxa"/>
            <w:gridSpan w:val="3"/>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изготовлены из оптического стекла марки К–8 по технологии УФ–склеивания.</w:t>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5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6"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6121" w:type="dxa"/>
            <w:gridSpan w:val="3"/>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Химически устойчивы к действию кислот (кроме плавиковой кислоты) и разбавленных щелочей</w:t>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5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6" w:type="dxa"/>
            <w:vMerge w:val="restart"/>
            <w:tcBorders>
              <w:top w:val="single" w:sz="4" w:space="0" w:color="00000A"/>
              <w:left w:val="single" w:sz="4" w:space="0" w:color="00000A"/>
              <w:bottom w:val="single" w:sz="4" w:space="0" w:color="00000A"/>
            </w:tcBorders>
          </w:tcPr>
          <w:p>
            <w:pPr>
              <w:pStyle w:val="Style22"/>
              <w:widowControl w:val="false"/>
              <w:jc w:val="left"/>
              <w:rPr>
                <w:color w:val="00000A"/>
                <w:sz w:val="22"/>
                <w:szCs w:val="22"/>
              </w:rPr>
            </w:pPr>
            <w:r>
              <w:rPr>
                <w:color w:val="00000A"/>
                <w:sz w:val="22"/>
                <w:szCs w:val="22"/>
              </w:rPr>
              <w:t>6</w:t>
            </w:r>
          </w:p>
        </w:tc>
        <w:tc>
          <w:tcPr>
            <w:tcW w:w="2968" w:type="dxa"/>
            <w:vMerge w:val="restart"/>
            <w:tcBorders>
              <w:top w:val="single" w:sz="4" w:space="0" w:color="00000A"/>
              <w:left w:val="single" w:sz="4" w:space="0" w:color="00000A"/>
              <w:bottom w:val="single" w:sz="4" w:space="0" w:color="00000A"/>
              <w:right w:val="single" w:sz="4" w:space="0" w:color="00000A"/>
            </w:tcBorders>
          </w:tcPr>
          <w:p>
            <w:pPr>
              <w:pStyle w:val="Style22"/>
              <w:widowControl w:val="false"/>
              <w:jc w:val="left"/>
              <w:rPr>
                <w:sz w:val="22"/>
                <w:szCs w:val="22"/>
              </w:rPr>
            </w:pPr>
            <w:r>
              <w:rPr>
                <w:color w:val="00000A"/>
                <w:sz w:val="22"/>
                <w:szCs w:val="22"/>
              </w:rPr>
              <w:t xml:space="preserve">Пипетка градуированная </w:t>
            </w:r>
          </w:p>
        </w:tc>
        <w:tc>
          <w:tcPr>
            <w:tcW w:w="2325"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rPr>
                <w:sz w:val="22"/>
                <w:szCs w:val="22"/>
              </w:rPr>
            </w:pPr>
            <w:r>
              <w:rPr>
                <w:rFonts w:eastAsia="Calibri"/>
                <w:bCs/>
                <w:sz w:val="22"/>
                <w:szCs w:val="22"/>
              </w:rPr>
              <w:t>Объем</w:t>
            </w:r>
          </w:p>
        </w:tc>
        <w:tc>
          <w:tcPr>
            <w:tcW w:w="1860" w:type="dxa"/>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rFonts w:eastAsia="Calibri"/>
                <w:color w:val="000000"/>
                <w:sz w:val="22"/>
                <w:szCs w:val="22"/>
              </w:rPr>
              <w:t>1</w:t>
            </w:r>
          </w:p>
        </w:tc>
        <w:tc>
          <w:tcPr>
            <w:tcW w:w="1936"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t>Миллилитр (мл)</w:t>
            </w:r>
          </w:p>
        </w:tc>
        <w:tc>
          <w:tcPr>
            <w:tcW w:w="216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bCs/>
                <w:sz w:val="22"/>
                <w:szCs w:val="22"/>
              </w:rPr>
              <w:t>Значение характеристик не может изменяться участником закупки</w:t>
            </w:r>
          </w:p>
        </w:tc>
        <w:tc>
          <w:tcPr>
            <w:tcW w:w="1530" w:type="dxa"/>
            <w:vMerge w:val="restart"/>
            <w:tcBorders>
              <w:top w:val="single" w:sz="4" w:space="0" w:color="00000A"/>
              <w:left w:val="single" w:sz="4" w:space="0" w:color="00000A"/>
              <w:bottom w:val="single" w:sz="4" w:space="0" w:color="00000A"/>
              <w:right w:val="single" w:sz="4" w:space="0" w:color="00000A"/>
            </w:tcBorders>
          </w:tcPr>
          <w:p>
            <w:pPr>
              <w:pStyle w:val="Style22"/>
              <w:widowControl w:val="false"/>
              <w:jc w:val="center"/>
              <w:rPr>
                <w:sz w:val="22"/>
                <w:szCs w:val="22"/>
              </w:rPr>
            </w:pPr>
            <w:r>
              <w:rPr>
                <w:b w:val="false"/>
                <w:bCs w:val="false"/>
                <w:color w:val="000000"/>
                <w:sz w:val="22"/>
                <w:szCs w:val="22"/>
              </w:rPr>
              <w:t>10</w:t>
            </w:r>
          </w:p>
        </w:tc>
        <w:tc>
          <w:tcPr>
            <w:tcW w:w="735" w:type="dxa"/>
            <w:vMerge w:val="restart"/>
            <w:tcBorders>
              <w:top w:val="single" w:sz="4" w:space="0" w:color="00000A"/>
              <w:left w:val="single" w:sz="4" w:space="0" w:color="00000A"/>
              <w:bottom w:val="single" w:sz="4" w:space="0" w:color="00000A"/>
            </w:tcBorders>
          </w:tcPr>
          <w:p>
            <w:pPr>
              <w:pStyle w:val="Normal"/>
              <w:widowControl w:val="false"/>
              <w:spacing w:lineRule="auto" w:line="276"/>
              <w:jc w:val="center"/>
              <w:rPr>
                <w:sz w:val="22"/>
                <w:szCs w:val="22"/>
              </w:rPr>
            </w:pPr>
            <w:r>
              <w:rPr>
                <w:bCs/>
                <w:sz w:val="22"/>
                <w:szCs w:val="22"/>
              </w:rPr>
              <w:t>шт.</w:t>
            </w:r>
          </w:p>
        </w:tc>
        <w:tc>
          <w:tcPr>
            <w:tcW w:w="185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t>Указывается в составе заявки</w:t>
            </w:r>
          </w:p>
        </w:tc>
      </w:tr>
      <w:tr>
        <w:trPr/>
        <w:tc>
          <w:tcPr>
            <w:tcW w:w="496"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Погрешность</w:t>
            </w:r>
          </w:p>
        </w:tc>
        <w:tc>
          <w:tcPr>
            <w:tcW w:w="1860" w:type="dxa"/>
            <w:tcBorders>
              <w:left w:val="single" w:sz="4" w:space="0" w:color="00000A"/>
              <w:bottom w:val="single" w:sz="4" w:space="0" w:color="00000A"/>
              <w:right w:val="single" w:sz="4" w:space="0" w:color="00000A"/>
            </w:tcBorders>
          </w:tcPr>
          <w:p>
            <w:pPr>
              <w:pStyle w:val="Normal"/>
              <w:widowControl w:val="false"/>
              <w:rPr>
                <w:rFonts w:eastAsia="Calibri"/>
                <w:color w:val="000000"/>
                <w:sz w:val="22"/>
                <w:szCs w:val="22"/>
              </w:rPr>
            </w:pPr>
            <w:r>
              <w:rPr>
                <w:rFonts w:eastAsia="Calibri"/>
                <w:color w:val="000000"/>
                <w:sz w:val="22"/>
                <w:szCs w:val="22"/>
              </w:rPr>
              <w:t>± 0,01</w:t>
            </w:r>
          </w:p>
        </w:tc>
        <w:tc>
          <w:tcPr>
            <w:tcW w:w="1936" w:type="dxa"/>
            <w:tcBorders>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t>Миллилитр (мл)</w:t>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5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6"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Цена деления</w:t>
            </w:r>
          </w:p>
        </w:tc>
        <w:tc>
          <w:tcPr>
            <w:tcW w:w="1860" w:type="dxa"/>
            <w:tcBorders>
              <w:left w:val="single" w:sz="4" w:space="0" w:color="00000A"/>
              <w:bottom w:val="single" w:sz="4" w:space="0" w:color="00000A"/>
              <w:right w:val="single" w:sz="4" w:space="0" w:color="00000A"/>
            </w:tcBorders>
          </w:tcPr>
          <w:p>
            <w:pPr>
              <w:pStyle w:val="Normal"/>
              <w:widowControl w:val="false"/>
              <w:rPr>
                <w:rFonts w:eastAsia="Calibri"/>
                <w:color w:val="000000"/>
                <w:sz w:val="22"/>
                <w:szCs w:val="22"/>
              </w:rPr>
            </w:pPr>
            <w:r>
              <w:rPr>
                <w:rFonts w:eastAsia="Calibri"/>
                <w:color w:val="000000"/>
                <w:sz w:val="22"/>
                <w:szCs w:val="22"/>
              </w:rPr>
              <w:t>0,01</w:t>
            </w:r>
          </w:p>
        </w:tc>
        <w:tc>
          <w:tcPr>
            <w:tcW w:w="1936" w:type="dxa"/>
            <w:tcBorders>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t>Миллилитр (мл)</w:t>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5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6"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Тип</w:t>
            </w:r>
          </w:p>
        </w:tc>
        <w:tc>
          <w:tcPr>
            <w:tcW w:w="1860" w:type="dxa"/>
            <w:tcBorders>
              <w:left w:val="single" w:sz="4" w:space="0" w:color="00000A"/>
              <w:bottom w:val="single" w:sz="4" w:space="0" w:color="00000A"/>
              <w:right w:val="single" w:sz="4" w:space="0" w:color="00000A"/>
            </w:tcBorders>
          </w:tcPr>
          <w:p>
            <w:pPr>
              <w:pStyle w:val="Normal"/>
              <w:widowControl w:val="false"/>
              <w:rPr>
                <w:rFonts w:eastAsia="Calibri"/>
                <w:color w:val="000000"/>
                <w:sz w:val="22"/>
                <w:szCs w:val="22"/>
              </w:rPr>
            </w:pPr>
            <w:r>
              <w:rPr>
                <w:rFonts w:eastAsia="Calibri"/>
                <w:color w:val="000000"/>
                <w:sz w:val="22"/>
                <w:szCs w:val="22"/>
              </w:rPr>
              <w:t>2</w:t>
            </w:r>
          </w:p>
        </w:tc>
        <w:tc>
          <w:tcPr>
            <w:tcW w:w="1936" w:type="dxa"/>
            <w:tcBorders>
              <w:left w:val="single" w:sz="4" w:space="0" w:color="00000A"/>
              <w:bottom w:val="single" w:sz="4" w:space="0" w:color="00000A"/>
              <w:right w:val="single" w:sz="4" w:space="0" w:color="00000A"/>
            </w:tcBorders>
          </w:tcPr>
          <w:p>
            <w:pPr>
              <w:pStyle w:val="Normal"/>
              <w:widowControl w:val="false"/>
              <w:spacing w:lineRule="auto" w:line="276"/>
              <w:jc w:val="right"/>
              <w:rPr>
                <w:rFonts w:ascii="Calibri" w:hAnsi="Calibri" w:eastAsia="Calibri"/>
                <w:b/>
                <w:b/>
                <w:sz w:val="22"/>
                <w:szCs w:val="22"/>
              </w:rPr>
            </w:pPr>
            <w:r>
              <w:rPr>
                <w:rFonts w:eastAsia="Calibri" w:ascii="Calibri" w:hAnsi="Calibri"/>
                <w:b/>
                <w:sz w:val="22"/>
                <w:szCs w:val="22"/>
              </w:rPr>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5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6"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spacing w:lineRule="auto" w:line="276"/>
              <w:rPr>
                <w:rFonts w:eastAsia="Calibri"/>
                <w:bCs/>
                <w:sz w:val="22"/>
                <w:szCs w:val="22"/>
              </w:rPr>
            </w:pPr>
            <w:r>
              <w:rPr>
                <w:rFonts w:eastAsia="Calibri"/>
                <w:bCs/>
                <w:sz w:val="22"/>
                <w:szCs w:val="22"/>
              </w:rPr>
              <w:t>Класс точности</w:t>
            </w:r>
          </w:p>
        </w:tc>
        <w:tc>
          <w:tcPr>
            <w:tcW w:w="1860" w:type="dxa"/>
            <w:tcBorders>
              <w:left w:val="single" w:sz="4" w:space="0" w:color="00000A"/>
              <w:bottom w:val="single" w:sz="4" w:space="0" w:color="00000A"/>
              <w:right w:val="single" w:sz="4" w:space="0" w:color="00000A"/>
            </w:tcBorders>
          </w:tcPr>
          <w:p>
            <w:pPr>
              <w:pStyle w:val="Normal"/>
              <w:widowControl w:val="false"/>
              <w:rPr>
                <w:rFonts w:eastAsia="Calibri"/>
                <w:color w:val="000000"/>
                <w:sz w:val="22"/>
                <w:szCs w:val="22"/>
              </w:rPr>
            </w:pPr>
            <w:r>
              <w:rPr>
                <w:rFonts w:eastAsia="Calibri"/>
                <w:color w:val="000000"/>
                <w:sz w:val="22"/>
                <w:szCs w:val="22"/>
              </w:rPr>
              <w:t>2</w:t>
            </w:r>
          </w:p>
        </w:tc>
        <w:tc>
          <w:tcPr>
            <w:tcW w:w="1936" w:type="dxa"/>
            <w:tcBorders>
              <w:left w:val="single" w:sz="4" w:space="0" w:color="00000A"/>
              <w:bottom w:val="single" w:sz="4" w:space="0" w:color="00000A"/>
              <w:right w:val="single" w:sz="4" w:space="0" w:color="00000A"/>
            </w:tcBorders>
          </w:tcPr>
          <w:p>
            <w:pPr>
              <w:pStyle w:val="Normal"/>
              <w:widowControl w:val="false"/>
              <w:spacing w:lineRule="auto" w:line="276"/>
              <w:jc w:val="right"/>
              <w:rPr>
                <w:rFonts w:ascii="Calibri" w:hAnsi="Calibri" w:eastAsia="Calibri"/>
                <w:b/>
                <w:b/>
                <w:sz w:val="22"/>
                <w:szCs w:val="22"/>
              </w:rPr>
            </w:pPr>
            <w:r>
              <w:rPr>
                <w:rFonts w:eastAsia="Calibri" w:ascii="Calibri" w:hAnsi="Calibri"/>
                <w:b/>
                <w:sz w:val="22"/>
                <w:szCs w:val="22"/>
              </w:rPr>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5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6" w:type="dxa"/>
            <w:vMerge w:val="restart"/>
            <w:tcBorders>
              <w:top w:val="single" w:sz="4" w:space="0" w:color="00000A"/>
              <w:left w:val="single" w:sz="4" w:space="0" w:color="00000A"/>
              <w:bottom w:val="single" w:sz="4" w:space="0" w:color="00000A"/>
            </w:tcBorders>
          </w:tcPr>
          <w:p>
            <w:pPr>
              <w:pStyle w:val="Style22"/>
              <w:widowControl w:val="false"/>
              <w:jc w:val="left"/>
              <w:rPr>
                <w:color w:val="00000A"/>
                <w:sz w:val="22"/>
                <w:szCs w:val="22"/>
              </w:rPr>
            </w:pPr>
            <w:r>
              <w:rPr>
                <w:color w:val="00000A"/>
                <w:sz w:val="22"/>
                <w:szCs w:val="22"/>
              </w:rPr>
              <w:t>7</w:t>
            </w:r>
          </w:p>
        </w:tc>
        <w:tc>
          <w:tcPr>
            <w:tcW w:w="2968" w:type="dxa"/>
            <w:vMerge w:val="restart"/>
            <w:tcBorders>
              <w:top w:val="single" w:sz="4" w:space="0" w:color="00000A"/>
              <w:left w:val="single" w:sz="4" w:space="0" w:color="00000A"/>
              <w:bottom w:val="single" w:sz="4" w:space="0" w:color="00000A"/>
              <w:right w:val="single" w:sz="4" w:space="0" w:color="00000A"/>
            </w:tcBorders>
          </w:tcPr>
          <w:p>
            <w:pPr>
              <w:pStyle w:val="Style22"/>
              <w:widowControl w:val="false"/>
              <w:jc w:val="left"/>
              <w:rPr>
                <w:sz w:val="22"/>
                <w:szCs w:val="22"/>
              </w:rPr>
            </w:pPr>
            <w:r>
              <w:rPr>
                <w:color w:val="00000A"/>
                <w:sz w:val="22"/>
                <w:szCs w:val="22"/>
              </w:rPr>
              <w:t xml:space="preserve">Пипетка градуированная </w:t>
            </w:r>
          </w:p>
        </w:tc>
        <w:tc>
          <w:tcPr>
            <w:tcW w:w="2325"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rPr>
                <w:sz w:val="22"/>
                <w:szCs w:val="22"/>
              </w:rPr>
            </w:pPr>
            <w:r>
              <w:rPr>
                <w:rFonts w:eastAsia="Calibri"/>
                <w:bCs/>
                <w:sz w:val="22"/>
                <w:szCs w:val="22"/>
              </w:rPr>
              <w:t>Объем</w:t>
            </w:r>
          </w:p>
        </w:tc>
        <w:tc>
          <w:tcPr>
            <w:tcW w:w="1860" w:type="dxa"/>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t>2</w:t>
            </w:r>
          </w:p>
        </w:tc>
        <w:tc>
          <w:tcPr>
            <w:tcW w:w="1936"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t>Миллилитр (мл)</w:t>
            </w:r>
          </w:p>
        </w:tc>
        <w:tc>
          <w:tcPr>
            <w:tcW w:w="216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bCs/>
                <w:sz w:val="22"/>
                <w:szCs w:val="22"/>
              </w:rPr>
              <w:t>Значение характеристик не может изменяться участником закупки</w:t>
            </w:r>
          </w:p>
        </w:tc>
        <w:tc>
          <w:tcPr>
            <w:tcW w:w="1530" w:type="dxa"/>
            <w:vMerge w:val="restart"/>
            <w:tcBorders>
              <w:top w:val="single" w:sz="4" w:space="0" w:color="00000A"/>
              <w:left w:val="single" w:sz="4" w:space="0" w:color="00000A"/>
              <w:bottom w:val="single" w:sz="4" w:space="0" w:color="00000A"/>
              <w:right w:val="single" w:sz="4" w:space="0" w:color="00000A"/>
            </w:tcBorders>
          </w:tcPr>
          <w:p>
            <w:pPr>
              <w:pStyle w:val="Style22"/>
              <w:widowControl w:val="false"/>
              <w:jc w:val="center"/>
              <w:rPr>
                <w:sz w:val="22"/>
                <w:szCs w:val="22"/>
              </w:rPr>
            </w:pPr>
            <w:r>
              <w:rPr>
                <w:b w:val="false"/>
                <w:bCs w:val="false"/>
                <w:color w:val="000000"/>
                <w:sz w:val="22"/>
                <w:szCs w:val="22"/>
              </w:rPr>
              <w:t>20</w:t>
            </w:r>
          </w:p>
        </w:tc>
        <w:tc>
          <w:tcPr>
            <w:tcW w:w="735" w:type="dxa"/>
            <w:vMerge w:val="restart"/>
            <w:tcBorders>
              <w:top w:val="single" w:sz="4" w:space="0" w:color="00000A"/>
              <w:left w:val="single" w:sz="4" w:space="0" w:color="00000A"/>
              <w:bottom w:val="single" w:sz="4" w:space="0" w:color="00000A"/>
            </w:tcBorders>
          </w:tcPr>
          <w:p>
            <w:pPr>
              <w:pStyle w:val="Normal"/>
              <w:widowControl w:val="false"/>
              <w:spacing w:lineRule="auto" w:line="276"/>
              <w:jc w:val="center"/>
              <w:rPr>
                <w:sz w:val="22"/>
                <w:szCs w:val="22"/>
              </w:rPr>
            </w:pPr>
            <w:r>
              <w:rPr>
                <w:bCs/>
                <w:sz w:val="22"/>
                <w:szCs w:val="22"/>
              </w:rPr>
              <w:t>шт.</w:t>
            </w:r>
          </w:p>
        </w:tc>
        <w:tc>
          <w:tcPr>
            <w:tcW w:w="185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t>Указывается в составе заявки</w:t>
            </w:r>
          </w:p>
        </w:tc>
      </w:tr>
      <w:tr>
        <w:trPr/>
        <w:tc>
          <w:tcPr>
            <w:tcW w:w="496"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Погрешность</w:t>
            </w:r>
          </w:p>
        </w:tc>
        <w:tc>
          <w:tcPr>
            <w:tcW w:w="1860" w:type="dxa"/>
            <w:tcBorders>
              <w:left w:val="single" w:sz="4" w:space="0" w:color="00000A"/>
              <w:bottom w:val="single" w:sz="4" w:space="0" w:color="00000A"/>
              <w:right w:val="single" w:sz="4" w:space="0" w:color="00000A"/>
            </w:tcBorders>
          </w:tcPr>
          <w:p>
            <w:pPr>
              <w:pStyle w:val="Normal"/>
              <w:widowControl w:val="false"/>
              <w:rPr>
                <w:rFonts w:eastAsia="Calibri"/>
                <w:color w:val="000000"/>
                <w:sz w:val="22"/>
                <w:szCs w:val="22"/>
              </w:rPr>
            </w:pPr>
            <w:r>
              <w:rPr>
                <w:rFonts w:eastAsia="Calibri"/>
                <w:color w:val="000000"/>
                <w:sz w:val="22"/>
                <w:szCs w:val="22"/>
              </w:rPr>
              <w:t>± 0,02</w:t>
            </w:r>
          </w:p>
        </w:tc>
        <w:tc>
          <w:tcPr>
            <w:tcW w:w="1936" w:type="dxa"/>
            <w:tcBorders>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t>Миллилитр (мл)</w:t>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5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6"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Цена деления</w:t>
            </w:r>
          </w:p>
        </w:tc>
        <w:tc>
          <w:tcPr>
            <w:tcW w:w="1860" w:type="dxa"/>
            <w:tcBorders>
              <w:left w:val="single" w:sz="4" w:space="0" w:color="00000A"/>
              <w:bottom w:val="single" w:sz="4" w:space="0" w:color="00000A"/>
              <w:right w:val="single" w:sz="4" w:space="0" w:color="00000A"/>
            </w:tcBorders>
          </w:tcPr>
          <w:p>
            <w:pPr>
              <w:pStyle w:val="Normal"/>
              <w:widowControl w:val="false"/>
              <w:rPr>
                <w:rFonts w:eastAsia="Calibri"/>
                <w:color w:val="000000"/>
                <w:sz w:val="22"/>
                <w:szCs w:val="22"/>
              </w:rPr>
            </w:pPr>
            <w:r>
              <w:rPr>
                <w:rFonts w:eastAsia="Calibri"/>
                <w:color w:val="000000"/>
                <w:sz w:val="22"/>
                <w:szCs w:val="22"/>
              </w:rPr>
              <w:t>0,02</w:t>
            </w:r>
          </w:p>
        </w:tc>
        <w:tc>
          <w:tcPr>
            <w:tcW w:w="1936" w:type="dxa"/>
            <w:tcBorders>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t>Миллилитр (мл)</w:t>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5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6"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Тип</w:t>
            </w:r>
          </w:p>
        </w:tc>
        <w:tc>
          <w:tcPr>
            <w:tcW w:w="1860" w:type="dxa"/>
            <w:tcBorders>
              <w:left w:val="single" w:sz="4" w:space="0" w:color="00000A"/>
              <w:bottom w:val="single" w:sz="4" w:space="0" w:color="00000A"/>
              <w:right w:val="single" w:sz="4" w:space="0" w:color="00000A"/>
            </w:tcBorders>
          </w:tcPr>
          <w:p>
            <w:pPr>
              <w:pStyle w:val="Normal"/>
              <w:widowControl w:val="false"/>
              <w:rPr>
                <w:rFonts w:eastAsia="Calibri"/>
                <w:color w:val="000000"/>
                <w:sz w:val="22"/>
                <w:szCs w:val="22"/>
              </w:rPr>
            </w:pPr>
            <w:r>
              <w:rPr>
                <w:rFonts w:eastAsia="Calibri"/>
                <w:color w:val="000000"/>
                <w:sz w:val="22"/>
                <w:szCs w:val="22"/>
              </w:rPr>
              <w:t>2</w:t>
            </w:r>
          </w:p>
        </w:tc>
        <w:tc>
          <w:tcPr>
            <w:tcW w:w="1936"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5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6"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spacing w:lineRule="auto" w:line="276"/>
              <w:rPr>
                <w:rFonts w:eastAsia="Calibri"/>
                <w:bCs/>
                <w:sz w:val="22"/>
                <w:szCs w:val="22"/>
              </w:rPr>
            </w:pPr>
            <w:r>
              <w:rPr>
                <w:rFonts w:eastAsia="Calibri"/>
                <w:bCs/>
                <w:sz w:val="22"/>
                <w:szCs w:val="22"/>
              </w:rPr>
              <w:t>Класс точности</w:t>
            </w:r>
          </w:p>
        </w:tc>
        <w:tc>
          <w:tcPr>
            <w:tcW w:w="1860" w:type="dxa"/>
            <w:tcBorders>
              <w:left w:val="single" w:sz="4" w:space="0" w:color="00000A"/>
              <w:bottom w:val="single" w:sz="4" w:space="0" w:color="00000A"/>
              <w:right w:val="single" w:sz="4" w:space="0" w:color="00000A"/>
            </w:tcBorders>
          </w:tcPr>
          <w:p>
            <w:pPr>
              <w:pStyle w:val="Normal"/>
              <w:widowControl w:val="false"/>
              <w:rPr>
                <w:rFonts w:eastAsia="Calibri"/>
                <w:color w:val="000000"/>
                <w:sz w:val="22"/>
                <w:szCs w:val="22"/>
              </w:rPr>
            </w:pPr>
            <w:r>
              <w:rPr>
                <w:rFonts w:eastAsia="Calibri"/>
                <w:color w:val="000000"/>
                <w:sz w:val="22"/>
                <w:szCs w:val="22"/>
              </w:rPr>
              <w:t>2</w:t>
            </w:r>
          </w:p>
        </w:tc>
        <w:tc>
          <w:tcPr>
            <w:tcW w:w="1936"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5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6"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spacing w:lineRule="auto" w:line="276"/>
              <w:rPr>
                <w:sz w:val="22"/>
                <w:szCs w:val="22"/>
              </w:rPr>
            </w:pPr>
            <w:r>
              <w:rPr>
                <w:rFonts w:eastAsia="Calibri"/>
                <w:bCs/>
                <w:sz w:val="22"/>
                <w:szCs w:val="22"/>
              </w:rPr>
              <w:t xml:space="preserve">Исполнение </w:t>
            </w:r>
          </w:p>
        </w:tc>
        <w:tc>
          <w:tcPr>
            <w:tcW w:w="1860"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1</w:t>
            </w:r>
          </w:p>
        </w:tc>
        <w:tc>
          <w:tcPr>
            <w:tcW w:w="1936"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5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6" w:type="dxa"/>
            <w:vMerge w:val="restart"/>
            <w:tcBorders>
              <w:top w:val="single" w:sz="4" w:space="0" w:color="00000A"/>
              <w:left w:val="single" w:sz="4" w:space="0" w:color="00000A"/>
              <w:bottom w:val="single" w:sz="4" w:space="0" w:color="00000A"/>
            </w:tcBorders>
          </w:tcPr>
          <w:p>
            <w:pPr>
              <w:pStyle w:val="Style22"/>
              <w:widowControl w:val="false"/>
              <w:jc w:val="left"/>
              <w:rPr>
                <w:color w:val="00000A"/>
                <w:sz w:val="22"/>
                <w:szCs w:val="22"/>
              </w:rPr>
            </w:pPr>
            <w:r>
              <w:rPr>
                <w:color w:val="00000A"/>
                <w:sz w:val="22"/>
                <w:szCs w:val="22"/>
              </w:rPr>
              <w:t>8</w:t>
            </w:r>
          </w:p>
        </w:tc>
        <w:tc>
          <w:tcPr>
            <w:tcW w:w="2968" w:type="dxa"/>
            <w:vMerge w:val="restart"/>
            <w:tcBorders>
              <w:top w:val="single" w:sz="4" w:space="0" w:color="00000A"/>
              <w:left w:val="single" w:sz="4" w:space="0" w:color="00000A"/>
              <w:bottom w:val="single" w:sz="4" w:space="0" w:color="00000A"/>
              <w:right w:val="single" w:sz="4" w:space="0" w:color="00000A"/>
            </w:tcBorders>
          </w:tcPr>
          <w:p>
            <w:pPr>
              <w:pStyle w:val="Style22"/>
              <w:widowControl w:val="false"/>
              <w:jc w:val="left"/>
              <w:rPr>
                <w:sz w:val="22"/>
                <w:szCs w:val="22"/>
              </w:rPr>
            </w:pPr>
            <w:r>
              <w:rPr>
                <w:color w:val="00000A"/>
                <w:sz w:val="22"/>
                <w:szCs w:val="22"/>
              </w:rPr>
              <w:t xml:space="preserve">Пипетка градуированная </w:t>
            </w:r>
          </w:p>
        </w:tc>
        <w:tc>
          <w:tcPr>
            <w:tcW w:w="2325"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rPr>
                <w:sz w:val="22"/>
                <w:szCs w:val="22"/>
              </w:rPr>
            </w:pPr>
            <w:r>
              <w:rPr>
                <w:rFonts w:eastAsia="Calibri"/>
                <w:bCs/>
                <w:sz w:val="22"/>
                <w:szCs w:val="22"/>
              </w:rPr>
              <w:t>Объем</w:t>
            </w:r>
          </w:p>
        </w:tc>
        <w:tc>
          <w:tcPr>
            <w:tcW w:w="1860" w:type="dxa"/>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t>5</w:t>
            </w:r>
          </w:p>
        </w:tc>
        <w:tc>
          <w:tcPr>
            <w:tcW w:w="1936"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t>Миллилитр (мл)</w:t>
            </w:r>
          </w:p>
        </w:tc>
        <w:tc>
          <w:tcPr>
            <w:tcW w:w="216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bCs/>
                <w:sz w:val="22"/>
                <w:szCs w:val="22"/>
              </w:rPr>
              <w:t>Значение характеристик не может изменяться участником закупки</w:t>
            </w:r>
          </w:p>
        </w:tc>
        <w:tc>
          <w:tcPr>
            <w:tcW w:w="1530" w:type="dxa"/>
            <w:vMerge w:val="restart"/>
            <w:tcBorders>
              <w:top w:val="single" w:sz="4" w:space="0" w:color="00000A"/>
              <w:left w:val="single" w:sz="4" w:space="0" w:color="00000A"/>
              <w:bottom w:val="single" w:sz="4" w:space="0" w:color="00000A"/>
              <w:right w:val="single" w:sz="4" w:space="0" w:color="00000A"/>
            </w:tcBorders>
          </w:tcPr>
          <w:p>
            <w:pPr>
              <w:pStyle w:val="Style22"/>
              <w:widowControl w:val="false"/>
              <w:jc w:val="center"/>
              <w:rPr>
                <w:sz w:val="22"/>
                <w:szCs w:val="22"/>
              </w:rPr>
            </w:pPr>
            <w:r>
              <w:rPr>
                <w:b w:val="false"/>
                <w:bCs w:val="false"/>
                <w:color w:val="000000"/>
                <w:sz w:val="22"/>
                <w:szCs w:val="22"/>
              </w:rPr>
              <w:t>20</w:t>
            </w:r>
          </w:p>
        </w:tc>
        <w:tc>
          <w:tcPr>
            <w:tcW w:w="735" w:type="dxa"/>
            <w:vMerge w:val="restart"/>
            <w:tcBorders>
              <w:top w:val="single" w:sz="4" w:space="0" w:color="00000A"/>
              <w:left w:val="single" w:sz="4" w:space="0" w:color="00000A"/>
              <w:bottom w:val="single" w:sz="4" w:space="0" w:color="00000A"/>
            </w:tcBorders>
          </w:tcPr>
          <w:p>
            <w:pPr>
              <w:pStyle w:val="Normal"/>
              <w:widowControl w:val="false"/>
              <w:spacing w:lineRule="auto" w:line="276"/>
              <w:jc w:val="center"/>
              <w:rPr>
                <w:sz w:val="22"/>
                <w:szCs w:val="22"/>
              </w:rPr>
            </w:pPr>
            <w:r>
              <w:rPr>
                <w:bCs/>
                <w:sz w:val="22"/>
                <w:szCs w:val="22"/>
              </w:rPr>
              <w:t>шт.</w:t>
            </w:r>
          </w:p>
        </w:tc>
        <w:tc>
          <w:tcPr>
            <w:tcW w:w="185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t>Указывается в составе заявки</w:t>
            </w:r>
          </w:p>
        </w:tc>
      </w:tr>
      <w:tr>
        <w:trPr/>
        <w:tc>
          <w:tcPr>
            <w:tcW w:w="496"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Погрешность</w:t>
            </w:r>
          </w:p>
        </w:tc>
        <w:tc>
          <w:tcPr>
            <w:tcW w:w="1860" w:type="dxa"/>
            <w:tcBorders>
              <w:left w:val="single" w:sz="4" w:space="0" w:color="00000A"/>
              <w:bottom w:val="single" w:sz="4" w:space="0" w:color="00000A"/>
              <w:right w:val="single" w:sz="4" w:space="0" w:color="00000A"/>
            </w:tcBorders>
          </w:tcPr>
          <w:p>
            <w:pPr>
              <w:pStyle w:val="Normal"/>
              <w:widowControl w:val="false"/>
              <w:rPr>
                <w:rFonts w:eastAsia="Calibri"/>
                <w:color w:val="000000"/>
                <w:sz w:val="22"/>
                <w:szCs w:val="22"/>
              </w:rPr>
            </w:pPr>
            <w:r>
              <w:rPr>
                <w:rFonts w:eastAsia="Calibri"/>
                <w:color w:val="000000"/>
                <w:sz w:val="22"/>
                <w:szCs w:val="22"/>
              </w:rPr>
              <w:t>± 0,05</w:t>
            </w:r>
          </w:p>
        </w:tc>
        <w:tc>
          <w:tcPr>
            <w:tcW w:w="1936" w:type="dxa"/>
            <w:tcBorders>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t>Миллилитр (мл)</w:t>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5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6"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Цена деления</w:t>
            </w:r>
          </w:p>
        </w:tc>
        <w:tc>
          <w:tcPr>
            <w:tcW w:w="1860" w:type="dxa"/>
            <w:tcBorders>
              <w:left w:val="single" w:sz="4" w:space="0" w:color="00000A"/>
              <w:bottom w:val="single" w:sz="4" w:space="0" w:color="00000A"/>
              <w:right w:val="single" w:sz="4" w:space="0" w:color="00000A"/>
            </w:tcBorders>
          </w:tcPr>
          <w:p>
            <w:pPr>
              <w:pStyle w:val="Normal"/>
              <w:widowControl w:val="false"/>
              <w:rPr>
                <w:rFonts w:eastAsia="Calibri"/>
                <w:color w:val="000000"/>
                <w:sz w:val="22"/>
                <w:szCs w:val="22"/>
              </w:rPr>
            </w:pPr>
            <w:r>
              <w:rPr>
                <w:rFonts w:eastAsia="Calibri"/>
                <w:color w:val="000000"/>
                <w:sz w:val="22"/>
                <w:szCs w:val="22"/>
              </w:rPr>
              <w:t>0,05</w:t>
            </w:r>
          </w:p>
        </w:tc>
        <w:tc>
          <w:tcPr>
            <w:tcW w:w="1936" w:type="dxa"/>
            <w:tcBorders>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t>Миллилитр (мл)</w:t>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5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6"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Тип</w:t>
            </w:r>
          </w:p>
        </w:tc>
        <w:tc>
          <w:tcPr>
            <w:tcW w:w="1860" w:type="dxa"/>
            <w:tcBorders>
              <w:left w:val="single" w:sz="4" w:space="0" w:color="00000A"/>
              <w:bottom w:val="single" w:sz="4" w:space="0" w:color="00000A"/>
              <w:right w:val="single" w:sz="4" w:space="0" w:color="00000A"/>
            </w:tcBorders>
          </w:tcPr>
          <w:p>
            <w:pPr>
              <w:pStyle w:val="Normal"/>
              <w:widowControl w:val="false"/>
              <w:rPr>
                <w:rFonts w:eastAsia="Calibri"/>
                <w:color w:val="000000"/>
                <w:sz w:val="22"/>
                <w:szCs w:val="22"/>
              </w:rPr>
            </w:pPr>
            <w:r>
              <w:rPr>
                <w:rFonts w:eastAsia="Calibri"/>
                <w:color w:val="000000"/>
                <w:sz w:val="22"/>
                <w:szCs w:val="22"/>
              </w:rPr>
              <w:t>2</w:t>
            </w:r>
          </w:p>
        </w:tc>
        <w:tc>
          <w:tcPr>
            <w:tcW w:w="1936"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5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6"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spacing w:lineRule="auto" w:line="276"/>
              <w:rPr>
                <w:rFonts w:eastAsia="Calibri"/>
                <w:bCs/>
                <w:sz w:val="22"/>
                <w:szCs w:val="22"/>
              </w:rPr>
            </w:pPr>
            <w:r>
              <w:rPr>
                <w:rFonts w:eastAsia="Calibri"/>
                <w:bCs/>
                <w:sz w:val="22"/>
                <w:szCs w:val="22"/>
              </w:rPr>
              <w:t>Класс точности</w:t>
            </w:r>
          </w:p>
        </w:tc>
        <w:tc>
          <w:tcPr>
            <w:tcW w:w="1860" w:type="dxa"/>
            <w:tcBorders>
              <w:left w:val="single" w:sz="4" w:space="0" w:color="00000A"/>
              <w:bottom w:val="single" w:sz="4" w:space="0" w:color="00000A"/>
              <w:right w:val="single" w:sz="4" w:space="0" w:color="00000A"/>
            </w:tcBorders>
          </w:tcPr>
          <w:p>
            <w:pPr>
              <w:pStyle w:val="Normal"/>
              <w:widowControl w:val="false"/>
              <w:rPr>
                <w:rFonts w:eastAsia="Calibri"/>
                <w:color w:val="000000"/>
                <w:sz w:val="22"/>
                <w:szCs w:val="22"/>
              </w:rPr>
            </w:pPr>
            <w:r>
              <w:rPr>
                <w:rFonts w:eastAsia="Calibri"/>
                <w:color w:val="000000"/>
                <w:sz w:val="22"/>
                <w:szCs w:val="22"/>
              </w:rPr>
              <w:t>2</w:t>
            </w:r>
          </w:p>
        </w:tc>
        <w:tc>
          <w:tcPr>
            <w:tcW w:w="1936"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5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6" w:type="dxa"/>
            <w:vMerge w:val="continue"/>
            <w:tcBorders>
              <w:top w:val="single" w:sz="4" w:space="0" w:color="00000A"/>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rPr>
                <w:sz w:val="22"/>
                <w:szCs w:val="22"/>
              </w:rPr>
            </w:pPr>
            <w:r>
              <w:rPr>
                <w:rFonts w:eastAsia="Calibri"/>
                <w:bCs/>
                <w:sz w:val="22"/>
                <w:szCs w:val="22"/>
              </w:rPr>
              <w:t xml:space="preserve">Исполнение </w:t>
            </w:r>
          </w:p>
        </w:tc>
        <w:tc>
          <w:tcPr>
            <w:tcW w:w="1860" w:type="dxa"/>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t>1</w:t>
            </w:r>
          </w:p>
        </w:tc>
        <w:tc>
          <w:tcPr>
            <w:tcW w:w="1936" w:type="dxa"/>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160" w:type="dxa"/>
            <w:vMerge w:val="continue"/>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top w:val="single" w:sz="4" w:space="0" w:color="00000A"/>
              <w:left w:val="single" w:sz="4" w:space="0" w:color="00000A"/>
              <w:bottom w:val="single" w:sz="4" w:space="0" w:color="00000A"/>
            </w:tcBorders>
          </w:tcPr>
          <w:p>
            <w:pPr>
              <w:pStyle w:val="Normal"/>
              <w:widowControl w:val="false"/>
              <w:rPr>
                <w:sz w:val="22"/>
                <w:szCs w:val="22"/>
              </w:rPr>
            </w:pPr>
            <w:r>
              <w:rPr>
                <w:sz w:val="22"/>
                <w:szCs w:val="22"/>
              </w:rPr>
            </w:r>
          </w:p>
        </w:tc>
        <w:tc>
          <w:tcPr>
            <w:tcW w:w="1858" w:type="dxa"/>
            <w:vMerge w:val="continue"/>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6" w:type="dxa"/>
            <w:vMerge w:val="restart"/>
            <w:tcBorders>
              <w:top w:val="single" w:sz="4" w:space="0" w:color="00000A"/>
              <w:left w:val="single" w:sz="4" w:space="0" w:color="00000A"/>
              <w:bottom w:val="single" w:sz="4" w:space="0" w:color="00000A"/>
            </w:tcBorders>
          </w:tcPr>
          <w:p>
            <w:pPr>
              <w:pStyle w:val="Style22"/>
              <w:widowControl w:val="false"/>
              <w:jc w:val="left"/>
              <w:rPr>
                <w:color w:val="00000A"/>
                <w:sz w:val="22"/>
                <w:szCs w:val="22"/>
              </w:rPr>
            </w:pPr>
            <w:r>
              <w:rPr>
                <w:color w:val="00000A"/>
                <w:sz w:val="22"/>
                <w:szCs w:val="22"/>
              </w:rPr>
              <w:t>9</w:t>
            </w:r>
          </w:p>
        </w:tc>
        <w:tc>
          <w:tcPr>
            <w:tcW w:w="2968" w:type="dxa"/>
            <w:vMerge w:val="restart"/>
            <w:tcBorders>
              <w:top w:val="single" w:sz="4" w:space="0" w:color="00000A"/>
              <w:left w:val="single" w:sz="4" w:space="0" w:color="00000A"/>
              <w:bottom w:val="single" w:sz="4" w:space="0" w:color="00000A"/>
              <w:right w:val="single" w:sz="4" w:space="0" w:color="00000A"/>
            </w:tcBorders>
          </w:tcPr>
          <w:p>
            <w:pPr>
              <w:pStyle w:val="Style22"/>
              <w:widowControl w:val="false"/>
              <w:jc w:val="left"/>
              <w:rPr>
                <w:sz w:val="22"/>
                <w:szCs w:val="22"/>
              </w:rPr>
            </w:pPr>
            <w:r>
              <w:rPr>
                <w:color w:val="00000A"/>
                <w:sz w:val="22"/>
                <w:szCs w:val="22"/>
              </w:rPr>
              <w:t xml:space="preserve">Пипетка градуированная </w:t>
            </w:r>
          </w:p>
        </w:tc>
        <w:tc>
          <w:tcPr>
            <w:tcW w:w="2325"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rPr>
                <w:sz w:val="22"/>
                <w:szCs w:val="22"/>
              </w:rPr>
            </w:pPr>
            <w:r>
              <w:rPr>
                <w:rFonts w:eastAsia="Calibri"/>
                <w:bCs/>
                <w:sz w:val="22"/>
                <w:szCs w:val="22"/>
              </w:rPr>
              <w:t>Объем</w:t>
            </w:r>
          </w:p>
        </w:tc>
        <w:tc>
          <w:tcPr>
            <w:tcW w:w="1860" w:type="dxa"/>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t>10</w:t>
            </w:r>
          </w:p>
        </w:tc>
        <w:tc>
          <w:tcPr>
            <w:tcW w:w="1936"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t>Миллилитр (мл)</w:t>
            </w:r>
          </w:p>
        </w:tc>
        <w:tc>
          <w:tcPr>
            <w:tcW w:w="216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bCs/>
                <w:sz w:val="22"/>
                <w:szCs w:val="22"/>
              </w:rPr>
              <w:t>Значение характеристик не может изменяться участником закупки</w:t>
            </w:r>
          </w:p>
        </w:tc>
        <w:tc>
          <w:tcPr>
            <w:tcW w:w="1530" w:type="dxa"/>
            <w:vMerge w:val="restart"/>
            <w:tcBorders>
              <w:top w:val="single" w:sz="4" w:space="0" w:color="00000A"/>
              <w:left w:val="single" w:sz="4" w:space="0" w:color="00000A"/>
              <w:bottom w:val="single" w:sz="4" w:space="0" w:color="00000A"/>
              <w:right w:val="single" w:sz="4" w:space="0" w:color="00000A"/>
            </w:tcBorders>
          </w:tcPr>
          <w:p>
            <w:pPr>
              <w:pStyle w:val="Style22"/>
              <w:widowControl w:val="false"/>
              <w:jc w:val="center"/>
              <w:rPr>
                <w:sz w:val="22"/>
                <w:szCs w:val="22"/>
              </w:rPr>
            </w:pPr>
            <w:r>
              <w:rPr>
                <w:b w:val="false"/>
                <w:bCs w:val="false"/>
                <w:color w:val="000000"/>
                <w:sz w:val="22"/>
                <w:szCs w:val="22"/>
              </w:rPr>
              <w:t>14</w:t>
            </w:r>
          </w:p>
        </w:tc>
        <w:tc>
          <w:tcPr>
            <w:tcW w:w="735" w:type="dxa"/>
            <w:vMerge w:val="restart"/>
            <w:tcBorders>
              <w:top w:val="single" w:sz="4" w:space="0" w:color="00000A"/>
              <w:left w:val="single" w:sz="4" w:space="0" w:color="00000A"/>
              <w:bottom w:val="single" w:sz="4" w:space="0" w:color="00000A"/>
            </w:tcBorders>
          </w:tcPr>
          <w:p>
            <w:pPr>
              <w:pStyle w:val="Normal"/>
              <w:widowControl w:val="false"/>
              <w:spacing w:lineRule="auto" w:line="276"/>
              <w:jc w:val="center"/>
              <w:rPr>
                <w:sz w:val="22"/>
                <w:szCs w:val="22"/>
              </w:rPr>
            </w:pPr>
            <w:r>
              <w:rPr>
                <w:bCs/>
                <w:sz w:val="22"/>
                <w:szCs w:val="22"/>
              </w:rPr>
              <w:t>шт.</w:t>
            </w:r>
          </w:p>
        </w:tc>
        <w:tc>
          <w:tcPr>
            <w:tcW w:w="185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t>Указывается в составе заявки</w:t>
            </w:r>
          </w:p>
        </w:tc>
      </w:tr>
      <w:tr>
        <w:trPr/>
        <w:tc>
          <w:tcPr>
            <w:tcW w:w="496" w:type="dxa"/>
            <w:vMerge w:val="continue"/>
            <w:tcBorders>
              <w:left w:val="single" w:sz="4" w:space="0" w:color="00000A"/>
              <w:bottom w:val="single" w:sz="4" w:space="0" w:color="00000A"/>
            </w:tcBorders>
          </w:tcPr>
          <w:p>
            <w:pPr>
              <w:pStyle w:val="Style22"/>
              <w:widowControl w:val="false"/>
              <w:jc w:val="left"/>
              <w:rPr>
                <w:color w:val="00000A"/>
                <w:sz w:val="22"/>
                <w:szCs w:val="22"/>
              </w:rPr>
            </w:pPr>
            <w:r>
              <w:rPr>
                <w:color w:val="00000A"/>
                <w:sz w:val="22"/>
                <w:szCs w:val="22"/>
              </w:rPr>
            </w:r>
          </w:p>
        </w:tc>
        <w:tc>
          <w:tcPr>
            <w:tcW w:w="2968" w:type="dxa"/>
            <w:vMerge w:val="continue"/>
            <w:tcBorders>
              <w:left w:val="single" w:sz="4" w:space="0" w:color="00000A"/>
              <w:bottom w:val="single" w:sz="4" w:space="0" w:color="00000A"/>
              <w:right w:val="single" w:sz="4" w:space="0" w:color="00000A"/>
            </w:tcBorders>
          </w:tcPr>
          <w:p>
            <w:pPr>
              <w:pStyle w:val="Style22"/>
              <w:widowControl w:val="false"/>
              <w:jc w:val="left"/>
              <w:rPr>
                <w:rFonts w:ascii="Times New Roman" w:hAnsi="Times New Roman"/>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Погрешность</w:t>
            </w:r>
          </w:p>
        </w:tc>
        <w:tc>
          <w:tcPr>
            <w:tcW w:w="1860" w:type="dxa"/>
            <w:tcBorders>
              <w:left w:val="single" w:sz="4" w:space="0" w:color="00000A"/>
              <w:bottom w:val="single" w:sz="4" w:space="0" w:color="00000A"/>
              <w:right w:val="single" w:sz="4" w:space="0" w:color="00000A"/>
            </w:tcBorders>
          </w:tcPr>
          <w:p>
            <w:pPr>
              <w:pStyle w:val="Normal"/>
              <w:widowControl w:val="false"/>
              <w:rPr>
                <w:rFonts w:eastAsia="Calibri"/>
                <w:color w:val="000000"/>
                <w:sz w:val="22"/>
                <w:szCs w:val="22"/>
              </w:rPr>
            </w:pPr>
            <w:r>
              <w:rPr>
                <w:rFonts w:eastAsia="Calibri"/>
                <w:color w:val="000000"/>
                <w:sz w:val="22"/>
                <w:szCs w:val="22"/>
              </w:rPr>
              <w:t>± 0,1</w:t>
            </w:r>
          </w:p>
        </w:tc>
        <w:tc>
          <w:tcPr>
            <w:tcW w:w="1936" w:type="dxa"/>
            <w:tcBorders>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t>Миллилитр (мл)</w:t>
            </w:r>
          </w:p>
        </w:tc>
        <w:tc>
          <w:tcPr>
            <w:tcW w:w="2160" w:type="dxa"/>
            <w:vMerge w:val="continue"/>
            <w:tcBorders>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r>
          </w:p>
        </w:tc>
        <w:tc>
          <w:tcPr>
            <w:tcW w:w="1530" w:type="dxa"/>
            <w:vMerge w:val="continue"/>
            <w:tcBorders>
              <w:left w:val="single" w:sz="4" w:space="0" w:color="00000A"/>
              <w:bottom w:val="single" w:sz="4" w:space="0" w:color="00000A"/>
              <w:right w:val="single" w:sz="4" w:space="0" w:color="00000A"/>
            </w:tcBorders>
          </w:tcPr>
          <w:p>
            <w:pPr>
              <w:pStyle w:val="Style22"/>
              <w:widowControl w:val="false"/>
              <w:jc w:val="center"/>
              <w:rPr>
                <w:rFonts w:ascii="Times New Roman" w:hAnsi="Times New Roman"/>
                <w:b w:val="false"/>
                <w:b w:val="false"/>
                <w:bCs w:val="false"/>
                <w:color w:val="000000"/>
                <w:sz w:val="22"/>
                <w:szCs w:val="22"/>
              </w:rPr>
            </w:pPr>
            <w:r>
              <w:rPr>
                <w:b w:val="false"/>
                <w:bCs w:val="false"/>
                <w:color w:val="000000"/>
                <w:sz w:val="22"/>
                <w:szCs w:val="22"/>
              </w:rPr>
            </w:r>
          </w:p>
        </w:tc>
        <w:tc>
          <w:tcPr>
            <w:tcW w:w="735" w:type="dxa"/>
            <w:vMerge w:val="continue"/>
            <w:tcBorders>
              <w:left w:val="single" w:sz="4" w:space="0" w:color="00000A"/>
              <w:bottom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r>
          </w:p>
        </w:tc>
        <w:tc>
          <w:tcPr>
            <w:tcW w:w="1858" w:type="dxa"/>
            <w:vMerge w:val="continue"/>
            <w:tcBorders>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sz w:val="22"/>
                <w:szCs w:val="22"/>
              </w:rPr>
            </w:r>
          </w:p>
        </w:tc>
      </w:tr>
      <w:tr>
        <w:trPr/>
        <w:tc>
          <w:tcPr>
            <w:tcW w:w="496" w:type="dxa"/>
            <w:vMerge w:val="continue"/>
            <w:tcBorders>
              <w:left w:val="single" w:sz="4" w:space="0" w:color="00000A"/>
              <w:bottom w:val="single" w:sz="4" w:space="0" w:color="00000A"/>
            </w:tcBorders>
          </w:tcPr>
          <w:p>
            <w:pPr>
              <w:pStyle w:val="Style22"/>
              <w:widowControl w:val="false"/>
              <w:jc w:val="left"/>
              <w:rPr>
                <w:color w:val="00000A"/>
                <w:sz w:val="22"/>
                <w:szCs w:val="22"/>
              </w:rPr>
            </w:pPr>
            <w:r>
              <w:rPr>
                <w:color w:val="00000A"/>
                <w:sz w:val="22"/>
                <w:szCs w:val="22"/>
              </w:rPr>
            </w:r>
          </w:p>
        </w:tc>
        <w:tc>
          <w:tcPr>
            <w:tcW w:w="2968" w:type="dxa"/>
            <w:vMerge w:val="continue"/>
            <w:tcBorders>
              <w:left w:val="single" w:sz="4" w:space="0" w:color="00000A"/>
              <w:bottom w:val="single" w:sz="4" w:space="0" w:color="00000A"/>
              <w:right w:val="single" w:sz="4" w:space="0" w:color="00000A"/>
            </w:tcBorders>
          </w:tcPr>
          <w:p>
            <w:pPr>
              <w:pStyle w:val="Style22"/>
              <w:widowControl w:val="false"/>
              <w:jc w:val="left"/>
              <w:rPr>
                <w:rFonts w:ascii="Times New Roman" w:hAnsi="Times New Roman"/>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Цена деления</w:t>
            </w:r>
          </w:p>
        </w:tc>
        <w:tc>
          <w:tcPr>
            <w:tcW w:w="1860" w:type="dxa"/>
            <w:tcBorders>
              <w:left w:val="single" w:sz="4" w:space="0" w:color="00000A"/>
              <w:bottom w:val="single" w:sz="4" w:space="0" w:color="00000A"/>
              <w:right w:val="single" w:sz="4" w:space="0" w:color="00000A"/>
            </w:tcBorders>
          </w:tcPr>
          <w:p>
            <w:pPr>
              <w:pStyle w:val="Normal"/>
              <w:widowControl w:val="false"/>
              <w:rPr>
                <w:rFonts w:eastAsia="Calibri"/>
                <w:color w:val="000000"/>
                <w:sz w:val="22"/>
                <w:szCs w:val="22"/>
              </w:rPr>
            </w:pPr>
            <w:r>
              <w:rPr>
                <w:rFonts w:eastAsia="Calibri"/>
                <w:color w:val="000000"/>
                <w:sz w:val="22"/>
                <w:szCs w:val="22"/>
              </w:rPr>
              <w:t>0,1</w:t>
            </w:r>
          </w:p>
        </w:tc>
        <w:tc>
          <w:tcPr>
            <w:tcW w:w="1936" w:type="dxa"/>
            <w:tcBorders>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t>Миллилитр (мл)</w:t>
            </w:r>
          </w:p>
        </w:tc>
        <w:tc>
          <w:tcPr>
            <w:tcW w:w="2160" w:type="dxa"/>
            <w:vMerge w:val="continue"/>
            <w:tcBorders>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r>
          </w:p>
        </w:tc>
        <w:tc>
          <w:tcPr>
            <w:tcW w:w="1530" w:type="dxa"/>
            <w:vMerge w:val="continue"/>
            <w:tcBorders>
              <w:left w:val="single" w:sz="4" w:space="0" w:color="00000A"/>
              <w:bottom w:val="single" w:sz="4" w:space="0" w:color="00000A"/>
              <w:right w:val="single" w:sz="4" w:space="0" w:color="00000A"/>
            </w:tcBorders>
          </w:tcPr>
          <w:p>
            <w:pPr>
              <w:pStyle w:val="Style22"/>
              <w:widowControl w:val="false"/>
              <w:jc w:val="center"/>
              <w:rPr>
                <w:rFonts w:ascii="Times New Roman" w:hAnsi="Times New Roman"/>
                <w:b w:val="false"/>
                <w:b w:val="false"/>
                <w:bCs w:val="false"/>
                <w:color w:val="000000"/>
                <w:sz w:val="22"/>
                <w:szCs w:val="22"/>
              </w:rPr>
            </w:pPr>
            <w:r>
              <w:rPr>
                <w:b w:val="false"/>
                <w:bCs w:val="false"/>
                <w:color w:val="000000"/>
                <w:sz w:val="22"/>
                <w:szCs w:val="22"/>
              </w:rPr>
            </w:r>
          </w:p>
        </w:tc>
        <w:tc>
          <w:tcPr>
            <w:tcW w:w="735" w:type="dxa"/>
            <w:vMerge w:val="continue"/>
            <w:tcBorders>
              <w:left w:val="single" w:sz="4" w:space="0" w:color="00000A"/>
              <w:bottom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r>
          </w:p>
        </w:tc>
        <w:tc>
          <w:tcPr>
            <w:tcW w:w="1858" w:type="dxa"/>
            <w:vMerge w:val="continue"/>
            <w:tcBorders>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sz w:val="22"/>
                <w:szCs w:val="22"/>
              </w:rPr>
            </w:r>
          </w:p>
        </w:tc>
      </w:tr>
      <w:tr>
        <w:trPr/>
        <w:tc>
          <w:tcPr>
            <w:tcW w:w="496" w:type="dxa"/>
            <w:vMerge w:val="continue"/>
            <w:tcBorders>
              <w:left w:val="single" w:sz="4" w:space="0" w:color="00000A"/>
              <w:bottom w:val="single" w:sz="4" w:space="0" w:color="00000A"/>
            </w:tcBorders>
          </w:tcPr>
          <w:p>
            <w:pPr>
              <w:pStyle w:val="Style22"/>
              <w:widowControl w:val="false"/>
              <w:jc w:val="left"/>
              <w:rPr>
                <w:color w:val="00000A"/>
                <w:sz w:val="22"/>
                <w:szCs w:val="22"/>
              </w:rPr>
            </w:pPr>
            <w:r>
              <w:rPr>
                <w:color w:val="00000A"/>
                <w:sz w:val="22"/>
                <w:szCs w:val="22"/>
              </w:rPr>
            </w:r>
          </w:p>
        </w:tc>
        <w:tc>
          <w:tcPr>
            <w:tcW w:w="2968" w:type="dxa"/>
            <w:vMerge w:val="continue"/>
            <w:tcBorders>
              <w:left w:val="single" w:sz="4" w:space="0" w:color="00000A"/>
              <w:bottom w:val="single" w:sz="4" w:space="0" w:color="00000A"/>
              <w:right w:val="single" w:sz="4" w:space="0" w:color="00000A"/>
            </w:tcBorders>
          </w:tcPr>
          <w:p>
            <w:pPr>
              <w:pStyle w:val="Style22"/>
              <w:widowControl w:val="false"/>
              <w:jc w:val="left"/>
              <w:rPr>
                <w:rFonts w:ascii="Times New Roman" w:hAnsi="Times New Roman"/>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Тип</w:t>
            </w:r>
          </w:p>
        </w:tc>
        <w:tc>
          <w:tcPr>
            <w:tcW w:w="1860" w:type="dxa"/>
            <w:tcBorders>
              <w:left w:val="single" w:sz="4" w:space="0" w:color="00000A"/>
              <w:bottom w:val="single" w:sz="4" w:space="0" w:color="00000A"/>
              <w:right w:val="single" w:sz="4" w:space="0" w:color="00000A"/>
            </w:tcBorders>
          </w:tcPr>
          <w:p>
            <w:pPr>
              <w:pStyle w:val="Normal"/>
              <w:widowControl w:val="false"/>
              <w:rPr>
                <w:rFonts w:eastAsia="Calibri"/>
                <w:color w:val="000000"/>
                <w:sz w:val="22"/>
                <w:szCs w:val="22"/>
              </w:rPr>
            </w:pPr>
            <w:r>
              <w:rPr>
                <w:rFonts w:eastAsia="Calibri"/>
                <w:color w:val="000000"/>
                <w:sz w:val="22"/>
                <w:szCs w:val="22"/>
              </w:rPr>
              <w:t>2</w:t>
            </w:r>
          </w:p>
        </w:tc>
        <w:tc>
          <w:tcPr>
            <w:tcW w:w="1936" w:type="dxa"/>
            <w:tcBorders>
              <w:left w:val="single" w:sz="4" w:space="0" w:color="00000A"/>
              <w:bottom w:val="single" w:sz="4" w:space="0" w:color="00000A"/>
              <w:right w:val="single" w:sz="4" w:space="0" w:color="00000A"/>
            </w:tcBorders>
          </w:tcPr>
          <w:p>
            <w:pPr>
              <w:pStyle w:val="Normal"/>
              <w:widowControl w:val="false"/>
              <w:spacing w:lineRule="auto" w:line="276"/>
              <w:jc w:val="right"/>
              <w:rPr>
                <w:rFonts w:ascii="Calibri" w:hAnsi="Calibri" w:eastAsia="Calibri"/>
                <w:b/>
                <w:b/>
                <w:sz w:val="22"/>
                <w:szCs w:val="22"/>
              </w:rPr>
            </w:pPr>
            <w:r>
              <w:rPr>
                <w:rFonts w:eastAsia="Calibri" w:ascii="Calibri" w:hAnsi="Calibri"/>
                <w:b/>
                <w:sz w:val="22"/>
                <w:szCs w:val="22"/>
              </w:rPr>
            </w:r>
          </w:p>
        </w:tc>
        <w:tc>
          <w:tcPr>
            <w:tcW w:w="2160" w:type="dxa"/>
            <w:vMerge w:val="continue"/>
            <w:tcBorders>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r>
          </w:p>
        </w:tc>
        <w:tc>
          <w:tcPr>
            <w:tcW w:w="1530" w:type="dxa"/>
            <w:vMerge w:val="continue"/>
            <w:tcBorders>
              <w:left w:val="single" w:sz="4" w:space="0" w:color="00000A"/>
              <w:bottom w:val="single" w:sz="4" w:space="0" w:color="00000A"/>
              <w:right w:val="single" w:sz="4" w:space="0" w:color="00000A"/>
            </w:tcBorders>
          </w:tcPr>
          <w:p>
            <w:pPr>
              <w:pStyle w:val="Style22"/>
              <w:widowControl w:val="false"/>
              <w:jc w:val="center"/>
              <w:rPr>
                <w:rFonts w:ascii="Times New Roman" w:hAnsi="Times New Roman"/>
                <w:b w:val="false"/>
                <w:b w:val="false"/>
                <w:bCs w:val="false"/>
                <w:color w:val="000000"/>
                <w:sz w:val="22"/>
                <w:szCs w:val="22"/>
              </w:rPr>
            </w:pPr>
            <w:r>
              <w:rPr>
                <w:b w:val="false"/>
                <w:bCs w:val="false"/>
                <w:color w:val="000000"/>
                <w:sz w:val="22"/>
                <w:szCs w:val="22"/>
              </w:rPr>
            </w:r>
          </w:p>
        </w:tc>
        <w:tc>
          <w:tcPr>
            <w:tcW w:w="735" w:type="dxa"/>
            <w:vMerge w:val="continue"/>
            <w:tcBorders>
              <w:left w:val="single" w:sz="4" w:space="0" w:color="00000A"/>
              <w:bottom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r>
          </w:p>
        </w:tc>
        <w:tc>
          <w:tcPr>
            <w:tcW w:w="1858" w:type="dxa"/>
            <w:vMerge w:val="continue"/>
            <w:tcBorders>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sz w:val="22"/>
                <w:szCs w:val="22"/>
              </w:rPr>
            </w:r>
          </w:p>
        </w:tc>
      </w:tr>
      <w:tr>
        <w:trPr/>
        <w:tc>
          <w:tcPr>
            <w:tcW w:w="496" w:type="dxa"/>
            <w:vMerge w:val="continue"/>
            <w:tcBorders>
              <w:left w:val="single" w:sz="4" w:space="0" w:color="00000A"/>
              <w:bottom w:val="single" w:sz="4" w:space="0" w:color="00000A"/>
            </w:tcBorders>
          </w:tcPr>
          <w:p>
            <w:pPr>
              <w:pStyle w:val="Style22"/>
              <w:widowControl w:val="false"/>
              <w:jc w:val="left"/>
              <w:rPr>
                <w:color w:val="00000A"/>
                <w:sz w:val="22"/>
                <w:szCs w:val="22"/>
              </w:rPr>
            </w:pPr>
            <w:r>
              <w:rPr>
                <w:color w:val="00000A"/>
                <w:sz w:val="22"/>
                <w:szCs w:val="22"/>
              </w:rPr>
            </w:r>
          </w:p>
        </w:tc>
        <w:tc>
          <w:tcPr>
            <w:tcW w:w="2968" w:type="dxa"/>
            <w:vMerge w:val="continue"/>
            <w:tcBorders>
              <w:left w:val="single" w:sz="4" w:space="0" w:color="00000A"/>
              <w:bottom w:val="single" w:sz="4" w:space="0" w:color="00000A"/>
              <w:right w:val="single" w:sz="4" w:space="0" w:color="00000A"/>
            </w:tcBorders>
          </w:tcPr>
          <w:p>
            <w:pPr>
              <w:pStyle w:val="Style22"/>
              <w:widowControl w:val="false"/>
              <w:jc w:val="left"/>
              <w:rPr>
                <w:rFonts w:ascii="Times New Roman" w:hAnsi="Times New Roman"/>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spacing w:lineRule="auto" w:line="276"/>
              <w:rPr>
                <w:rFonts w:eastAsia="Calibri"/>
                <w:bCs/>
                <w:sz w:val="22"/>
                <w:szCs w:val="22"/>
              </w:rPr>
            </w:pPr>
            <w:r>
              <w:rPr>
                <w:rFonts w:eastAsia="Calibri"/>
                <w:bCs/>
                <w:sz w:val="22"/>
                <w:szCs w:val="22"/>
              </w:rPr>
              <w:t>Класс точности</w:t>
            </w:r>
          </w:p>
        </w:tc>
        <w:tc>
          <w:tcPr>
            <w:tcW w:w="1860" w:type="dxa"/>
            <w:tcBorders>
              <w:left w:val="single" w:sz="4" w:space="0" w:color="00000A"/>
              <w:bottom w:val="single" w:sz="4" w:space="0" w:color="00000A"/>
              <w:right w:val="single" w:sz="4" w:space="0" w:color="00000A"/>
            </w:tcBorders>
          </w:tcPr>
          <w:p>
            <w:pPr>
              <w:pStyle w:val="Normal"/>
              <w:widowControl w:val="false"/>
              <w:rPr>
                <w:rFonts w:eastAsia="Calibri"/>
                <w:color w:val="000000"/>
                <w:sz w:val="22"/>
                <w:szCs w:val="22"/>
              </w:rPr>
            </w:pPr>
            <w:r>
              <w:rPr>
                <w:rFonts w:eastAsia="Calibri"/>
                <w:color w:val="000000"/>
                <w:sz w:val="22"/>
                <w:szCs w:val="22"/>
              </w:rPr>
              <w:t>2</w:t>
            </w:r>
          </w:p>
        </w:tc>
        <w:tc>
          <w:tcPr>
            <w:tcW w:w="1936" w:type="dxa"/>
            <w:tcBorders>
              <w:left w:val="single" w:sz="4" w:space="0" w:color="00000A"/>
              <w:bottom w:val="single" w:sz="4" w:space="0" w:color="00000A"/>
              <w:right w:val="single" w:sz="4" w:space="0" w:color="00000A"/>
            </w:tcBorders>
          </w:tcPr>
          <w:p>
            <w:pPr>
              <w:pStyle w:val="Normal"/>
              <w:widowControl w:val="false"/>
              <w:spacing w:lineRule="auto" w:line="276"/>
              <w:jc w:val="right"/>
              <w:rPr>
                <w:rFonts w:ascii="Calibri" w:hAnsi="Calibri" w:eastAsia="Calibri"/>
                <w:b/>
                <w:b/>
                <w:sz w:val="22"/>
                <w:szCs w:val="22"/>
              </w:rPr>
            </w:pPr>
            <w:r>
              <w:rPr>
                <w:rFonts w:eastAsia="Calibri" w:ascii="Calibri" w:hAnsi="Calibri"/>
                <w:b/>
                <w:sz w:val="22"/>
                <w:szCs w:val="22"/>
              </w:rPr>
            </w:r>
          </w:p>
        </w:tc>
        <w:tc>
          <w:tcPr>
            <w:tcW w:w="2160" w:type="dxa"/>
            <w:vMerge w:val="continue"/>
            <w:tcBorders>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r>
          </w:p>
        </w:tc>
        <w:tc>
          <w:tcPr>
            <w:tcW w:w="1530" w:type="dxa"/>
            <w:vMerge w:val="continue"/>
            <w:tcBorders>
              <w:left w:val="single" w:sz="4" w:space="0" w:color="00000A"/>
              <w:bottom w:val="single" w:sz="4" w:space="0" w:color="00000A"/>
              <w:right w:val="single" w:sz="4" w:space="0" w:color="00000A"/>
            </w:tcBorders>
          </w:tcPr>
          <w:p>
            <w:pPr>
              <w:pStyle w:val="Style22"/>
              <w:widowControl w:val="false"/>
              <w:jc w:val="center"/>
              <w:rPr>
                <w:rFonts w:ascii="Times New Roman" w:hAnsi="Times New Roman"/>
                <w:b w:val="false"/>
                <w:b w:val="false"/>
                <w:bCs w:val="false"/>
                <w:color w:val="000000"/>
                <w:sz w:val="22"/>
                <w:szCs w:val="22"/>
              </w:rPr>
            </w:pPr>
            <w:r>
              <w:rPr>
                <w:b w:val="false"/>
                <w:bCs w:val="false"/>
                <w:color w:val="000000"/>
                <w:sz w:val="22"/>
                <w:szCs w:val="22"/>
              </w:rPr>
            </w:r>
          </w:p>
        </w:tc>
        <w:tc>
          <w:tcPr>
            <w:tcW w:w="735" w:type="dxa"/>
            <w:vMerge w:val="continue"/>
            <w:tcBorders>
              <w:left w:val="single" w:sz="4" w:space="0" w:color="00000A"/>
              <w:bottom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r>
          </w:p>
        </w:tc>
        <w:tc>
          <w:tcPr>
            <w:tcW w:w="1858" w:type="dxa"/>
            <w:vMerge w:val="continue"/>
            <w:tcBorders>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sz w:val="22"/>
                <w:szCs w:val="22"/>
              </w:rPr>
            </w:r>
          </w:p>
        </w:tc>
      </w:tr>
      <w:tr>
        <w:trPr/>
        <w:tc>
          <w:tcPr>
            <w:tcW w:w="496" w:type="dxa"/>
            <w:vMerge w:val="continue"/>
            <w:tcBorders>
              <w:left w:val="single" w:sz="4" w:space="0" w:color="00000A"/>
              <w:bottom w:val="single" w:sz="4" w:space="0" w:color="00000A"/>
            </w:tcBorders>
          </w:tcPr>
          <w:p>
            <w:pPr>
              <w:pStyle w:val="Style22"/>
              <w:widowControl w:val="false"/>
              <w:jc w:val="left"/>
              <w:rPr>
                <w:color w:val="00000A"/>
                <w:sz w:val="22"/>
                <w:szCs w:val="22"/>
              </w:rPr>
            </w:pPr>
            <w:r>
              <w:rPr>
                <w:color w:val="00000A"/>
                <w:sz w:val="22"/>
                <w:szCs w:val="22"/>
              </w:rPr>
            </w:r>
          </w:p>
        </w:tc>
        <w:tc>
          <w:tcPr>
            <w:tcW w:w="2968" w:type="dxa"/>
            <w:vMerge w:val="continue"/>
            <w:tcBorders>
              <w:left w:val="single" w:sz="4" w:space="0" w:color="00000A"/>
              <w:bottom w:val="single" w:sz="4" w:space="0" w:color="00000A"/>
              <w:right w:val="single" w:sz="4" w:space="0" w:color="00000A"/>
            </w:tcBorders>
          </w:tcPr>
          <w:p>
            <w:pPr>
              <w:pStyle w:val="Style22"/>
              <w:widowControl w:val="false"/>
              <w:jc w:val="left"/>
              <w:rPr>
                <w:rFonts w:ascii="Times New Roman" w:hAnsi="Times New Roman"/>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spacing w:lineRule="auto" w:line="276"/>
              <w:rPr>
                <w:sz w:val="22"/>
                <w:szCs w:val="22"/>
              </w:rPr>
            </w:pPr>
            <w:r>
              <w:rPr>
                <w:rFonts w:eastAsia="Calibri"/>
                <w:bCs/>
                <w:sz w:val="22"/>
                <w:szCs w:val="22"/>
              </w:rPr>
              <w:t xml:space="preserve">Исполнение </w:t>
            </w:r>
          </w:p>
        </w:tc>
        <w:tc>
          <w:tcPr>
            <w:tcW w:w="1860"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1</w:t>
            </w:r>
          </w:p>
        </w:tc>
        <w:tc>
          <w:tcPr>
            <w:tcW w:w="1936" w:type="dxa"/>
            <w:tcBorders>
              <w:left w:val="single" w:sz="4" w:space="0" w:color="00000A"/>
              <w:bottom w:val="single" w:sz="4" w:space="0" w:color="00000A"/>
              <w:right w:val="single" w:sz="4" w:space="0" w:color="00000A"/>
            </w:tcBorders>
          </w:tcPr>
          <w:p>
            <w:pPr>
              <w:pStyle w:val="Normal"/>
              <w:widowControl w:val="false"/>
              <w:spacing w:lineRule="auto" w:line="276"/>
              <w:jc w:val="right"/>
              <w:rPr>
                <w:rFonts w:ascii="Calibri" w:hAnsi="Calibri" w:eastAsia="Calibri"/>
                <w:b/>
                <w:b/>
                <w:sz w:val="22"/>
                <w:szCs w:val="22"/>
              </w:rPr>
            </w:pPr>
            <w:r>
              <w:rPr>
                <w:rFonts w:eastAsia="Calibri" w:ascii="Calibri" w:hAnsi="Calibri"/>
                <w:b/>
                <w:sz w:val="22"/>
                <w:szCs w:val="22"/>
              </w:rPr>
            </w:r>
          </w:p>
        </w:tc>
        <w:tc>
          <w:tcPr>
            <w:tcW w:w="2160" w:type="dxa"/>
            <w:vMerge w:val="continue"/>
            <w:tcBorders>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r>
          </w:p>
        </w:tc>
        <w:tc>
          <w:tcPr>
            <w:tcW w:w="1530" w:type="dxa"/>
            <w:vMerge w:val="continue"/>
            <w:tcBorders>
              <w:left w:val="single" w:sz="4" w:space="0" w:color="00000A"/>
              <w:bottom w:val="single" w:sz="4" w:space="0" w:color="00000A"/>
              <w:right w:val="single" w:sz="4" w:space="0" w:color="00000A"/>
            </w:tcBorders>
          </w:tcPr>
          <w:p>
            <w:pPr>
              <w:pStyle w:val="Style22"/>
              <w:widowControl w:val="false"/>
              <w:jc w:val="center"/>
              <w:rPr>
                <w:rFonts w:ascii="Times New Roman" w:hAnsi="Times New Roman"/>
                <w:b w:val="false"/>
                <w:b w:val="false"/>
                <w:bCs w:val="false"/>
                <w:color w:val="000000"/>
                <w:sz w:val="22"/>
                <w:szCs w:val="22"/>
              </w:rPr>
            </w:pPr>
            <w:r>
              <w:rPr>
                <w:b w:val="false"/>
                <w:bCs w:val="false"/>
                <w:color w:val="000000"/>
                <w:sz w:val="22"/>
                <w:szCs w:val="22"/>
              </w:rPr>
            </w:r>
          </w:p>
        </w:tc>
        <w:tc>
          <w:tcPr>
            <w:tcW w:w="735" w:type="dxa"/>
            <w:vMerge w:val="continue"/>
            <w:tcBorders>
              <w:left w:val="single" w:sz="4" w:space="0" w:color="00000A"/>
              <w:bottom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r>
          </w:p>
        </w:tc>
        <w:tc>
          <w:tcPr>
            <w:tcW w:w="1858" w:type="dxa"/>
            <w:vMerge w:val="continue"/>
            <w:tcBorders>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sz w:val="22"/>
                <w:szCs w:val="22"/>
              </w:rPr>
            </w:r>
          </w:p>
        </w:tc>
      </w:tr>
    </w:tbl>
    <w:p>
      <w:pPr>
        <w:pStyle w:val="Normal"/>
        <w:suppressAutoHyphens w:val="true"/>
        <w:spacing w:lineRule="auto" w:line="240" w:before="0" w:after="0"/>
        <w:ind w:left="0" w:right="0" w:firstLine="708"/>
        <w:contextualSpacing/>
        <w:jc w:val="both"/>
        <w:rPr/>
      </w:pPr>
      <w:r>
        <w:rPr>
          <w:rFonts w:eastAsia="Calibri"/>
          <w:b/>
          <w:shd w:fill="FFFFFF" w:val="clear"/>
          <w:lang w:eastAsia="zh-CN"/>
        </w:rPr>
        <w:t xml:space="preserve">2. </w:t>
        <w:tab/>
        <w:t>Место поставки товара:</w:t>
      </w:r>
      <w:r>
        <w:rPr>
          <w:rFonts w:eastAsia="Calibri"/>
          <w:shd w:fill="FFFFFF" w:val="clear"/>
          <w:lang w:eastAsia="zh-CN"/>
        </w:rPr>
        <w:t xml:space="preserve"> Российская Федерация, ул. Дудинская, 4, г. Красноярск</w:t>
      </w:r>
    </w:p>
    <w:p>
      <w:pPr>
        <w:pStyle w:val="Normal"/>
        <w:shd w:val="clear" w:fill="FFFFFF"/>
        <w:suppressAutoHyphens w:val="true"/>
        <w:spacing w:lineRule="auto" w:line="240" w:before="0" w:after="0"/>
        <w:ind w:left="0" w:right="0" w:firstLine="708"/>
        <w:contextualSpacing/>
        <w:jc w:val="both"/>
        <w:rPr/>
      </w:pPr>
      <w:r>
        <w:rPr>
          <w:rFonts w:eastAsia="Calibri"/>
          <w:b/>
          <w:shd w:fill="FFFFFF" w:val="clear"/>
          <w:lang w:eastAsia="zh-CN"/>
        </w:rPr>
        <w:t xml:space="preserve">3. </w:t>
        <w:tab/>
        <w:t>Срок поставки товара :</w:t>
      </w:r>
      <w:r>
        <w:rPr>
          <w:rFonts w:eastAsia="Calibri"/>
          <w:shd w:fill="FFFFFF" w:val="clear"/>
          <w:lang w:eastAsia="zh-CN"/>
        </w:rPr>
        <w:t xml:space="preserve"> </w:t>
      </w:r>
      <w:r>
        <w:rPr>
          <w:rFonts w:eastAsia="Calibri"/>
          <w:bCs/>
          <w:iCs/>
          <w:shd w:fill="FFFFFF" w:val="clear"/>
          <w:lang w:eastAsia="zh-CN"/>
        </w:rPr>
        <w:t xml:space="preserve">со дня заключения контракта до 31 октября 2026 года включительно. </w:t>
      </w:r>
    </w:p>
    <w:p>
      <w:pPr>
        <w:pStyle w:val="Normal"/>
        <w:widowControl w:val="false"/>
        <w:suppressLineNumbers/>
        <w:tabs>
          <w:tab w:val="clear" w:pos="708"/>
          <w:tab w:val="left" w:pos="426" w:leader="none"/>
          <w:tab w:val="left" w:pos="1134" w:leader="none"/>
        </w:tabs>
        <w:spacing w:lineRule="auto" w:line="240" w:before="0" w:after="0"/>
        <w:ind w:left="0" w:right="0" w:firstLine="709"/>
        <w:contextualSpacing/>
        <w:rPr>
          <w:sz w:val="24"/>
          <w:szCs w:val="24"/>
        </w:rPr>
      </w:pPr>
      <w:r>
        <w:rPr>
          <w:b/>
          <w:color w:val="000000"/>
          <w:sz w:val="24"/>
          <w:szCs w:val="24"/>
        </w:rPr>
        <w:t>4.         Условия поставки Товара.</w:t>
      </w:r>
    </w:p>
    <w:p>
      <w:pPr>
        <w:pStyle w:val="Normal"/>
        <w:widowControl w:val="false"/>
        <w:suppressLineNumbers/>
        <w:tabs>
          <w:tab w:val="clear" w:pos="708"/>
          <w:tab w:val="left" w:pos="426" w:leader="none"/>
          <w:tab w:val="left" w:pos="1134" w:leader="none"/>
        </w:tabs>
        <w:ind w:left="0" w:right="0" w:firstLine="709"/>
        <w:rPr>
          <w:sz w:val="24"/>
          <w:szCs w:val="24"/>
        </w:rPr>
      </w:pPr>
      <w:r>
        <w:rPr>
          <w:sz w:val="24"/>
          <w:szCs w:val="24"/>
        </w:rPr>
        <w:t xml:space="preserve">4.1 Поставщик осуществляет поставку  за счет собственных средств, с учетом расходов на перевозку, страхование, уплату таможенных пошлин, налогов, сборов и других обязательных платежей, предусмотренных законодательством РФ, доставку, а </w:t>
      </w:r>
      <w:r>
        <w:rPr>
          <w:sz w:val="24"/>
          <w:szCs w:val="24"/>
          <w:shd w:fill="FFFFFF" w:val="clear"/>
        </w:rPr>
        <w:t>также</w:t>
      </w:r>
      <w:r>
        <w:rPr>
          <w:sz w:val="24"/>
          <w:szCs w:val="24"/>
        </w:rPr>
        <w:t xml:space="preserve"> иных расходов, которые могут возникнуть у Поставщика при исполнении контракта</w:t>
      </w:r>
      <w:r>
        <w:rPr>
          <w:bCs/>
          <w:color w:val="000000"/>
          <w:sz w:val="24"/>
          <w:szCs w:val="24"/>
        </w:rPr>
        <w:t>.</w:t>
      </w:r>
    </w:p>
    <w:p>
      <w:pPr>
        <w:pStyle w:val="Normal"/>
        <w:widowControl w:val="false"/>
        <w:suppressLineNumbers/>
        <w:tabs>
          <w:tab w:val="clear" w:pos="708"/>
          <w:tab w:val="left" w:pos="426" w:leader="none"/>
          <w:tab w:val="left" w:pos="1134" w:leader="none"/>
        </w:tabs>
        <w:ind w:left="0" w:right="0" w:firstLine="709"/>
        <w:rPr>
          <w:sz w:val="24"/>
          <w:szCs w:val="24"/>
        </w:rPr>
      </w:pPr>
      <w:r>
        <w:rPr>
          <w:bCs/>
          <w:color w:val="000000"/>
          <w:sz w:val="24"/>
          <w:szCs w:val="24"/>
        </w:rPr>
        <w:t>4.2</w:t>
        <w:tab/>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pPr>
        <w:pStyle w:val="Normal"/>
        <w:widowControl w:val="false"/>
        <w:suppressLineNumbers/>
        <w:tabs>
          <w:tab w:val="clear" w:pos="708"/>
          <w:tab w:val="left" w:pos="426" w:leader="none"/>
          <w:tab w:val="left" w:pos="1134" w:leader="none"/>
        </w:tabs>
        <w:ind w:left="0" w:right="0" w:firstLine="709"/>
        <w:rPr>
          <w:sz w:val="24"/>
          <w:szCs w:val="24"/>
        </w:rPr>
      </w:pPr>
      <w:r>
        <w:rPr>
          <w:b/>
          <w:bCs/>
          <w:color w:val="000000"/>
          <w:sz w:val="24"/>
          <w:szCs w:val="24"/>
        </w:rPr>
        <w:t xml:space="preserve">5.         </w:t>
      </w:r>
      <w:r>
        <w:rPr>
          <w:b/>
          <w:color w:val="000000"/>
          <w:sz w:val="24"/>
          <w:szCs w:val="24"/>
        </w:rPr>
        <w:t>Требования к качеству Товара.</w:t>
      </w:r>
    </w:p>
    <w:p>
      <w:pPr>
        <w:pStyle w:val="Normal"/>
        <w:widowControl w:val="false"/>
        <w:suppressLineNumbers/>
        <w:tabs>
          <w:tab w:val="clear" w:pos="708"/>
          <w:tab w:val="left" w:pos="426" w:leader="none"/>
          <w:tab w:val="left" w:pos="1134" w:leader="none"/>
        </w:tabs>
        <w:ind w:left="0" w:right="0" w:firstLine="709"/>
        <w:rPr>
          <w:sz w:val="24"/>
          <w:szCs w:val="24"/>
        </w:rPr>
      </w:pPr>
      <w:r>
        <w:rPr>
          <w:rFonts w:cs="Times New Roman"/>
          <w:sz w:val="24"/>
          <w:szCs w:val="24"/>
        </w:rPr>
        <w:t>5.1.</w:t>
        <w:tab/>
        <w:t>Товар должен быть новым, не бывшем в употреблении, не восстановленным.</w:t>
      </w:r>
    </w:p>
    <w:p>
      <w:pPr>
        <w:pStyle w:val="Normal"/>
        <w:widowControl w:val="false"/>
        <w:suppressLineNumbers/>
        <w:tabs>
          <w:tab w:val="clear" w:pos="708"/>
          <w:tab w:val="left" w:pos="426" w:leader="none"/>
          <w:tab w:val="left" w:pos="1134" w:leader="none"/>
        </w:tabs>
        <w:ind w:left="0" w:right="0" w:firstLine="709"/>
        <w:rPr>
          <w:sz w:val="24"/>
          <w:szCs w:val="24"/>
        </w:rPr>
      </w:pPr>
      <w:r>
        <w:rPr>
          <w:rFonts w:cs="Times New Roman"/>
          <w:sz w:val="24"/>
          <w:szCs w:val="24"/>
        </w:rPr>
        <w:t>5.2.</w:t>
        <w:tab/>
        <w:t>Поставщик гарантирует, что поставляемый Товар соответствует требованиям, установленным Контрактом.</w:t>
      </w:r>
    </w:p>
    <w:p>
      <w:pPr>
        <w:pStyle w:val="Normal"/>
        <w:widowControl w:val="false"/>
        <w:suppressLineNumbers/>
        <w:tabs>
          <w:tab w:val="clear" w:pos="708"/>
          <w:tab w:val="left" w:pos="426" w:leader="none"/>
          <w:tab w:val="left" w:pos="1134" w:leader="none"/>
        </w:tabs>
        <w:ind w:left="0" w:right="0" w:firstLine="709"/>
        <w:rPr>
          <w:sz w:val="24"/>
          <w:szCs w:val="24"/>
        </w:rPr>
      </w:pPr>
      <w:r>
        <w:rPr>
          <w:rFonts w:cs="Times New Roman"/>
          <w:sz w:val="24"/>
          <w:szCs w:val="24"/>
        </w:rPr>
        <w:t>5.3.</w:t>
        <w:tab/>
        <w:t>Поставляемый Товар должен соответствовать действующим в Российской Федерации техническим регламентам, санитарным и фитосанитарным нормам.</w:t>
      </w:r>
    </w:p>
    <w:p>
      <w:pPr>
        <w:pStyle w:val="Normal"/>
        <w:widowControl w:val="false"/>
        <w:suppressLineNumbers/>
        <w:tabs>
          <w:tab w:val="clear" w:pos="708"/>
          <w:tab w:val="left" w:pos="426" w:leader="none"/>
          <w:tab w:val="left" w:pos="1134" w:leader="none"/>
        </w:tabs>
        <w:ind w:left="0" w:right="0" w:firstLine="709"/>
        <w:rPr>
          <w:sz w:val="24"/>
          <w:szCs w:val="24"/>
        </w:rPr>
      </w:pPr>
      <w:r>
        <w:rPr>
          <w:rFonts w:cs="Times New Roman"/>
          <w:sz w:val="24"/>
          <w:szCs w:val="24"/>
        </w:rPr>
        <w:t>5.4. Товар должен поставляться со всеми относящимися к нему документами (паспортом и т.п.).</w:t>
      </w:r>
    </w:p>
    <w:p>
      <w:pPr>
        <w:pStyle w:val="Normal"/>
        <w:widowControl w:val="false"/>
        <w:suppressLineNumbers/>
        <w:tabs>
          <w:tab w:val="clear" w:pos="708"/>
          <w:tab w:val="left" w:pos="426" w:leader="none"/>
          <w:tab w:val="left" w:pos="1134" w:leader="none"/>
        </w:tabs>
        <w:ind w:left="0" w:right="0" w:firstLine="709"/>
        <w:rPr>
          <w:sz w:val="24"/>
          <w:szCs w:val="24"/>
        </w:rPr>
      </w:pPr>
      <w:r>
        <w:rPr>
          <w:rFonts w:cs="Times New Roman"/>
          <w:sz w:val="24"/>
          <w:szCs w:val="24"/>
        </w:rPr>
        <w:t>5.5.</w:t>
        <w:tab/>
        <w:t>Товар должен соответствовать требованиям, предусмотренным ст. 469 Гражданского кодекса Российской Федерации в момент передачи Заказчику.</w:t>
      </w:r>
    </w:p>
    <w:p>
      <w:pPr>
        <w:pStyle w:val="Normal"/>
        <w:widowControl w:val="false"/>
        <w:suppressLineNumbers/>
        <w:tabs>
          <w:tab w:val="clear" w:pos="708"/>
          <w:tab w:val="left" w:pos="426" w:leader="none"/>
          <w:tab w:val="left" w:pos="1134" w:leader="none"/>
        </w:tabs>
        <w:ind w:left="0" w:right="0" w:firstLine="709"/>
        <w:rPr>
          <w:sz w:val="24"/>
          <w:szCs w:val="24"/>
        </w:rPr>
      </w:pPr>
      <w:r>
        <w:rPr>
          <w:rFonts w:cs="Times New Roman"/>
          <w:sz w:val="24"/>
          <w:szCs w:val="24"/>
        </w:rPr>
        <w:t>5.6. Если в течение срока в соответствии со ст. 477 Гражданского кодекса Российской Федерации Товар окажется дефектным или не будет соответствовать условиям договора, что должно быть подтверждено актом, составленным Заказчиком, то Заказчик вправе предъявить Поставщику требования, предусмотренные ст. 475 ГК РФ.</w:t>
      </w:r>
    </w:p>
    <w:p>
      <w:pPr>
        <w:pStyle w:val="Normal"/>
        <w:widowControl w:val="false"/>
        <w:suppressLineNumbers/>
        <w:tabs>
          <w:tab w:val="clear" w:pos="708"/>
          <w:tab w:val="left" w:pos="426" w:leader="none"/>
          <w:tab w:val="left" w:pos="1134" w:leader="none"/>
        </w:tabs>
        <w:ind w:left="0" w:right="0" w:firstLine="709"/>
        <w:rPr>
          <w:sz w:val="24"/>
          <w:szCs w:val="24"/>
        </w:rPr>
      </w:pPr>
      <w:r>
        <w:rPr>
          <w:rFonts w:cs="Times New Roman"/>
          <w:sz w:val="24"/>
          <w:szCs w:val="24"/>
        </w:rPr>
        <w:t>5.7. Дефектный Товар возвращается Поставщику за его счет после поставки нового Товара.</w:t>
      </w:r>
    </w:p>
    <w:p>
      <w:pPr>
        <w:pStyle w:val="Normal"/>
        <w:widowControl w:val="false"/>
        <w:suppressLineNumbers/>
        <w:tabs>
          <w:tab w:val="clear" w:pos="708"/>
          <w:tab w:val="left" w:pos="426" w:leader="none"/>
          <w:tab w:val="left" w:pos="1134" w:leader="none"/>
        </w:tabs>
        <w:ind w:left="0" w:right="0" w:firstLine="709"/>
        <w:rPr>
          <w:sz w:val="24"/>
          <w:szCs w:val="24"/>
        </w:rPr>
      </w:pPr>
      <w:r>
        <w:rPr>
          <w:sz w:val="24"/>
          <w:szCs w:val="24"/>
        </w:rPr>
        <w:t xml:space="preserve">5.8. Мерная посуда должна иметь идентификационный номер, поверена, сведения о поверке должны быть внесены в  </w:t>
      </w:r>
      <w:r>
        <w:rPr>
          <w:rFonts w:eastAsia="Calibri"/>
          <w:sz w:val="24"/>
          <w:szCs w:val="24"/>
          <w:shd w:fill="FFFFFF" w:val="clear"/>
        </w:rPr>
        <w:t>Федеральный информационный фонд по обеспечению единства измерений.</w:t>
      </w:r>
    </w:p>
    <w:p>
      <w:pPr>
        <w:pStyle w:val="Normal"/>
        <w:widowControl w:val="false"/>
        <w:suppressLineNumbers/>
        <w:tabs>
          <w:tab w:val="clear" w:pos="708"/>
          <w:tab w:val="left" w:pos="426" w:leader="none"/>
          <w:tab w:val="left" w:pos="1134" w:leader="none"/>
        </w:tabs>
        <w:ind w:left="0" w:right="0" w:firstLine="709"/>
        <w:rPr>
          <w:sz w:val="24"/>
          <w:szCs w:val="24"/>
        </w:rPr>
      </w:pPr>
      <w:r>
        <w:rPr>
          <w:rFonts w:cs="Times New Roman"/>
          <w:b/>
          <w:bCs/>
          <w:sz w:val="24"/>
          <w:szCs w:val="24"/>
        </w:rPr>
        <w:t>6.          Упаковка и маркировка товара:</w:t>
      </w:r>
    </w:p>
    <w:p>
      <w:pPr>
        <w:pStyle w:val="Normal"/>
        <w:widowControl w:val="false"/>
        <w:suppressLineNumbers/>
        <w:tabs>
          <w:tab w:val="clear" w:pos="708"/>
          <w:tab w:val="left" w:pos="426" w:leader="none"/>
          <w:tab w:val="left" w:pos="1134" w:leader="none"/>
        </w:tabs>
        <w:ind w:left="0" w:right="0" w:firstLine="709"/>
        <w:rPr>
          <w:sz w:val="24"/>
          <w:szCs w:val="24"/>
        </w:rPr>
      </w:pPr>
      <w:r>
        <w:rPr>
          <w:rFonts w:cs="Times New Roman"/>
          <w:b w:val="false"/>
          <w:bCs w:val="false"/>
          <w:sz w:val="24"/>
          <w:szCs w:val="24"/>
        </w:rPr>
        <w:t xml:space="preserve">6.1. </w:t>
      </w:r>
      <w:r>
        <w:rPr>
          <w:rFonts w:cs="Times New Roman"/>
          <w:sz w:val="24"/>
          <w:szCs w:val="24"/>
        </w:rPr>
        <w:t>Упаковка должна предохранять Товар от всякого рода повреждений, утраты товарного вида при его транспортировке с учетом возможных перегрузок в пути и длительного хранения.</w:t>
      </w:r>
    </w:p>
    <w:p>
      <w:pPr>
        <w:pStyle w:val="Normal"/>
        <w:widowControl w:val="false"/>
        <w:suppressLineNumbers/>
        <w:tabs>
          <w:tab w:val="clear" w:pos="708"/>
          <w:tab w:val="left" w:pos="426" w:leader="none"/>
          <w:tab w:val="left" w:pos="1134" w:leader="none"/>
        </w:tabs>
        <w:ind w:left="0" w:right="0" w:firstLine="709"/>
        <w:rPr>
          <w:sz w:val="24"/>
          <w:szCs w:val="24"/>
        </w:rPr>
      </w:pPr>
      <w:r>
        <w:rPr>
          <w:rFonts w:cs="Times New Roman"/>
          <w:sz w:val="24"/>
          <w:szCs w:val="24"/>
        </w:rPr>
        <w:t>6.2.</w:t>
        <w:tab/>
        <w:t>Поставляемый Товар должен быть упакован и замаркирован в соответствии с действующими стандартами и техническими условиями. Маркировка должна быть легко читаемой.</w:t>
      </w:r>
    </w:p>
    <w:p>
      <w:pPr>
        <w:pStyle w:val="Normal"/>
        <w:widowControl w:val="false"/>
        <w:suppressLineNumbers/>
        <w:tabs>
          <w:tab w:val="clear" w:pos="708"/>
          <w:tab w:val="left" w:pos="426" w:leader="none"/>
          <w:tab w:val="left" w:pos="1134" w:leader="none"/>
        </w:tabs>
        <w:ind w:left="0" w:right="0" w:firstLine="709"/>
        <w:rPr>
          <w:sz w:val="24"/>
          <w:szCs w:val="24"/>
        </w:rPr>
      </w:pPr>
      <w:r>
        <w:rPr>
          <w:rFonts w:eastAsia="Calibri" w:cs="Times New Roman"/>
          <w:color w:val="000000"/>
          <w:sz w:val="24"/>
          <w:szCs w:val="24"/>
          <w:shd w:fill="FFFFFF" w:val="clear"/>
          <w:lang w:val="ru-RU"/>
        </w:rPr>
        <w:t>6.3.</w:t>
        <w:tab/>
        <w:t xml:space="preserve">Товар, получивший при загрузке (разгрузке) и транспортировке повреждения (затрудняющие его использование по прямому назначению сразу по окончанию приемки), вследствие использования Поставщиком ненадлежащей упаковки и (или) маркировки, считается недопоставленным. </w:t>
      </w:r>
    </w:p>
    <w:p>
      <w:pPr>
        <w:pStyle w:val="ListParagraph"/>
        <w:widowControl w:val="false"/>
        <w:suppressAutoHyphens w:val="true"/>
        <w:spacing w:before="120" w:after="160"/>
        <w:ind w:left="0" w:right="0" w:firstLine="708"/>
        <w:contextualSpacing/>
        <w:jc w:val="both"/>
        <w:rPr>
          <w:rFonts w:eastAsia="Calibri"/>
          <w:sz w:val="24"/>
          <w:szCs w:val="24"/>
          <w:shd w:fill="FFFFFF" w:val="clear"/>
        </w:rPr>
      </w:pPr>
      <w:r>
        <w:rPr>
          <w:rFonts w:eastAsia="Calibri"/>
          <w:sz w:val="24"/>
          <w:szCs w:val="24"/>
          <w:shd w:fill="FFFFFF" w:val="clear"/>
        </w:rPr>
        <w:t xml:space="preserve"> </w:t>
      </w:r>
    </w:p>
    <w:sectPr>
      <w:type w:val="nextPage"/>
      <w:pgSz w:orient="landscape" w:w="16838" w:h="11906"/>
      <w:pgMar w:left="567" w:right="567" w:gutter="0" w:header="0" w:top="1106" w:footer="0" w:bottom="59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040" w:hanging="360"/>
      </w:pPr>
      <w:rPr>
        <w:b/>
      </w:rPr>
    </w:lvl>
    <w:lvl w:ilvl="1">
      <w:start w:val="1"/>
      <w:numFmt w:val="lowerLetter"/>
      <w:lvlText w:val="%2."/>
      <w:lvlJc w:val="left"/>
      <w:pPr>
        <w:tabs>
          <w:tab w:val="num" w:pos="0"/>
        </w:tabs>
        <w:ind w:left="1760" w:hanging="360"/>
      </w:pPr>
      <w:rPr/>
    </w:lvl>
    <w:lvl w:ilvl="2">
      <w:start w:val="1"/>
      <w:numFmt w:val="lowerRoman"/>
      <w:lvlText w:val="%3."/>
      <w:lvlJc w:val="right"/>
      <w:pPr>
        <w:tabs>
          <w:tab w:val="num" w:pos="0"/>
        </w:tabs>
        <w:ind w:left="2480" w:hanging="180"/>
      </w:pPr>
      <w:rPr/>
    </w:lvl>
    <w:lvl w:ilvl="3">
      <w:start w:val="1"/>
      <w:numFmt w:val="decimal"/>
      <w:lvlText w:val="%4."/>
      <w:lvlJc w:val="left"/>
      <w:pPr>
        <w:tabs>
          <w:tab w:val="num" w:pos="0"/>
        </w:tabs>
        <w:ind w:left="3200" w:hanging="360"/>
      </w:pPr>
      <w:rPr/>
    </w:lvl>
    <w:lvl w:ilvl="4">
      <w:start w:val="1"/>
      <w:numFmt w:val="lowerLetter"/>
      <w:lvlText w:val="%5."/>
      <w:lvlJc w:val="left"/>
      <w:pPr>
        <w:tabs>
          <w:tab w:val="num" w:pos="0"/>
        </w:tabs>
        <w:ind w:left="3920" w:hanging="360"/>
      </w:pPr>
      <w:rPr/>
    </w:lvl>
    <w:lvl w:ilvl="5">
      <w:start w:val="1"/>
      <w:numFmt w:val="lowerRoman"/>
      <w:lvlText w:val="%6."/>
      <w:lvlJc w:val="right"/>
      <w:pPr>
        <w:tabs>
          <w:tab w:val="num" w:pos="0"/>
        </w:tabs>
        <w:ind w:left="4640" w:hanging="180"/>
      </w:pPr>
      <w:rPr/>
    </w:lvl>
    <w:lvl w:ilvl="6">
      <w:start w:val="1"/>
      <w:numFmt w:val="decimal"/>
      <w:lvlText w:val="%7."/>
      <w:lvlJc w:val="left"/>
      <w:pPr>
        <w:tabs>
          <w:tab w:val="num" w:pos="0"/>
        </w:tabs>
        <w:ind w:left="5360" w:hanging="360"/>
      </w:pPr>
      <w:rPr/>
    </w:lvl>
    <w:lvl w:ilvl="7">
      <w:start w:val="1"/>
      <w:numFmt w:val="lowerLetter"/>
      <w:lvlText w:val="%8."/>
      <w:lvlJc w:val="left"/>
      <w:pPr>
        <w:tabs>
          <w:tab w:val="num" w:pos="0"/>
        </w:tabs>
        <w:ind w:left="6080" w:hanging="360"/>
      </w:pPr>
      <w:rPr/>
    </w:lvl>
    <w:lvl w:ilvl="8">
      <w:start w:val="1"/>
      <w:numFmt w:val="lowerRoman"/>
      <w:lvlText w:val="%9."/>
      <w:lvlJc w:val="right"/>
      <w:pPr>
        <w:tabs>
          <w:tab w:val="num" w:pos="0"/>
        </w:tabs>
        <w:ind w:left="680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DejaVu Sans"/>
        <w:szCs w:val="22"/>
        <w:lang w:val="ru-RU"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40" w:before="0" w:after="0"/>
      <w:jc w:val="left"/>
    </w:pPr>
    <w:rPr>
      <w:rFonts w:ascii="Times New Roman" w:hAnsi="Times New Roman" w:eastAsia="Times New Roman" w:cs="Times New Roman"/>
      <w:color w:val="00000A"/>
      <w:kern w:val="0"/>
      <w:sz w:val="24"/>
      <w:szCs w:val="24"/>
      <w:lang w:val="ru-RU" w:eastAsia="ru-RU" w:bidi="ar-SA"/>
    </w:rPr>
  </w:style>
  <w:style w:type="paragraph" w:styleId="1">
    <w:name w:val="Heading 1"/>
    <w:basedOn w:val="Normal"/>
    <w:qFormat/>
    <w:pPr>
      <w:keepNext w:val="true"/>
      <w:numPr>
        <w:ilvl w:val="0"/>
        <w:numId w:val="0"/>
      </w:numPr>
      <w:spacing w:before="240" w:after="60"/>
      <w:outlineLvl w:val="0"/>
    </w:pPr>
    <w:rPr>
      <w:rFonts w:ascii="Arial" w:hAnsi="Arial"/>
      <w:b/>
      <w:bCs/>
      <w:sz w:val="32"/>
      <w:szCs w:val="32"/>
    </w:rPr>
  </w:style>
  <w:style w:type="paragraph" w:styleId="2">
    <w:name w:val="Heading 2"/>
    <w:basedOn w:val="Normal"/>
    <w:qFormat/>
    <w:pPr>
      <w:keepNext w:val="true"/>
      <w:keepLines/>
      <w:numPr>
        <w:ilvl w:val="0"/>
        <w:numId w:val="0"/>
      </w:numPr>
      <w:spacing w:before="40" w:after="0"/>
      <w:outlineLvl w:val="1"/>
    </w:pPr>
    <w:rPr>
      <w:rFonts w:ascii="Cambria" w:hAnsi="Cambria" w:eastAsia="Calibri" w:cs="DejaVu Sans"/>
      <w:color w:val="365F91"/>
      <w:sz w:val="26"/>
      <w:szCs w:val="26"/>
    </w:rPr>
  </w:style>
  <w:style w:type="character" w:styleId="DefaultParagraphFont">
    <w:name w:val="Default Paragraph Font"/>
    <w:qFormat/>
    <w:rPr/>
  </w:style>
  <w:style w:type="character" w:styleId="Style12">
    <w:name w:val="Основной текст с отступом Знак"/>
    <w:basedOn w:val="DefaultParagraphFont"/>
    <w:qFormat/>
    <w:rPr>
      <w:rFonts w:ascii="Times New Roman" w:hAnsi="Times New Roman" w:eastAsia="Times New Roman" w:cs="Times New Roman"/>
      <w:sz w:val="24"/>
      <w:szCs w:val="24"/>
      <w:lang w:eastAsia="ru-RU"/>
    </w:rPr>
  </w:style>
  <w:style w:type="character" w:styleId="Rvts50">
    <w:name w:val="rvts50"/>
    <w:basedOn w:val="DefaultParagraphFont"/>
    <w:qFormat/>
    <w:rPr/>
  </w:style>
  <w:style w:type="character" w:styleId="21">
    <w:name w:val="Основной текст с отступом 2 Знак"/>
    <w:basedOn w:val="DefaultParagraphFont"/>
    <w:qFormat/>
    <w:rPr>
      <w:rFonts w:ascii="Times New Roman" w:hAnsi="Times New Roman" w:eastAsia="Times New Roman" w:cs="Times New Roman"/>
      <w:sz w:val="24"/>
      <w:szCs w:val="24"/>
      <w:lang w:eastAsia="ru-RU"/>
    </w:rPr>
  </w:style>
  <w:style w:type="character" w:styleId="11">
    <w:name w:val="Заголовок 1 Знак"/>
    <w:basedOn w:val="DefaultParagraphFont"/>
    <w:qFormat/>
    <w:rPr>
      <w:rFonts w:ascii="Arial" w:hAnsi="Arial" w:eastAsia="Times New Roman" w:cs="Times New Roman"/>
      <w:b/>
      <w:bCs/>
      <w:sz w:val="32"/>
      <w:szCs w:val="32"/>
      <w:lang w:eastAsia="ru-RU"/>
    </w:rPr>
  </w:style>
  <w:style w:type="character" w:styleId="ConsPlusNormal">
    <w:name w:val="ConsPlusNormal Знак"/>
    <w:qFormat/>
    <w:rPr>
      <w:rFonts w:ascii="Arial" w:hAnsi="Arial" w:eastAsia="Times New Roman" w:cs="Arial"/>
      <w:sz w:val="20"/>
      <w:szCs w:val="20"/>
      <w:lang w:eastAsia="ru-RU"/>
    </w:rPr>
  </w:style>
  <w:style w:type="character" w:styleId="Style13">
    <w:name w:val="Основной текст Знак"/>
    <w:basedOn w:val="DefaultParagraphFont"/>
    <w:qFormat/>
    <w:rPr>
      <w:rFonts w:ascii="Times New Roman" w:hAnsi="Times New Roman" w:eastAsia="Times New Roman" w:cs="Times New Roman"/>
      <w:sz w:val="24"/>
      <w:szCs w:val="24"/>
      <w:lang w:eastAsia="ru-RU"/>
    </w:rPr>
  </w:style>
  <w:style w:type="character" w:styleId="22">
    <w:name w:val="Заголовок 2 Знак"/>
    <w:basedOn w:val="DefaultParagraphFont"/>
    <w:qFormat/>
    <w:rPr>
      <w:rFonts w:ascii="Cambria" w:hAnsi="Cambria" w:eastAsia="Calibri" w:cs="DejaVu Sans"/>
      <w:color w:val="365F91"/>
      <w:sz w:val="26"/>
      <w:szCs w:val="26"/>
      <w:lang w:eastAsia="ru-RU"/>
    </w:rPr>
  </w:style>
  <w:style w:type="character" w:styleId="Style14">
    <w:name w:val="Hyperlink"/>
    <w:rPr>
      <w:color w:val="000080"/>
      <w:u w:val="single"/>
      <w:lang w:val="zxx" w:eastAsia="zxx" w:bidi="zxx"/>
    </w:rPr>
  </w:style>
  <w:style w:type="character" w:styleId="Style15">
    <w:name w:val="Символ нумерации"/>
    <w:qFormat/>
    <w:rPr/>
  </w:style>
  <w:style w:type="paragraph" w:styleId="Style16">
    <w:name w:val="Заголовок"/>
    <w:basedOn w:val="Normal"/>
    <w:next w:val="Style17"/>
    <w:qFormat/>
    <w:pPr>
      <w:keepNext w:val="true"/>
      <w:spacing w:before="240" w:after="120"/>
    </w:pPr>
    <w:rPr>
      <w:rFonts w:ascii="Liberation Sans" w:hAnsi="Liberation Sans" w:eastAsia="Microsoft YaHei" w:cs="Mangal"/>
      <w:sz w:val="28"/>
      <w:szCs w:val="28"/>
    </w:rPr>
  </w:style>
  <w:style w:type="paragraph" w:styleId="Style17">
    <w:name w:val="Body Text"/>
    <w:basedOn w:val="Normal"/>
    <w:pPr>
      <w:spacing w:before="0" w:after="120"/>
    </w:pPr>
    <w:rPr/>
  </w:style>
  <w:style w:type="paragraph" w:styleId="Style18">
    <w:name w:val="List"/>
    <w:basedOn w:val="Style17"/>
    <w:pPr/>
    <w:rPr>
      <w:rFonts w:cs="Mangal"/>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rPr>
  </w:style>
  <w:style w:type="paragraph" w:styleId="Style21">
    <w:name w:val="Body Text Indent"/>
    <w:basedOn w:val="Normal"/>
    <w:pPr>
      <w:spacing w:before="0" w:after="120"/>
      <w:ind w:left="283" w:right="0" w:hanging="0"/>
    </w:pPr>
    <w:rPr/>
  </w:style>
  <w:style w:type="paragraph" w:styleId="3">
    <w:name w:val="Стиль3 Знак Знак"/>
    <w:qFormat/>
    <w:pPr>
      <w:widowControl/>
      <w:suppressAutoHyphens w:val="true"/>
      <w:overflowPunct w:val="false"/>
      <w:bidi w:val="0"/>
      <w:spacing w:lineRule="auto" w:line="276" w:before="0" w:after="200"/>
      <w:jc w:val="left"/>
    </w:pPr>
    <w:rPr>
      <w:rFonts w:ascii="Calibri" w:hAnsi="Calibri" w:eastAsia="Calibri" w:cs="DejaVu Sans"/>
      <w:color w:val="00000A"/>
      <w:kern w:val="0"/>
      <w:sz w:val="24"/>
      <w:szCs w:val="22"/>
      <w:lang w:val="ru-RU" w:eastAsia="en-US" w:bidi="ar-SA"/>
    </w:rPr>
  </w:style>
  <w:style w:type="paragraph" w:styleId="12">
    <w:name w:val="~ Перечисление в отчете НИР 1"/>
    <w:basedOn w:val="Normal"/>
    <w:qFormat/>
    <w:pPr>
      <w:widowControl w:val="false"/>
      <w:spacing w:lineRule="atLeast" w:line="360" w:before="0" w:after="60"/>
      <w:jc w:val="both"/>
      <w:textAlignment w:val="baseline"/>
    </w:pPr>
    <w:rPr>
      <w:rFonts w:eastAsia="Calibri"/>
    </w:rPr>
  </w:style>
  <w:style w:type="paragraph" w:styleId="13">
    <w:name w:val="Маркированный 1"/>
    <w:basedOn w:val="Normal"/>
    <w:qFormat/>
    <w:pPr>
      <w:widowControl w:val="false"/>
      <w:spacing w:lineRule="atLeast" w:line="360" w:before="0" w:after="60"/>
      <w:jc w:val="both"/>
      <w:textAlignment w:val="baseline"/>
    </w:pPr>
    <w:rPr>
      <w:rFonts w:eastAsia="Calibri"/>
    </w:rPr>
  </w:style>
  <w:style w:type="paragraph" w:styleId="14">
    <w:name w:val="Абзац списка1"/>
    <w:basedOn w:val="Normal"/>
    <w:qFormat/>
    <w:pPr>
      <w:spacing w:lineRule="auto" w:line="276" w:before="0" w:after="200"/>
      <w:ind w:left="720" w:right="0" w:hanging="0"/>
      <w:contextualSpacing/>
    </w:pPr>
    <w:rPr>
      <w:rFonts w:ascii="Calibri" w:hAnsi="Calibri"/>
      <w:sz w:val="22"/>
      <w:szCs w:val="22"/>
      <w:lang w:eastAsia="en-US"/>
    </w:rPr>
  </w:style>
  <w:style w:type="paragraph" w:styleId="BodyTextIndent2">
    <w:name w:val="Body Text Indent 2"/>
    <w:basedOn w:val="Normal"/>
    <w:link w:val="22"/>
    <w:qFormat/>
    <w:pPr>
      <w:spacing w:lineRule="auto" w:line="480" w:before="0" w:after="120"/>
      <w:ind w:left="283" w:right="0" w:hanging="0"/>
    </w:pPr>
    <w:rPr/>
  </w:style>
  <w:style w:type="paragraph" w:styleId="ConsPlusNormal1">
    <w:name w:val="ConsPlusNormal"/>
    <w:qFormat/>
    <w:pPr>
      <w:widowControl w:val="false"/>
      <w:suppressAutoHyphens w:val="true"/>
      <w:overflowPunct w:val="false"/>
      <w:bidi w:val="0"/>
      <w:spacing w:lineRule="auto" w:line="240" w:before="0" w:after="0"/>
      <w:ind w:left="0" w:right="0" w:firstLine="720"/>
      <w:jc w:val="left"/>
    </w:pPr>
    <w:rPr>
      <w:rFonts w:ascii="Arial" w:hAnsi="Arial" w:eastAsia="Times New Roman" w:cs="Arial"/>
      <w:color w:val="00000A"/>
      <w:kern w:val="0"/>
      <w:sz w:val="20"/>
      <w:szCs w:val="20"/>
      <w:lang w:val="ru-RU" w:eastAsia="ru-RU" w:bidi="ar-SA"/>
    </w:rPr>
  </w:style>
  <w:style w:type="paragraph" w:styleId="15">
    <w:name w:val="Обычный1"/>
    <w:qFormat/>
    <w:pPr>
      <w:widowControl/>
      <w:suppressAutoHyphens w:val="true"/>
      <w:overflowPunct w:val="false"/>
      <w:bidi w:val="0"/>
      <w:spacing w:lineRule="auto" w:line="259" w:before="0" w:after="160"/>
      <w:jc w:val="left"/>
    </w:pPr>
    <w:rPr>
      <w:rFonts w:ascii="Times New Roman" w:hAnsi="Times New Roman" w:eastAsia="Calibri" w:cs="Times New Roman"/>
      <w:color w:val="00000A"/>
      <w:kern w:val="0"/>
      <w:sz w:val="24"/>
      <w:szCs w:val="24"/>
      <w:lang w:val="ru-RU" w:eastAsia="zh-CN" w:bidi="ar-SA"/>
    </w:rPr>
  </w:style>
  <w:style w:type="paragraph" w:styleId="ListParagraph">
    <w:name w:val="List Paragraph"/>
    <w:basedOn w:val="Normal"/>
    <w:qFormat/>
    <w:pPr>
      <w:spacing w:before="0" w:after="0"/>
      <w:ind w:left="720" w:right="0" w:hanging="0"/>
      <w:contextualSpacing/>
    </w:pPr>
    <w:rPr/>
  </w:style>
  <w:style w:type="paragraph" w:styleId="Style22">
    <w:name w:val="Содержимое таблицы"/>
    <w:basedOn w:val="Normal"/>
    <w:qFormat/>
    <w:pPr/>
    <w:rPr/>
  </w:style>
  <w:style w:type="paragraph" w:styleId="Style23">
    <w:name w:val="Заголовок таблицы"/>
    <w:basedOn w:val="Style22"/>
    <w:qFormat/>
    <w:pPr>
      <w:suppressLineNumbers/>
      <w:jc w:val="center"/>
    </w:pPr>
    <w:rPr>
      <w:b/>
      <w:bCs/>
    </w:rPr>
  </w:style>
  <w:style w:type="numbering" w:styleId="4">
    <w:name w:val="Стиль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zakupki.gov.ru/epz/ktru/ktruCard/ktru-description.html?itemId=23.19.23.110-00000459&amp;backUrl="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954</TotalTime>
  <Application>LibreOffice/7.4.7.2$Linux_X86_64 LibreOffice_project/40$Build-2</Application>
  <AppVersion>15.0000</AppVersion>
  <Pages>3</Pages>
  <Words>761</Words>
  <Characters>4953</Characters>
  <CharactersWithSpaces>5565</CharactersWithSpaces>
  <Paragraphs>203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2024-02-21T10:31:00Z</dcterms:created>
  <dc:creator>user</dc:creator>
  <dc:description/>
  <dc:language>ru-RU</dc:language>
  <cp:lastModifiedBy/>
  <cp:lastPrinted>2026-08-18T10:05:20Z</cp:lastPrinted>
  <dcterms:modified xsi:type="dcterms:W3CDTF">2026-09-02T10:22:37Z</dcterms:modified>
  <cp:revision>79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