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</w:p>
    <w:p>
      <w:pPr>
        <w:ind w:firstLine="709"/>
        <w:jc w:val="center"/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</w:p>
    <w:p>
      <w:pPr>
        <w:pStyle w:val="912"/>
        <w:ind w:firstLine="709"/>
        <w:jc w:val="center"/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/>
          <w:sz w:val="22"/>
          <w:szCs w:val="22"/>
        </w:rPr>
        <w:t xml:space="preserve">ГОСУДАРСТВЕННЫЙ КОНТРАКТ </w:t>
      </w:r>
      <w:r>
        <w:rPr>
          <w:rFonts w:ascii="Tinos" w:hAnsi="Tinos" w:eastAsia="Tinos" w:cs="Tinos"/>
          <w:b/>
          <w:bCs/>
          <w:color w:val="000000"/>
          <w:sz w:val="22"/>
          <w:szCs w:val="22"/>
        </w:rPr>
        <w:t xml:space="preserve">№</w:t>
      </w:r>
      <w:r>
        <w:rPr>
          <w:rFonts w:ascii="Tinos" w:hAnsi="Tinos" w:eastAsia="Tinos" w:cs="Tinos"/>
          <w:b/>
          <w:bCs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2"/>
          <w:szCs w:val="22"/>
        </w:rPr>
        <w:t xml:space="preserve">_______</w:t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</w:p>
    <w:p>
      <w:pPr>
        <w:ind w:firstLine="709"/>
        <w:jc w:val="center"/>
        <w:rPr>
          <w:rFonts w:ascii="Tinos" w:hAnsi="Tinos" w:cs="Tinos"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</w:p>
    <w:p>
      <w:pPr>
        <w:pStyle w:val="912"/>
        <w:ind w:firstLine="709"/>
        <w:jc w:val="center"/>
        <w:rPr>
          <w:rFonts w:ascii="Tinos" w:hAnsi="Tinos" w:cs="Tinos"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ИКЗ: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2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6 1 5503085391 550301001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0007 000 0000 000</w:t>
      </w:r>
      <w:r>
        <w:rPr>
          <w:rFonts w:ascii="Tinos" w:hAnsi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</w:p>
    <w:p>
      <w:pPr>
        <w:ind w:firstLine="709"/>
        <w:jc w:val="center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р</w:t>
      </w:r>
      <w:r>
        <w:rPr>
          <w:rFonts w:ascii="Tinos" w:hAnsi="Tinos" w:eastAsia="Tinos" w:cs="Tinos"/>
          <w:sz w:val="22"/>
          <w:szCs w:val="22"/>
        </w:rPr>
        <w:t xml:space="preserve">.п. Павлоградка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                 ____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___________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b/>
          <w:color w:val="000000"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  <w:t xml:space="preserve">Управление Федеральной службы государственной регистрации, кадастра и картографии </w:t>
        <w:br w:type="textWrapping" w:clear="all"/>
        <w:t xml:space="preserve">по Омской области (Управление Росреестра по Омской области)</w:t>
      </w:r>
      <w:r>
        <w:rPr>
          <w:rFonts w:ascii="Tinos" w:hAnsi="Tinos" w:eastAsia="Tinos" w:cs="Tinos"/>
          <w:sz w:val="22"/>
          <w:szCs w:val="22"/>
        </w:rPr>
        <w:t xml:space="preserve">, от имени Российской Федерации, именуемое в дальнейшем «Заказчик», в лице врио руководителя Управления Лапуста Сергея Эдуардовича, действующего на основании приказа от 23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sz w:val="22"/>
          <w:szCs w:val="22"/>
        </w:rPr>
        <w:t xml:space="preserve">10.202</w:t>
      </w:r>
      <w:r>
        <w:rPr>
          <w:rFonts w:ascii="Tinos" w:hAnsi="Tinos" w:eastAsia="Tinos" w:cs="Tinos"/>
          <w:sz w:val="22"/>
          <w:szCs w:val="22"/>
        </w:rPr>
        <w:t xml:space="preserve">5 № </w:t>
      </w:r>
      <w:r>
        <w:rPr>
          <w:rFonts w:ascii="Tinos" w:hAnsi="Tinos" w:eastAsia="Tinos" w:cs="Tinos"/>
          <w:sz w:val="22"/>
          <w:szCs w:val="22"/>
        </w:rPr>
        <w:t xml:space="preserve">233-к, с одной стороны, </w:t>
      </w:r>
      <w:r>
        <w:rPr>
          <w:rFonts w:ascii="Tinos" w:hAnsi="Tinos" w:eastAsia="Tinos" w:cs="Tinos"/>
          <w:sz w:val="22"/>
          <w:szCs w:val="22"/>
        </w:rPr>
        <w:t xml:space="preserve">и </w:t>
      </w:r>
      <w:r>
        <w:rPr>
          <w:rFonts w:ascii="Tinos" w:hAnsi="Tinos" w:eastAsia="Tinos" w:cs="Tinos"/>
          <w:sz w:val="22"/>
          <w:szCs w:val="22"/>
        </w:rPr>
        <w:t xml:space="preserve">_________________________________________</w:t>
      </w:r>
      <w:r>
        <w:rPr>
          <w:rFonts w:ascii="Tinos" w:hAnsi="Tinos" w:eastAsia="Tinos" w:cs="Tinos"/>
          <w:sz w:val="22"/>
          <w:szCs w:val="22"/>
        </w:rPr>
        <w:t xml:space="preserve">, именуемое в дальнейшем «Исполнитель», в лице главного врача Максимова Максима Петровича, действующего на основании Устава</w:t>
      </w:r>
      <w:r>
        <w:rPr>
          <w:rFonts w:ascii="Tinos" w:hAnsi="Tinos" w:eastAsia="Tinos" w:cs="Tinos"/>
          <w:sz w:val="22"/>
          <w:szCs w:val="22"/>
        </w:rPr>
        <w:t xml:space="preserve">,</w:t>
      </w:r>
      <w:r>
        <w:rPr>
          <w:rFonts w:ascii="Tinos" w:hAnsi="Tinos" w:eastAsia="Tinos" w:cs="Tinos"/>
          <w:sz w:val="22"/>
          <w:szCs w:val="22"/>
        </w:rPr>
        <w:t xml:space="preserve"> с другой стороны, совместно именуемые «Стороны», на основании пункта 4 части 1 статьи 93 Федерального закона от 05.04.2013 </w:t>
        <w:br/>
        <w:t xml:space="preserve">№ 44-ФЗ «О контрактной системе в сфере закупок товаров, работ, услуг для обеспечения государственных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 муниципальных нужд», заключили настоящий Государственный контракт (далее – Контракт)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о нижеследующем:</w:t>
      </w:r>
      <w:r>
        <w:rPr>
          <w:rFonts w:ascii="Tinos" w:hAnsi="Tinos" w:cs="Tinos"/>
          <w:b/>
          <w:color w:val="000000"/>
          <w:sz w:val="22"/>
          <w:szCs w:val="22"/>
        </w:rPr>
      </w:r>
      <w:r>
        <w:rPr>
          <w:rFonts w:ascii="Tinos" w:hAnsi="Tinos" w:cs="Tinos"/>
          <w:b/>
          <w:color w:val="000000"/>
          <w:sz w:val="22"/>
          <w:szCs w:val="22"/>
        </w:rPr>
      </w:r>
    </w:p>
    <w:p>
      <w:pPr>
        <w:pStyle w:val="912"/>
        <w:ind w:firstLine="709"/>
        <w:jc w:val="center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center"/>
        <w:tabs>
          <w:tab w:val="left" w:pos="327" w:leader="none"/>
        </w:tabs>
        <w:rPr>
          <w:rFonts w:ascii="Tinos" w:hAnsi="Tinos" w:cs="Tinos"/>
          <w:b/>
          <w:bCs/>
          <w:color w:val="000000"/>
          <w:sz w:val="22"/>
          <w:szCs w:val="22"/>
        </w:rPr>
      </w:pPr>
      <w:r>
        <w:rPr>
          <w:rFonts w:ascii="Tinos" w:hAnsi="Tinos" w:eastAsia="Tinos" w:cs="Tinos"/>
          <w:b/>
          <w:bCs/>
          <w:color w:val="000000"/>
          <w:sz w:val="22"/>
          <w:szCs w:val="22"/>
        </w:rPr>
        <w:t xml:space="preserve">1. ПРЕДМЕТ КОНТРАКТА</w:t>
      </w:r>
      <w:r>
        <w:rPr>
          <w:rFonts w:ascii="Tinos" w:hAnsi="Tinos" w:cs="Tinos"/>
          <w:b/>
          <w:bCs/>
          <w:color w:val="000000"/>
          <w:sz w:val="22"/>
          <w:szCs w:val="22"/>
        </w:rPr>
      </w:r>
      <w:r>
        <w:rPr>
          <w:rFonts w:ascii="Tinos" w:hAnsi="Tinos" w:cs="Tinos"/>
          <w:b/>
          <w:bCs/>
          <w:color w:val="000000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1.1. Исполнитель обязуется оказать услуги по проведению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предрейсовых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медицинских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осмотров водителей</w:t>
      </w:r>
      <w:r>
        <w:rPr>
          <w:rFonts w:ascii="Tinos" w:hAnsi="Tinos" w:eastAsia="Tinos" w:cs="Tinos"/>
          <w:sz w:val="22"/>
          <w:szCs w:val="22"/>
        </w:rPr>
        <w:t xml:space="preserve"> (далее – осмотр) Заказчика (далее - Услуги) в соответствии с Приложением к настоящему Контракту, а Заказчик принять и оплатить данные Услуги.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1.2. Срок оказания Услуг – с </w:t>
      </w:r>
      <w:r>
        <w:rPr>
          <w:rFonts w:ascii="Tinos" w:hAnsi="Tinos" w:eastAsia="Tinos" w:cs="Tinos"/>
          <w:sz w:val="22"/>
          <w:szCs w:val="22"/>
        </w:rPr>
        <w:t xml:space="preserve">01.06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.202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6 по 31.12.202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6.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Услуги оказываются</w:t>
      </w:r>
      <w:r>
        <w:rPr>
          <w:rFonts w:ascii="Tinos" w:hAnsi="Tinos" w:eastAsia="Tinos" w:cs="Tinos"/>
          <w:bCs/>
          <w:sz w:val="22"/>
          <w:szCs w:val="22"/>
        </w:rPr>
        <w:t xml:space="preserve"> в рабочее время по месту нахождения Исполнителя, расположенного </w:t>
        <w:br w:type="textWrapping" w:clear="all"/>
        <w:t xml:space="preserve">по адресу: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646760, Омская область, Павлоградский район, р.п. Павлоградка, ул. Больничная, д. 23.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Исполнитель извещает Заказчика в письменном виде о режиме работы Исполнителя.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1.3. Медицинские услуги оказываются на основании лицензии от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18.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03.20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25 </w:t>
      </w:r>
      <w:r>
        <w:rPr>
          <w:rFonts w:ascii="Tinos" w:hAnsi="Tinos" w:eastAsia="Tinos" w:cs="Tinos"/>
          <w:sz w:val="22"/>
          <w:szCs w:val="22"/>
        </w:rPr>
        <w:br/>
        <w:t xml:space="preserve">№ ЛО41-01165-55/00325562</w:t>
      </w:r>
      <w:r>
        <w:rPr>
          <w:rFonts w:ascii="Tinos" w:hAnsi="Tinos" w:eastAsia="Tinos" w:cs="Tinos"/>
          <w:sz w:val="22"/>
          <w:szCs w:val="22"/>
        </w:rPr>
        <w:t xml:space="preserve">, выданной Министерством здравоохранения Омской области, </w:t>
      </w:r>
      <w:r>
        <w:rPr>
          <w:rFonts w:ascii="Tinos" w:hAnsi="Tinos" w:eastAsia="Tinos" w:cs="Tinos"/>
          <w:sz w:val="22"/>
          <w:szCs w:val="22"/>
        </w:rPr>
        <w:t xml:space="preserve">расположенного по адресу: 644043, Омская область, г. Омск, ул. Красный Путь, 6; телефон (381-2) 23-35-25, факс 25-82-17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49"/>
        <w:ind w:firstLine="709"/>
        <w:jc w:val="center"/>
        <w:rPr>
          <w:rFonts w:ascii="Tinos" w:hAnsi="Tinos" w:cs="Tinos"/>
          <w:b/>
          <w:color w:val="000000"/>
          <w:sz w:val="22"/>
          <w:szCs w:val="22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2. ОБЯЗАННОСТИ СТОРОН</w:t>
      </w:r>
      <w:r>
        <w:rPr>
          <w:rFonts w:ascii="Tinos" w:hAnsi="Tinos" w:cs="Tinos"/>
          <w:b/>
          <w:color w:val="000000"/>
          <w:sz w:val="22"/>
          <w:szCs w:val="22"/>
        </w:rPr>
      </w:r>
      <w:r>
        <w:rPr>
          <w:rFonts w:ascii="Tinos" w:hAnsi="Tinos" w:cs="Tinos"/>
          <w:b/>
          <w:color w:val="000000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2.1. </w:t>
      </w:r>
      <w:r>
        <w:rPr>
          <w:rFonts w:ascii="Tinos" w:hAnsi="Tinos" w:eastAsia="Tinos" w:cs="Tinos"/>
          <w:sz w:val="22"/>
          <w:szCs w:val="22"/>
        </w:rPr>
        <w:t xml:space="preserve">Исполнитель обязуется: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2.1.1. Оказать Услуги, </w:t>
      </w:r>
      <w:r>
        <w:rPr>
          <w:rFonts w:ascii="Tinos" w:hAnsi="Tinos" w:eastAsia="Tinos" w:cs="Tinos"/>
          <w:sz w:val="22"/>
          <w:szCs w:val="22"/>
        </w:rPr>
        <w:t xml:space="preserve">предусмотренные настоящим Кон</w:t>
      </w:r>
      <w:r>
        <w:rPr>
          <w:rFonts w:ascii="Tinos" w:hAnsi="Tinos" w:eastAsia="Tinos" w:cs="Tinos"/>
          <w:sz w:val="22"/>
          <w:szCs w:val="22"/>
        </w:rPr>
        <w:t xml:space="preserve">трактом, надлежащего качества, </w:t>
      </w:r>
      <w:r>
        <w:rPr>
          <w:rFonts w:ascii="Tinos" w:hAnsi="Tinos" w:eastAsia="Tinos" w:cs="Tinos"/>
          <w:sz w:val="22"/>
          <w:szCs w:val="22"/>
        </w:rPr>
        <w:t xml:space="preserve">в сроки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 объемы, установленные Контрактом.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2.1.2. Предоставлять по требованию Заказчика информацию о ходе исполнения своих обязательств по настоящему Контракту.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2.1.3. Известить Заказчика в течение 3 (Трех) календарных дней о приостановлении, прекращении действия либо аннулировании лицензии на осуществление медицинской деятельности.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2.1.4. Соблюдать конфиденциальность в отношении информации, ставшей ему известной </w:t>
        <w:br w:type="textWrapping" w:clear="all"/>
        <w:t xml:space="preserve">в отношении работников Заказчика при оказан</w:t>
      </w:r>
      <w:r>
        <w:rPr>
          <w:rFonts w:ascii="Tinos" w:hAnsi="Tinos" w:eastAsia="Tinos" w:cs="Tinos"/>
          <w:sz w:val="22"/>
          <w:szCs w:val="22"/>
        </w:rPr>
        <w:t xml:space="preserve">ии Услуг, в соответствии со </w:t>
      </w:r>
      <w:r>
        <w:rPr>
          <w:rFonts w:ascii="Tinos" w:hAnsi="Tinos" w:eastAsia="Tinos" w:cs="Tinos"/>
          <w:sz w:val="22"/>
          <w:szCs w:val="22"/>
        </w:rPr>
        <w:t xml:space="preserve">ст. 7 Федерального закона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от 27.07.2006 № 152-ФЗ «О персональных данных».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2.1.5. Обладать всем необходимым оборудованием, техникой, помещениями и инструментами </w:t>
        <w:br w:type="textWrapping" w:clear="all"/>
        <w:t xml:space="preserve">для оказания Услуг по настоящему Контракту.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2.1.6. Не допустить водителей Заказчика к управлению автомобил</w:t>
      </w:r>
      <w:r>
        <w:rPr>
          <w:rFonts w:ascii="Tinos" w:hAnsi="Tinos" w:eastAsia="Tinos" w:cs="Tinos"/>
          <w:sz w:val="22"/>
          <w:szCs w:val="22"/>
        </w:rPr>
        <w:t xml:space="preserve">ем</w:t>
      </w:r>
      <w:r>
        <w:rPr>
          <w:rFonts w:ascii="Tinos" w:hAnsi="Tinos" w:eastAsia="Tinos" w:cs="Tinos"/>
          <w:sz w:val="22"/>
          <w:szCs w:val="22"/>
        </w:rPr>
        <w:t xml:space="preserve"> в следующих случаях: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временной нетрудоспособности;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положительной пробе на алкоголь, другие психотропные вещества и наркотики </w:t>
        <w:br w:type="textWrapping" w:clear="all"/>
        <w:t xml:space="preserve">в выдыхаемом воздухе 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наркотических веществ;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лекарственных или иных веществ, отрицательно влияющих на работоспособность водителя.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2.1.7. Ежемесячно предоставлять документы на оплату за оказанные Услуги, а также реестр </w:t>
        <w:br w:type="textWrapping" w:clear="all"/>
        <w:t xml:space="preserve">количеств</w:t>
      </w:r>
      <w:r>
        <w:rPr>
          <w:rFonts w:ascii="Tinos" w:hAnsi="Tinos" w:eastAsia="Tinos" w:cs="Tinos"/>
          <w:sz w:val="22"/>
          <w:szCs w:val="22"/>
        </w:rPr>
        <w:t xml:space="preserve">а</w:t>
      </w:r>
      <w:r>
        <w:rPr>
          <w:rFonts w:ascii="Tinos" w:hAnsi="Tinos" w:eastAsia="Tinos" w:cs="Tinos"/>
          <w:sz w:val="22"/>
          <w:szCs w:val="22"/>
        </w:rPr>
        <w:t xml:space="preserve"> осмотров.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2.2. З</w:t>
      </w:r>
      <w:r>
        <w:rPr>
          <w:rFonts w:ascii="Tinos" w:hAnsi="Tinos" w:eastAsia="Tinos" w:cs="Tinos"/>
          <w:sz w:val="22"/>
          <w:szCs w:val="22"/>
        </w:rPr>
        <w:t xml:space="preserve">аказчик обязуется: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2.2.1. Своевременно принять и оплатить оказанные Услуги.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2.2.2. Предоставить Исполнителю список водителей, подлежащих осмотрам.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2.2.3. Обеспечи</w:t>
      </w:r>
      <w:r>
        <w:rPr>
          <w:rFonts w:ascii="Tinos" w:hAnsi="Tinos" w:eastAsia="Tinos" w:cs="Tinos"/>
          <w:sz w:val="22"/>
          <w:szCs w:val="22"/>
        </w:rPr>
        <w:t xml:space="preserve">ть присутствие водителей на осмотрах. Водители, подлежащие осмотрам, при себе должны иметь путевой лист, в котором по окончании осмотра ставится отметка о допуске к рейсу (штамп установленного образца) и подпись медицинского работника, проводившего осмотр.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jc w:val="center"/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/>
          <w:sz w:val="22"/>
          <w:szCs w:val="22"/>
        </w:rPr>
        <w:t xml:space="preserve">3. ЦЕНА КОНТРАКТА И ПОРЯДОК ОПЛАТЫ</w:t>
      </w:r>
      <w:r>
        <w:rPr>
          <w:rFonts w:ascii="Tinos" w:hAnsi="Tinos" w:eastAsia="Tinos" w:cs="Tinos"/>
          <w:b/>
          <w:bCs/>
          <w:color w:val="000000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3.1. </w:t>
      </w:r>
      <w:r>
        <w:rPr>
          <w:rFonts w:ascii="Tinos" w:hAnsi="Tinos" w:eastAsia="Tinos" w:cs="Tinos"/>
          <w:sz w:val="22"/>
          <w:szCs w:val="22"/>
        </w:rPr>
        <w:t xml:space="preserve">Цена Контракта </w:t>
      </w:r>
      <w:r>
        <w:rPr>
          <w:rFonts w:ascii="Tinos" w:hAnsi="Tinos" w:eastAsia="Tinos" w:cs="Tinos"/>
          <w:sz w:val="22"/>
          <w:szCs w:val="22"/>
        </w:rPr>
        <w:t xml:space="preserve">составляет</w:t>
      </w:r>
      <w:r>
        <w:rPr>
          <w:rFonts w:ascii="Tinos" w:hAnsi="Tinos" w:eastAsia="Tinos" w:cs="Tinos"/>
          <w:b/>
          <w:sz w:val="22"/>
          <w:szCs w:val="22"/>
        </w:rPr>
        <w:t xml:space="preserve"> </w:t>
      </w:r>
      <w:r>
        <w:rPr>
          <w:rFonts w:ascii="Tinos" w:hAnsi="Tinos" w:eastAsia="Tinos" w:cs="Tinos"/>
          <w:b/>
          <w:sz w:val="22"/>
          <w:szCs w:val="22"/>
          <w:highlight w:val="none"/>
        </w:rPr>
        <w:t xml:space="preserve">1 050,00</w:t>
      </w:r>
      <w:r>
        <w:rPr>
          <w:rFonts w:ascii="Tinos" w:hAnsi="Tinos" w:eastAsia="Tinos" w:cs="Tinos"/>
          <w:b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sz w:val="22"/>
          <w:szCs w:val="22"/>
          <w:highlight w:val="white"/>
        </w:rPr>
        <w:t xml:space="preserve">ру</w:t>
      </w:r>
      <w:r>
        <w:rPr>
          <w:rFonts w:ascii="Tinos" w:hAnsi="Tinos" w:eastAsia="Tinos" w:cs="Tinos"/>
          <w:b/>
          <w:sz w:val="22"/>
          <w:szCs w:val="22"/>
        </w:rPr>
        <w:t xml:space="preserve">б</w:t>
      </w:r>
      <w:r>
        <w:rPr>
          <w:rFonts w:ascii="Tinos" w:hAnsi="Tinos" w:eastAsia="Tinos" w:cs="Tinos"/>
          <w:b/>
          <w:sz w:val="22"/>
          <w:szCs w:val="22"/>
        </w:rPr>
        <w:t xml:space="preserve">л</w:t>
      </w:r>
      <w:r>
        <w:rPr>
          <w:rFonts w:ascii="Tinos" w:hAnsi="Tinos" w:eastAsia="Tinos" w:cs="Tinos"/>
          <w:b/>
          <w:sz w:val="22"/>
          <w:szCs w:val="22"/>
        </w:rPr>
        <w:t xml:space="preserve">ей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(</w:t>
      </w: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Одна тысяча пятьдесят </w:t>
      </w: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рубл</w:t>
      </w: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ей</w:t>
      </w: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00 копеек</w:t>
      </w: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),</w:t>
      </w: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НДС не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облагается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в соответствии со ст. 149 Налогового кодекса Р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оссийской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Ф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едерации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. </w:t>
      </w:r>
      <w:r>
        <w:rPr>
          <w:rFonts w:ascii="Tinos" w:hAnsi="Tinos" w:eastAsia="Tinos" w:cs="Tinos"/>
          <w:sz w:val="22"/>
          <w:szCs w:val="22"/>
        </w:rPr>
        <w:t xml:space="preserve">Оплата производится за счет средств федерального бюджета. Ассигнования 2026 года в сумме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975,00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рублей (Девятьсот семьдесят пять рублей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00 копеек),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НДС не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облагается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в соответствии со ст. 149 Налогового кодекса Р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оссийской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Ф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едерации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. </w:t>
      </w:r>
      <w:r>
        <w:rPr>
          <w:rFonts w:ascii="Tinos" w:hAnsi="Tinos" w:eastAsia="Tinos" w:cs="Tinos"/>
          <w:sz w:val="22"/>
          <w:szCs w:val="22"/>
        </w:rPr>
        <w:t xml:space="preserve">Ассигнования 2027 года в сумме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75,00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р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ублей (Семьдесят пять рублей </w:t>
      </w:r>
      <w:r>
        <w:rPr>
          <w:rFonts w:ascii="Tinos" w:hAnsi="Tinos" w:eastAsia="Tinos" w:cs="Tinos"/>
          <w:b/>
          <w:bCs/>
          <w:sz w:val="22"/>
          <w:szCs w:val="22"/>
        </w:rPr>
        <w:br/>
        <w:t xml:space="preserve">00 копеек),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НДС не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облагается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в соответствии со ст. 149 Налогового кодекса Р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оссийской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Ф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едерации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bCs/>
          <w:sz w:val="22"/>
          <w:szCs w:val="22"/>
        </w:rPr>
        <w:t xml:space="preserve">Цена Контракта включает в себя стоимость Услуг, расходы</w:t>
      </w:r>
      <w:r>
        <w:rPr>
          <w:rFonts w:ascii="Tinos" w:hAnsi="Tinos" w:eastAsia="Tinos" w:cs="Tinos"/>
          <w:sz w:val="22"/>
          <w:szCs w:val="22"/>
        </w:rPr>
        <w:t xml:space="preserve">, связанные с исполнением Исполнителем обязательств по Контракту, страхование, уплату таможенных пошлин, налогов, сборов </w:t>
      </w:r>
      <w:r>
        <w:rPr>
          <w:rFonts w:ascii="Tinos" w:hAnsi="Tinos" w:eastAsia="Tinos" w:cs="Tinos"/>
          <w:sz w:val="22"/>
          <w:szCs w:val="22"/>
        </w:rPr>
        <w:t xml:space="preserve">и других обязательных платежей.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both"/>
        <w:widowControl w:val="off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3.2. </w:t>
      </w:r>
      <w:r>
        <w:rPr>
          <w:rFonts w:ascii="Tinos" w:hAnsi="Tinos" w:eastAsia="Tinos" w:cs="Tinos"/>
          <w:sz w:val="22"/>
          <w:szCs w:val="22"/>
        </w:rPr>
        <w:t xml:space="preserve">Цена Контракта является твердой и определяется на весь срок исполнения Контракта, </w:t>
        <w:br w:type="textWrapping" w:clear="all"/>
        <w:t xml:space="preserve">за исключением случаев, установленных законодательством Российской Федерации.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3.3. </w:t>
      </w:r>
      <w:r>
        <w:rPr>
          <w:rFonts w:ascii="Tinos" w:hAnsi="Tinos" w:eastAsia="Tinos" w:cs="Tinos"/>
          <w:sz w:val="22"/>
          <w:szCs w:val="22"/>
        </w:rPr>
        <w:t xml:space="preserve">Ежемесячно до 10 (Десятого) числа месяца, следующего за отчетным, Исполнитель выставляет и направляет Заказчику Акт </w:t>
      </w:r>
      <w:r>
        <w:rPr>
          <w:rFonts w:ascii="Tinos" w:hAnsi="Tinos" w:eastAsia="Tinos" w:cs="Tinos"/>
          <w:sz w:val="22"/>
          <w:szCs w:val="22"/>
        </w:rPr>
        <w:t xml:space="preserve">оказанных услуг (далее – Акт) </w:t>
      </w:r>
      <w:r>
        <w:rPr>
          <w:rFonts w:ascii="Tinos" w:hAnsi="Tinos" w:eastAsia="Tinos" w:cs="Tinos"/>
          <w:sz w:val="22"/>
          <w:szCs w:val="22"/>
        </w:rPr>
        <w:t xml:space="preserve">в 2 (Двух) экземплярах для подписания </w:t>
        <w:br/>
        <w:t xml:space="preserve">с приложением счета-фактуры (счета), реестра предрейсовых медицинских осмотров водителей за истекший месяц.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3.4. Оплата Услуг осуществляется в безналичной форме в</w:t>
      </w:r>
      <w:r>
        <w:rPr>
          <w:rFonts w:ascii="Tinos" w:hAnsi="Tinos" w:eastAsia="Tinos" w:cs="Tinos"/>
          <w:b/>
          <w:bCs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течение </w:t>
      </w:r>
      <w:r>
        <w:rPr>
          <w:rFonts w:ascii="Tinos" w:hAnsi="Tinos" w:eastAsia="Tinos" w:cs="Tinos"/>
          <w:sz w:val="22"/>
          <w:szCs w:val="22"/>
        </w:rPr>
        <w:t xml:space="preserve">10 (Десяти) рабочих дней </w:t>
        <w:br w:type="textWrapping" w:clear="all"/>
        <w:t xml:space="preserve">с даты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подписания Заказчиком Акта </w:t>
      </w:r>
      <w:r>
        <w:rPr>
          <w:rFonts w:ascii="Tinos" w:hAnsi="Tinos" w:eastAsia="Tinos" w:cs="Tinos"/>
          <w:sz w:val="22"/>
          <w:szCs w:val="22"/>
        </w:rPr>
        <w:t xml:space="preserve">на основании предоставленных Исполнителем счета-фактуры (счета), Акта с приложением реестра осмотра водителей, заверенного печатью и подписью главного врача (главного бухгалтера или Исполнителя),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путем перечисления денежных средств на расчетный счет Исполнителя по факту оказания Услуг.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Датой оплаты считается момент списания денежных средств с лицевого счета Заказчика.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49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3.5. Заказчик уменьшает сумму, подлежащую уплате Исполнителю, на размер налогов, сборов </w:t>
        <w:br w:type="textWrapping" w:clear="all"/>
        <w:t xml:space="preserve">и иных обязательных платежей в бюджеты бюджетной системы Ро</w:t>
      </w:r>
      <w:r>
        <w:rPr>
          <w:rFonts w:ascii="Tinos" w:hAnsi="Tinos" w:eastAsia="Tinos" w:cs="Tinos"/>
          <w:sz w:val="22"/>
          <w:szCs w:val="22"/>
        </w:rPr>
        <w:t xml:space="preserve">ссийской Федерации, связанных </w:t>
        <w:br/>
        <w:t xml:space="preserve">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1004"/>
        <w:numPr>
          <w:ilvl w:val="0"/>
          <w:numId w:val="0"/>
        </w:numPr>
        <w:ind w:firstLine="709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1004"/>
        <w:numPr>
          <w:ilvl w:val="0"/>
          <w:numId w:val="29"/>
        </w:numPr>
        <w:ind w:left="0" w:firstLine="0"/>
        <w:jc w:val="center"/>
        <w:rPr>
          <w:rFonts w:ascii="Tinos" w:hAnsi="Tinos" w:cs="Tinos"/>
          <w:b/>
          <w:color w:val="000000"/>
          <w:sz w:val="22"/>
          <w:szCs w:val="22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ПОРЯДОК СДАЧИ И ПРИЕМКИ УСЛУГ</w:t>
      </w:r>
      <w:r>
        <w:rPr>
          <w:rFonts w:ascii="Tinos" w:hAnsi="Tinos" w:cs="Tinos"/>
          <w:b/>
          <w:color w:val="000000"/>
          <w:sz w:val="22"/>
          <w:szCs w:val="22"/>
        </w:rPr>
      </w:r>
      <w:r>
        <w:rPr>
          <w:rFonts w:ascii="Tinos" w:hAnsi="Tinos" w:cs="Tinos"/>
          <w:b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bCs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4.1.</w:t>
      </w:r>
      <w:r>
        <w:rPr>
          <w:rFonts w:ascii="Tinos" w:hAnsi="Tinos" w:eastAsia="Tinos" w:cs="Tinos"/>
          <w:bCs/>
          <w:color w:val="000000"/>
          <w:sz w:val="22"/>
          <w:szCs w:val="22"/>
        </w:rPr>
        <w:t xml:space="preserve"> Приемка оказанных Услуг осуществляется на соответствие их объему, качеству и требованиям Контракта.</w:t>
      </w:r>
      <w:r>
        <w:rPr>
          <w:rFonts w:ascii="Tinos" w:hAnsi="Tinos" w:cs="Tinos"/>
          <w:bCs/>
          <w:color w:val="000000"/>
          <w:sz w:val="22"/>
          <w:szCs w:val="22"/>
        </w:rPr>
      </w:r>
      <w:r>
        <w:rPr>
          <w:rFonts w:ascii="Tinos" w:hAnsi="Tinos" w:cs="Tinos"/>
          <w:bCs/>
          <w:color w:val="000000"/>
          <w:sz w:val="22"/>
          <w:szCs w:val="22"/>
        </w:rPr>
      </w:r>
    </w:p>
    <w:p>
      <w:pPr>
        <w:pStyle w:val="1004"/>
        <w:numPr>
          <w:ilvl w:val="0"/>
          <w:numId w:val="0"/>
        </w:numPr>
        <w:ind w:firstLine="709"/>
        <w:rPr>
          <w:rFonts w:ascii="Tinos" w:hAnsi="Tinos" w:cs="Tinos"/>
          <w:bCs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4.2. Заказчик в течение 3 (Трех) рабочих дней с момента получения Акта подписывает его, </w:t>
      </w:r>
      <w:r>
        <w:rPr>
          <w:rFonts w:ascii="Tinos" w:hAnsi="Tinos" w:eastAsia="Tinos" w:cs="Tinos"/>
          <w:bCs/>
          <w:sz w:val="22"/>
          <w:szCs w:val="22"/>
        </w:rPr>
        <w:t xml:space="preserve">при условии, что</w:t>
      </w:r>
      <w:r>
        <w:rPr>
          <w:rFonts w:ascii="Tinos" w:hAnsi="Tinos" w:eastAsia="Tinos" w:cs="Tinos"/>
          <w:bCs/>
          <w:sz w:val="22"/>
          <w:szCs w:val="22"/>
        </w:rPr>
        <w:t xml:space="preserve"> содержание Акта соответствует фактически оказанным Услугам и условиям настоящего Контракта.</w:t>
      </w: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bCs/>
          <w:color w:val="000000"/>
          <w:sz w:val="22"/>
          <w:szCs w:val="22"/>
        </w:rPr>
        <w:t xml:space="preserve">4.3. </w:t>
      </w:r>
      <w:r>
        <w:rPr>
          <w:rFonts w:ascii="Tinos" w:hAnsi="Tinos" w:eastAsia="Tinos" w:cs="Tinos"/>
          <w:sz w:val="22"/>
          <w:szCs w:val="22"/>
        </w:rPr>
        <w:t xml:space="preserve">Услуги считаются оказанными с момента подписания Сторонами Акта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both"/>
        <w:tabs>
          <w:tab w:val="num" w:pos="720" w:leader="none"/>
        </w:tabs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Акт и расчетно-платежные документы направляются почтой по юридическому адресу Заказчика: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644007, Омская область, г. Омск, ул. Орджоникидзе, д. 56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и посредств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м электронного документооборота (СБИС, ООО «Компания «Тензор»).  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jc w:val="center"/>
        <w:rPr>
          <w:rFonts w:ascii="Tinos" w:hAnsi="Tinos" w:cs="Tinos"/>
          <w:b/>
          <w:color w:val="000000"/>
          <w:sz w:val="22"/>
          <w:szCs w:val="22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5. ОТВЕТСТВЕННОСТЬ СТОРОН</w:t>
      </w:r>
      <w:r>
        <w:rPr>
          <w:rStyle w:val="947"/>
          <w:rFonts w:ascii="Tinos" w:hAnsi="Tinos" w:eastAsia="Tinos" w:cs="Tinos"/>
          <w:b/>
          <w:sz w:val="22"/>
          <w:szCs w:val="22"/>
        </w:rPr>
        <w:footnoteReference w:id="2"/>
      </w:r>
      <w:r>
        <w:rPr>
          <w:rFonts w:ascii="Tinos" w:hAnsi="Tinos" w:cs="Tinos"/>
          <w:b/>
          <w:color w:val="000000"/>
          <w:sz w:val="22"/>
          <w:szCs w:val="22"/>
        </w:rPr>
      </w:r>
      <w:r>
        <w:rPr>
          <w:rFonts w:ascii="Tinos" w:hAnsi="Tinos" w:cs="Tinos"/>
          <w:b/>
          <w:color w:val="000000"/>
          <w:sz w:val="22"/>
          <w:szCs w:val="22"/>
        </w:rPr>
      </w:r>
    </w:p>
    <w:p>
      <w:pPr>
        <w:pStyle w:val="912"/>
        <w:ind w:firstLine="709"/>
        <w:jc w:val="both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5.1. </w:t>
      </w:r>
      <w:r>
        <w:rPr>
          <w:rFonts w:ascii="Tinos" w:hAnsi="Tinos" w:eastAsia="Tinos" w:cs="Tinos"/>
          <w:sz w:val="22"/>
          <w:szCs w:val="22"/>
        </w:rPr>
        <w:t xml:space="preserve">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5.2. В случае просрочки исполнения Заказчиком обязательств, предусмотренных Контрактом, Исполнитель вправе потребовать уплаты неустойки (штрафов, пеней). Пеня начисляется за каждый день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просрочки исполнения обязательства, предусмотренного Контрактом, начиная со дня, следующего </w:t>
      </w:r>
      <w:r>
        <w:rPr>
          <w:rFonts w:ascii="Tinos" w:hAnsi="Tinos" w:eastAsia="Tinos" w:cs="Tinos"/>
          <w:sz w:val="22"/>
          <w:szCs w:val="22"/>
        </w:rPr>
        <w:t xml:space="preserve">после дня истечения установленного Контрактом срока исполнения обязательства. Пеня устанавливается </w:t>
        <w:br/>
        <w:t xml:space="preserve">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5.3. В случае про</w:t>
      </w:r>
      <w:r>
        <w:rPr>
          <w:rFonts w:ascii="Tinos" w:hAnsi="Tinos" w:eastAsia="Tinos" w:cs="Tinos"/>
          <w:sz w:val="22"/>
          <w:szCs w:val="22"/>
        </w:rPr>
        <w:t xml:space="preserve">срочки исполнения Исполнителем обязательств, предусмотренных Контрактом, </w:t>
        <w:br/>
        <w:t xml:space="preserve">а также в иных случаях неисполнения или ненадлежащего исполнения Исполнителем обязательств, предусмотренных Контрактом, Заказчик вправе потребовать уплаты неустойки (штрафов, пеней).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</w:t>
        <w:br w:type="textWrapping" w:clear="all"/>
        <w:t xml:space="preserve">на дату уплаты пени ключевой ставки Центрального банка Россий</w:t>
      </w:r>
      <w:r>
        <w:rPr>
          <w:rFonts w:ascii="Tinos" w:hAnsi="Tinos" w:eastAsia="Tinos" w:cs="Tinos"/>
          <w:sz w:val="22"/>
          <w:szCs w:val="22"/>
        </w:rPr>
        <w:t xml:space="preserve">ской </w:t>
      </w:r>
      <w:r>
        <w:rPr>
          <w:rFonts w:ascii="Tinos" w:hAnsi="Tinos" w:eastAsia="Tinos" w:cs="Tinos"/>
          <w:sz w:val="22"/>
          <w:szCs w:val="22"/>
        </w:rPr>
        <w:t xml:space="preserve">Федерации от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цены Контракта (отдельного этапа исполнения Контракта), уменьшенной на сумму, пропорциональною объему обязательств, предусмотренных Контрактом и фактически исполненным Исполнителем, за исключением случаев, если законодательством </w:t>
      </w:r>
      <w:r>
        <w:rPr>
          <w:rFonts w:ascii="Tinos" w:hAnsi="Tinos" w:eastAsia="Tinos" w:cs="Tinos"/>
          <w:sz w:val="22"/>
          <w:szCs w:val="22"/>
        </w:rPr>
        <w:t xml:space="preserve">Российской Федерации установлен иной порядок начисления пени.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5.4. Неустойка по Контракту выплачивается на основании обоснованного письменного требования Стороны.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5.5. Уплата неустойки не освобождает Стороны от исполнения своих обязательств по Контракту.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both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5.6. </w:t>
      </w:r>
      <w:r>
        <w:rPr>
          <w:rFonts w:ascii="Tinos" w:hAnsi="Tinos" w:eastAsia="Tinos" w:cs="Tinos"/>
          <w:sz w:val="22"/>
          <w:szCs w:val="22"/>
        </w:rPr>
        <w:t xml:space="preserve">Сторона освобождается от уплаты неустойки (пени), если докажет, что неисполнение </w:t>
        <w:br w:type="textWrapping" w:clear="all"/>
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center"/>
        <w:rPr>
          <w:rFonts w:ascii="Tinos" w:hAnsi="Tinos" w:cs="Tinos"/>
          <w:b/>
          <w:bCs/>
          <w:color w:val="000000"/>
          <w:sz w:val="22"/>
          <w:szCs w:val="22"/>
        </w:rPr>
      </w:pPr>
      <w:r>
        <w:rPr>
          <w:rFonts w:ascii="Tinos" w:hAnsi="Tinos" w:eastAsia="Tinos" w:cs="Tinos"/>
          <w:b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</w:rPr>
      </w:r>
      <w:r>
        <w:rPr>
          <w:rFonts w:ascii="Tinos" w:hAnsi="Tinos" w:cs="Tinos"/>
          <w:b/>
          <w:bCs/>
          <w:color w:val="000000"/>
          <w:sz w:val="22"/>
          <w:szCs w:val="22"/>
        </w:rPr>
      </w:r>
    </w:p>
    <w:p>
      <w:pPr>
        <w:pStyle w:val="912"/>
        <w:ind w:firstLine="709"/>
        <w:jc w:val="center"/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6. ГАРАНТИЯ КАЧЕСТВА</w:t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</w:p>
    <w:p>
      <w:pPr>
        <w:pStyle w:val="912"/>
        <w:ind w:firstLine="709"/>
        <w:jc w:val="both"/>
        <w:tabs>
          <w:tab w:val="left" w:pos="75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6.1. </w:t>
      </w:r>
      <w:r>
        <w:rPr>
          <w:rStyle w:val="1006"/>
          <w:rFonts w:ascii="Tinos" w:hAnsi="Tinos" w:eastAsia="Tinos" w:cs="Tinos"/>
          <w:sz w:val="22"/>
          <w:szCs w:val="22"/>
        </w:rPr>
        <w:t xml:space="preserve">Исполнитель гарантирует, что качество оказываемых Услуг соответствует требованиям стандартов, а также иным требованиям, предъявляемым к Услугам такого рода на территории Российской Федерации. Гарантийный срок устанавливается на весь срок оказания Услуг.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center"/>
        <w:rPr>
          <w:rFonts w:ascii="Tinos" w:hAnsi="Tinos" w:cs="Tinos"/>
          <w:b/>
          <w:color w:val="000000"/>
          <w:sz w:val="22"/>
          <w:szCs w:val="22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7. ФОРС-МАЖОР</w:t>
      </w:r>
      <w:r>
        <w:rPr>
          <w:rFonts w:ascii="Tinos" w:hAnsi="Tinos" w:cs="Tinos"/>
          <w:b/>
          <w:color w:val="000000"/>
          <w:sz w:val="22"/>
          <w:szCs w:val="22"/>
        </w:rPr>
      </w:r>
      <w:r>
        <w:rPr>
          <w:rFonts w:ascii="Tinos" w:hAnsi="Tinos" w:cs="Tinos"/>
          <w:b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7.1. </w:t>
      </w:r>
      <w:r>
        <w:rPr>
          <w:rFonts w:ascii="Tinos" w:hAnsi="Tinos" w:eastAsia="Tinos" w:cs="Tinos"/>
          <w:sz w:val="22"/>
          <w:szCs w:val="22"/>
        </w:rPr>
        <w:t xml:space="preserve">Стороны освобождаются от ответственности за частичное или полн</w:t>
      </w:r>
      <w:r>
        <w:rPr>
          <w:rFonts w:ascii="Tinos" w:hAnsi="Tinos" w:eastAsia="Tinos" w:cs="Tinos"/>
          <w:sz w:val="22"/>
          <w:szCs w:val="22"/>
        </w:rPr>
        <w:t xml:space="preserve">ое неисполнение обязательств по настоящему Контракту, если неис</w:t>
      </w:r>
      <w:r>
        <w:rPr>
          <w:rFonts w:ascii="Tinos" w:hAnsi="Tinos" w:eastAsia="Tinos" w:cs="Tinos"/>
          <w:sz w:val="22"/>
          <w:szCs w:val="22"/>
        </w:rPr>
        <w:t xml:space="preserve">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7.2. Сторона, которая не в состоянии выполнить свои обязательства по настоящему Контракту </w:t>
        <w:br w:type="textWrapping" w:clear="all"/>
        <w:t xml:space="preserve">в силу вышеуказанных обстоятельств, незамедлительно письменно информирует другую Сторону </w:t>
        <w:br w:type="textWrapping" w:clear="all"/>
        <w:t xml:space="preserve">о наступлении данных обстоятельств и прекращении в</w:t>
      </w:r>
      <w:r>
        <w:rPr>
          <w:rFonts w:ascii="Tinos" w:hAnsi="Tinos" w:eastAsia="Tinos" w:cs="Tinos"/>
          <w:sz w:val="22"/>
          <w:szCs w:val="22"/>
        </w:rPr>
        <w:t xml:space="preserve">ыполнения указанных обязательств, но в любом случае не позднее 3 (Трех) рабочих дней после начала их действия. Несвоевременное уведомление </w:t>
        <w:br/>
        <w:t xml:space="preserve">о наступлении обстоятельств непреодолимой силы лишает соответствующую Сторону права </w:t>
        <w:br/>
        <w:t xml:space="preserve">на освобождение от ответственно</w:t>
      </w:r>
      <w:r>
        <w:rPr>
          <w:rFonts w:ascii="Tinos" w:hAnsi="Tinos" w:eastAsia="Tinos" w:cs="Tinos"/>
          <w:sz w:val="22"/>
          <w:szCs w:val="22"/>
        </w:rPr>
        <w:t xml:space="preserve">сти за частичное или полное неисполнение обязательств по настоящему Контракту по причине указанных обстоятельств. Факт наступления и прекращения действия обстоятельств непреодолимой силы документально подтверждается компетентными государственными органами.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7.3. Если указанные обстоятельства продолжаются более 1 (Одного) месяца, то каждая Сторона имеет право на досрочное расторжение настоящего Контракта. В этом случае Стороны производят взаиморасчеты.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center"/>
        <w:rPr>
          <w:rFonts w:ascii="Tinos" w:hAnsi="Tinos" w:cs="Tinos"/>
          <w:b/>
          <w:color w:val="000000"/>
          <w:sz w:val="22"/>
          <w:szCs w:val="22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8. ИЗМЕНЕНИЕ И РАСТОРЖЕНИЕ КОНТРАКТА</w:t>
      </w:r>
      <w:r>
        <w:rPr>
          <w:rFonts w:ascii="Tinos" w:hAnsi="Tinos" w:cs="Tinos"/>
          <w:b/>
          <w:color w:val="000000"/>
          <w:sz w:val="22"/>
          <w:szCs w:val="22"/>
        </w:rPr>
      </w:r>
      <w:r>
        <w:rPr>
          <w:rFonts w:ascii="Tinos" w:hAnsi="Tinos" w:cs="Tinos"/>
          <w:b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8.1. При исполнении Контракта изменение его условий не допускается, за исключением случаев, предусмотренных </w:t>
      </w:r>
      <w:r>
        <w:rPr>
          <w:rFonts w:ascii="Tinos" w:hAnsi="Tinos" w:eastAsia="Tinos" w:cs="Tinos"/>
          <w:sz w:val="22"/>
          <w:szCs w:val="22"/>
        </w:rPr>
        <w:fldChar w:fldCharType="begin"/>
      </w:r>
      <w:r>
        <w:rPr>
          <w:rFonts w:ascii="Tinos" w:hAnsi="Tinos" w:eastAsia="Tinos" w:cs="Tinos"/>
          <w:sz w:val="22"/>
          <w:szCs w:val="22"/>
        </w:rPr>
        <w:instrText xml:space="preserve">HYPERLINK consultantplus://offline/ref=9A6BDA9D95FCB93A483E6C1737BA5BF0EE7BF4AE0E0FE8A326E248A79A5E988C9BC6B4F5D1FD614FU0P0F </w:instrText>
      </w:r>
      <w:r>
        <w:rPr>
          <w:rFonts w:ascii="Tinos" w:hAnsi="Tinos" w:eastAsia="Tinos" w:cs="Tinos"/>
          <w:sz w:val="22"/>
          <w:szCs w:val="22"/>
        </w:rPr>
        <w:fldChar w:fldCharType="separate"/>
      </w:r>
      <w:r>
        <w:rPr>
          <w:rFonts w:ascii="Tinos" w:hAnsi="Tinos" w:eastAsia="Tinos" w:cs="Tinos"/>
          <w:sz w:val="22"/>
          <w:szCs w:val="22"/>
        </w:rPr>
        <w:t xml:space="preserve">статьей 95</w:t>
      </w:r>
      <w:r>
        <w:rPr>
          <w:rFonts w:ascii="Tinos" w:hAnsi="Tinos" w:eastAsia="Tinos" w:cs="Tinos"/>
          <w:sz w:val="22"/>
          <w:szCs w:val="22"/>
        </w:rPr>
        <w:fldChar w:fldCharType="end"/>
      </w:r>
      <w:r>
        <w:rPr>
          <w:rFonts w:ascii="Tinos" w:hAnsi="Tinos" w:eastAsia="Tinos" w:cs="Tinos"/>
          <w:sz w:val="22"/>
          <w:szCs w:val="22"/>
        </w:rPr>
        <w:t xml:space="preserve"> Федерального закона от 05.04.2013 № 44-ФЗ «О контрактной системе </w:t>
        <w:br w:type="textWrapping" w:clear="all"/>
        <w:t xml:space="preserve">в сфере закупок товаров, работ, услуг для обеспечения государственных и муниципальных нужд».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8.2. </w:t>
      </w:r>
      <w:r>
        <w:rPr>
          <w:rFonts w:ascii="Tinos" w:hAnsi="Tinos" w:eastAsia="Tinos" w:cs="Tinos"/>
          <w:sz w:val="22"/>
          <w:szCs w:val="22"/>
        </w:rPr>
        <w:t xml:space="preserve">Контракт может быть расторгнут по соглашению Сторон, а также Стороны вправе </w:t>
        <w:br w:type="textWrapping" w:clear="all"/>
        <w:t xml:space="preserve">в одностороннем порядке по письменному заявлению отказаться от его исполнения по основаниям, предусмотренным Контрактом и гражданским законодательством Российской Федерации.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8.3. Заказчик вправе отказаться от исполнения Контракта в одностороннем внесудебном порядке </w:t>
        <w:br w:type="textWrapping" w:clear="all"/>
        <w:t xml:space="preserve">в случаях: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8.3.1. Оказания Услуг ненадлежащего качества с недостатками, которые не могут быть устранены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в приемлемый для Заказчика срок.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8.3.2. Неоднократного нарушения Исполнителем сроков оказания Услуг.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8.3.3. В иных случаях, предусмотренных гражданским законодательством Российской Федерации.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8.4. Исполнитель вправе отказаться от Контракта в одностороннем порядке в случае необоснованного уклонения Заказчика от принятия и оплаты оказанных Услуг.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center"/>
        <w:rPr>
          <w:rFonts w:ascii="Tinos" w:hAnsi="Tinos" w:cs="Tinos"/>
          <w:b/>
          <w:color w:val="000000"/>
          <w:sz w:val="22"/>
          <w:szCs w:val="22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9. ПОРЯДОК РАССМОТРЕНИЯ СПОРОВ</w:t>
      </w:r>
      <w:r>
        <w:rPr>
          <w:rFonts w:ascii="Tinos" w:hAnsi="Tinos" w:cs="Tinos"/>
          <w:b/>
          <w:color w:val="000000"/>
          <w:sz w:val="22"/>
          <w:szCs w:val="22"/>
        </w:rPr>
      </w:r>
      <w:r>
        <w:rPr>
          <w:rFonts w:ascii="Tinos" w:hAnsi="Tinos" w:cs="Tinos"/>
          <w:b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9.1. </w:t>
      </w:r>
      <w:r>
        <w:rPr>
          <w:rFonts w:ascii="Tinos" w:hAnsi="Tinos" w:eastAsia="Tinos" w:cs="Tinos"/>
          <w:sz w:val="22"/>
          <w:szCs w:val="22"/>
        </w:rPr>
        <w:t xml:space="preserve">Споры и разногласия Сторон, возникающие в связи с исполнением настоящего Контракта, рассматриваются Сторонами путем переговоров.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9.2. Неурегулированные путем переговоров споры и разногласия разрешаются в Арбитражном суде Омской области в соответствии с действующим законодательством Российской Федерации.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center"/>
        <w:rPr>
          <w:rFonts w:ascii="Tinos" w:hAnsi="Tinos" w:cs="Tinos"/>
          <w:b/>
          <w:color w:val="000000"/>
          <w:sz w:val="22"/>
          <w:szCs w:val="22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</w:r>
      <w:r>
        <w:rPr>
          <w:rFonts w:ascii="Tinos" w:hAnsi="Tinos" w:cs="Tinos"/>
          <w:b/>
          <w:color w:val="000000"/>
          <w:sz w:val="22"/>
          <w:szCs w:val="22"/>
        </w:rPr>
      </w:r>
      <w:r>
        <w:rPr>
          <w:rFonts w:ascii="Tinos" w:hAnsi="Tinos" w:cs="Tinos"/>
          <w:b/>
          <w:color w:val="000000"/>
          <w:sz w:val="22"/>
          <w:szCs w:val="22"/>
        </w:rPr>
      </w:r>
    </w:p>
    <w:p>
      <w:pPr>
        <w:pStyle w:val="912"/>
        <w:ind w:firstLine="709"/>
        <w:jc w:val="center"/>
        <w:rPr>
          <w:rFonts w:ascii="Tinos" w:hAnsi="Tinos" w:cs="Tinos"/>
          <w:b/>
          <w:color w:val="000000"/>
          <w:sz w:val="22"/>
          <w:szCs w:val="22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10. ПРОЧИЕ УСЛОВИЯ КОНТРАКТА</w:t>
      </w:r>
      <w:r>
        <w:rPr>
          <w:rFonts w:ascii="Tinos" w:hAnsi="Tinos" w:cs="Tinos"/>
          <w:b/>
          <w:color w:val="000000"/>
          <w:sz w:val="22"/>
          <w:szCs w:val="22"/>
        </w:rPr>
      </w:r>
      <w:r>
        <w:rPr>
          <w:rFonts w:ascii="Tinos" w:hAnsi="Tinos" w:cs="Tinos"/>
          <w:b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10.1. </w:t>
      </w:r>
      <w:r>
        <w:rPr>
          <w:rFonts w:ascii="Tinos" w:hAnsi="Tinos" w:eastAsia="Tinos" w:cs="Tinos"/>
          <w:sz w:val="22"/>
          <w:szCs w:val="22"/>
        </w:rPr>
        <w:t xml:space="preserve">Все изменения и дополнения к настоящему Контракту оформляются дополнительными соглашениями, подписываемыми Сторонами, которые являются неотъемлемой частью Контракта.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10.2. Настоящий </w:t>
      </w:r>
      <w:r>
        <w:rPr>
          <w:rFonts w:ascii="Tinos" w:hAnsi="Tinos" w:eastAsia="Tinos" w:cs="Tinos"/>
          <w:sz w:val="22"/>
          <w:szCs w:val="22"/>
        </w:rPr>
        <w:t xml:space="preserve">Контракт вступает в силу с момента его подписания обеими Сторонами </w:t>
        <w:br w:type="textWrapping" w:clear="all"/>
        <w:t xml:space="preserve">и действует по 31.12.202</w:t>
      </w:r>
      <w:r>
        <w:rPr>
          <w:rFonts w:ascii="Tinos" w:hAnsi="Tinos" w:eastAsia="Tinos" w:cs="Tinos"/>
          <w:sz w:val="22"/>
          <w:szCs w:val="22"/>
        </w:rPr>
        <w:t xml:space="preserve">7, а в части финансовых обязательств - до полного их исполнения.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Стороны распространяют положения настоящего </w:t>
      </w:r>
      <w:r>
        <w:rPr>
          <w:rFonts w:ascii="Tinos" w:hAnsi="Tinos" w:eastAsia="Tinos" w:cs="Tinos"/>
          <w:sz w:val="22"/>
          <w:szCs w:val="22"/>
        </w:rPr>
        <w:t xml:space="preserve">Контракт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а на правоотношения, которые возникли между ними с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01.06.</w:t>
      </w:r>
      <w:r>
        <w:rPr>
          <w:rFonts w:ascii="Tinos" w:hAnsi="Tinos" w:eastAsia="Tinos" w:cs="Tinos"/>
          <w:color w:val="000000"/>
          <w:sz w:val="22"/>
          <w:szCs w:val="22"/>
          <w:lang w:eastAsia="ar-SA"/>
        </w:rPr>
        <w:t xml:space="preserve">202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6, в связи с чем расчеты по данному </w:t>
      </w:r>
      <w:r>
        <w:rPr>
          <w:rFonts w:ascii="Tinos" w:hAnsi="Tinos" w:eastAsia="Tinos" w:cs="Tinos"/>
          <w:sz w:val="22"/>
          <w:szCs w:val="22"/>
        </w:rPr>
        <w:t xml:space="preserve">Контракт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у производятся с этой даты.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10.3. </w:t>
      </w:r>
      <w:r>
        <w:rPr>
          <w:rFonts w:ascii="Tinos" w:hAnsi="Tinos" w:eastAsia="Tinos" w:cs="Tinos"/>
          <w:sz w:val="22"/>
          <w:szCs w:val="22"/>
        </w:rPr>
        <w:t xml:space="preserve">Настоящий Контракт составлен в 2 (Двух) экземплярах, имеющих одинаковую юридическую силу, по одному для каждой из Сторон.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firstLine="709"/>
        <w:jc w:val="both"/>
        <w:rPr>
          <w:rFonts w:ascii="Tinos" w:hAnsi="Tinos" w:cs="Tinos"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</w:p>
    <w:p>
      <w:pPr>
        <w:pStyle w:val="912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Приложение: Порядок расчета цены. Перечень оказываемых услуг.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center"/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</w:p>
    <w:p>
      <w:pPr>
        <w:pStyle w:val="912"/>
        <w:ind w:firstLine="709"/>
        <w:jc w:val="center"/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11. ЮРИДИЧЕСКИЕ АДРЕСА, ПЛАТЕЖНЫЕ РЕКВИЗИТЫ И ПОДПИСИ СТОРОН</w:t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</w:p>
    <w:p>
      <w:pPr>
        <w:ind w:firstLine="709"/>
        <w:jc w:val="center"/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/>
          <w:sz w:val="22"/>
          <w:szCs w:val="22"/>
          <w:highlight w:val="none"/>
        </w:rPr>
      </w:r>
    </w:p>
    <w:tbl>
      <w:tblPr>
        <w:tblpPr w:horzAnchor="text" w:tblpX="70" w:vertAnchor="text" w:tblpY="181" w:leftFromText="180" w:topFromText="0" w:rightFromText="180" w:bottomFromText="0"/>
        <w:tblW w:w="1030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68"/>
        <w:gridCol w:w="5040"/>
      </w:tblGrid>
      <w:tr>
        <w:tblPrEx/>
        <w:trPr>
          <w:trHeight w:val="234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68" w:type="dxa"/>
            <w:vAlign w:val="top"/>
            <w:textDirection w:val="lrTb"/>
            <w:noWrap w:val="false"/>
          </w:tcPr>
          <w:p>
            <w:pPr>
              <w:pStyle w:val="912"/>
              <w:rPr>
                <w:rFonts w:ascii="Tinos" w:hAnsi="Tinos" w:cs="Tinos"/>
                <w:color w:val="000000"/>
                <w:sz w:val="22"/>
                <w:szCs w:val="22"/>
              </w:rPr>
              <w:framePr w:hSpace="180" w:wrap="around" w:vAnchor="text" w:hAnchor="text" w:x="70" w:y="181"/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color w:val="000000"/>
                <w:sz w:val="22"/>
                <w:szCs w:val="22"/>
              </w:rPr>
              <w:framePr w:hSpace="180" w:wrap="around" w:vAnchor="text" w:hAnchor="text" w:x="70" w:y="181"/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text" w:x="70" w:y="18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Омской области 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text" w:x="70" w:y="18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color w:val="000000"/>
                <w:sz w:val="22"/>
                <w:szCs w:val="22"/>
              </w:rPr>
              <w:framePr w:hSpace="180" w:wrap="around" w:vAnchor="text" w:hAnchor="text" w:x="70" w:y="181"/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5503085391 КПП 550301001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ОГРН 1045504038524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ОКПО 76322092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Платежные реквизиты: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р/с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03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211643000000015108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ОКЦ № 1 СибГУ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 Банка России//УФК </w:t>
              <w:br/>
              <w:t xml:space="preserve">по Новосибирской области, г. Новосибирск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к/с 40102810445370000043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БИК 015004950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Телефон/факс: 8 (3812) 56-35-25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Адрес эл.почты: 55_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@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С.Э. 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м.п.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12"/>
              <w:rPr>
                <w:rFonts w:ascii="Tinos" w:hAnsi="Tinos" w:cs="Tinos"/>
                <w:color w:val="000000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color w:val="000000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Главный врач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  <w:framePr w:x="70"/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tabs>
                <w:tab w:val="left" w:pos="5445" w:leader="none"/>
              </w:tabs>
              <w:rPr>
                <w:rFonts w:ascii="Tinos" w:hAnsi="Tinos" w:cs="Tinos"/>
                <w:sz w:val="22"/>
                <w:szCs w:val="22"/>
              </w:rPr>
              <w:framePr w:x="70"/>
              <w:outlineLvl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м.п.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pStyle w:val="912"/>
        <w:ind w:firstLine="709"/>
        <w:jc w:val="right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                          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right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  <w:br w:type="page" w:clear="all"/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right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right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right"/>
        <w:tabs>
          <w:tab w:val="left" w:pos="5445" w:leader="none"/>
        </w:tabs>
        <w:rPr>
          <w:rFonts w:ascii="Tinos" w:hAnsi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firstLine="709"/>
        <w:jc w:val="right"/>
        <w:tabs>
          <w:tab w:val="left" w:pos="5445" w:leader="none"/>
        </w:tabs>
        <w:rPr>
          <w:rFonts w:ascii="Tinos" w:hAnsi="Tinos" w:eastAsia="Tinos" w:cs="Tinos"/>
          <w:sz w:val="22"/>
          <w:szCs w:val="22"/>
          <w:highlight w:val="none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  <w:t xml:space="preserve">Пр</w:t>
      </w:r>
      <w:r>
        <w:rPr>
          <w:rFonts w:ascii="Tinos" w:hAnsi="Tinos" w:eastAsia="Tinos" w:cs="Tinos"/>
          <w:sz w:val="22"/>
          <w:szCs w:val="22"/>
        </w:rPr>
        <w:t xml:space="preserve">иложение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pStyle w:val="912"/>
        <w:ind w:firstLine="709"/>
        <w:jc w:val="right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к Государственному контракту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right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   </w:t>
      </w:r>
      <w:r>
        <w:rPr>
          <w:rFonts w:ascii="Tinos" w:hAnsi="Tinos" w:eastAsia="Tinos" w:cs="Tinos"/>
          <w:sz w:val="22"/>
          <w:szCs w:val="22"/>
        </w:rPr>
        <w:t xml:space="preserve">          </w:t>
      </w:r>
      <w:r>
        <w:rPr>
          <w:rFonts w:ascii="Tinos" w:hAnsi="Tinos" w:eastAsia="Tinos" w:cs="Tinos"/>
          <w:sz w:val="22"/>
          <w:szCs w:val="22"/>
        </w:rPr>
        <w:t xml:space="preserve">             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 </w:t>
      </w:r>
      <w:r>
        <w:rPr>
          <w:rFonts w:ascii="Tinos" w:hAnsi="Tinos" w:eastAsia="Tinos" w:cs="Tinos"/>
          <w:sz w:val="22"/>
          <w:szCs w:val="22"/>
        </w:rPr>
        <w:t xml:space="preserve">________________  </w:t>
      </w:r>
      <w:r>
        <w:rPr>
          <w:rFonts w:ascii="Tinos" w:hAnsi="Tinos" w:eastAsia="Tinos" w:cs="Tinos"/>
          <w:sz w:val="22"/>
          <w:szCs w:val="22"/>
        </w:rPr>
        <w:t xml:space="preserve">№ </w:t>
      </w:r>
      <w:r>
        <w:rPr>
          <w:rFonts w:ascii="Tinos" w:hAnsi="Tinos" w:eastAsia="Tinos" w:cs="Tinos"/>
          <w:sz w:val="22"/>
          <w:szCs w:val="22"/>
        </w:rPr>
        <w:t xml:space="preserve">_____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39"/>
        <w:ind w:left="0" w:firstLine="709"/>
        <w:jc w:val="center"/>
        <w:spacing w:after="0" w:line="240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39"/>
        <w:ind w:left="0" w:firstLine="709"/>
        <w:jc w:val="center"/>
        <w:spacing w:after="0" w:line="240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39"/>
        <w:ind w:left="0" w:firstLine="709"/>
        <w:jc w:val="center"/>
        <w:spacing w:after="0" w:line="240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39"/>
        <w:ind w:left="0" w:firstLine="709"/>
        <w:jc w:val="center"/>
        <w:spacing w:after="0" w:line="240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39"/>
        <w:ind w:left="0" w:firstLine="709"/>
        <w:jc w:val="center"/>
        <w:spacing w:after="0"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Порядок расчета цены.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39"/>
        <w:ind w:left="0" w:firstLine="709"/>
        <w:jc w:val="center"/>
        <w:spacing w:after="0"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39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Расчет цены Контракта произведен на основании </w:t>
      </w:r>
      <w:r>
        <w:rPr>
          <w:rFonts w:ascii="Tinos" w:hAnsi="Tinos" w:eastAsia="Tinos" w:cs="Tinos"/>
          <w:bCs/>
          <w:sz w:val="22"/>
          <w:szCs w:val="22"/>
        </w:rPr>
        <w:t xml:space="preserve">расчета цены </w:t>
      </w:r>
      <w:r>
        <w:rPr>
          <w:rFonts w:ascii="Tinos" w:hAnsi="Tinos" w:eastAsia="Tinos" w:cs="Tinos"/>
          <w:bCs/>
          <w:sz w:val="22"/>
          <w:szCs w:val="22"/>
        </w:rPr>
        <w:t xml:space="preserve">1 (Одного) предрейсового </w:t>
      </w:r>
      <w:r>
        <w:rPr>
          <w:rFonts w:ascii="Tinos" w:hAnsi="Tinos" w:eastAsia="Tinos" w:cs="Tinos"/>
          <w:bCs/>
          <w:sz w:val="22"/>
          <w:szCs w:val="22"/>
        </w:rPr>
        <w:br w:type="textWrapping" w:clear="all"/>
      </w:r>
      <w:r>
        <w:rPr>
          <w:rFonts w:ascii="Tinos" w:hAnsi="Tinos" w:eastAsia="Tinos" w:cs="Tinos"/>
          <w:bCs/>
          <w:sz w:val="22"/>
          <w:szCs w:val="22"/>
        </w:rPr>
        <w:t xml:space="preserve">и послерейсового медицинского осмотра, утвержденной главным врачом БУЗОО «Павлоградская ЦРБ».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pStyle w:val="939"/>
        <w:ind w:left="0" w:firstLine="708"/>
        <w:jc w:val="both"/>
        <w:spacing w:after="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1014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3"/>
        <w:gridCol w:w="1596"/>
        <w:gridCol w:w="1560"/>
        <w:gridCol w:w="4320"/>
        <w:gridCol w:w="21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5"/>
        </w:trPr>
        <w:tc>
          <w:tcPr>
            <w:tcW w:w="513" w:type="dxa"/>
            <w:vAlign w:val="center"/>
            <w:textDirection w:val="lrTb"/>
            <w:noWrap w:val="false"/>
          </w:tcPr>
          <w:p>
            <w:pPr>
              <w:pStyle w:val="91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96" w:type="dxa"/>
            <w:vAlign w:val="center"/>
            <w:textDirection w:val="lrTb"/>
            <w:noWrap w:val="false"/>
          </w:tcPr>
          <w:p>
            <w:pPr>
              <w:pStyle w:val="91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Месяц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91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Количество выездов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4320" w:type="dxa"/>
            <w:vAlign w:val="center"/>
            <w:textDirection w:val="lrTb"/>
            <w:noWrap w:val="false"/>
          </w:tcPr>
          <w:p>
            <w:pPr>
              <w:pStyle w:val="91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Стоимость предрейсового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медицинского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осмотра одного водителя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(НДС 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160" w:type="dxa"/>
            <w:vAlign w:val="center"/>
            <w:textDirection w:val="lrTb"/>
            <w:noWrap w:val="false"/>
          </w:tcPr>
          <w:p>
            <w:pPr>
              <w:pStyle w:val="91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Сумма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(НДС 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13" w:type="dxa"/>
            <w:vAlign w:val="top"/>
            <w:vMerge w:val="restart"/>
            <w:textDirection w:val="lrTb"/>
            <w:noWrap w:val="false"/>
          </w:tcPr>
          <w:p>
            <w:pPr>
              <w:pStyle w:val="91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96" w:type="dxa"/>
            <w:vAlign w:val="top"/>
            <w:vMerge w:val="restart"/>
            <w:textDirection w:val="lrTb"/>
            <w:noWrap w:val="false"/>
          </w:tcPr>
          <w:p>
            <w:pPr>
              <w:pStyle w:val="91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Июнь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912"/>
              <w:ind w:left="-108" w:right="-108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432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16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150,00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13" w:type="dxa"/>
            <w:vAlign w:val="top"/>
            <w:vMerge w:val="restart"/>
            <w:textDirection w:val="lrTb"/>
            <w:noWrap w:val="false"/>
          </w:tcPr>
          <w:p>
            <w:pPr>
              <w:pStyle w:val="91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96" w:type="dxa"/>
            <w:vAlign w:val="top"/>
            <w:vMerge w:val="restart"/>
            <w:textDirection w:val="lrTb"/>
            <w:noWrap w:val="false"/>
          </w:tcPr>
          <w:p>
            <w:pPr>
              <w:pStyle w:val="91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Июль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912"/>
              <w:ind w:left="-108" w:right="-108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432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16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225,00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13" w:type="dxa"/>
            <w:vAlign w:val="top"/>
            <w:vMerge w:val="restart"/>
            <w:textDirection w:val="lrTb"/>
            <w:noWrap w:val="false"/>
          </w:tcPr>
          <w:p>
            <w:pPr>
              <w:pStyle w:val="91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96" w:type="dxa"/>
            <w:vAlign w:val="top"/>
            <w:vMerge w:val="restart"/>
            <w:textDirection w:val="lrTb"/>
            <w:noWrap w:val="false"/>
          </w:tcPr>
          <w:p>
            <w:pPr>
              <w:pStyle w:val="91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Август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912"/>
              <w:ind w:left="-108" w:right="-108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432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16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225,00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1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96" w:type="dxa"/>
            <w:vAlign w:val="top"/>
            <w:textDirection w:val="lrTb"/>
            <w:noWrap w:val="false"/>
          </w:tcPr>
          <w:p>
            <w:pPr>
              <w:pStyle w:val="91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Сентябрь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43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150,00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"/>
        </w:trPr>
        <w:tc>
          <w:tcPr>
            <w:tcW w:w="51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96" w:type="dxa"/>
            <w:vAlign w:val="top"/>
            <w:textDirection w:val="lrTb"/>
            <w:noWrap w:val="false"/>
          </w:tcPr>
          <w:p>
            <w:pPr>
              <w:pStyle w:val="91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43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150,00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3"/>
        </w:trPr>
        <w:tc>
          <w:tcPr>
            <w:tcW w:w="51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96" w:type="dxa"/>
            <w:vAlign w:val="top"/>
            <w:textDirection w:val="lrTb"/>
            <w:noWrap w:val="false"/>
          </w:tcPr>
          <w:p>
            <w:pPr>
              <w:pStyle w:val="91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43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253"/>
        </w:trPr>
        <w:tc>
          <w:tcPr>
            <w:tcW w:w="51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96" w:type="dxa"/>
            <w:vAlign w:val="top"/>
            <w:vMerge w:val="restart"/>
            <w:textDirection w:val="lrTb"/>
            <w:noWrap w:val="false"/>
          </w:tcPr>
          <w:p>
            <w:pPr>
              <w:pStyle w:val="91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Декабрь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432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16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gridSpan w:val="2"/>
            <w:tcW w:w="2109" w:type="dxa"/>
            <w:vAlign w:val="top"/>
            <w:textDirection w:val="lrTb"/>
            <w:noWrap w:val="false"/>
          </w:tcPr>
          <w:p>
            <w:pPr>
              <w:pStyle w:val="912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14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  <w:tc>
          <w:tcPr>
            <w:tcW w:w="4320" w:type="dxa"/>
            <w:vAlign w:val="top"/>
            <w:textDirection w:val="lrTb"/>
            <w:noWrap w:val="false"/>
          </w:tcPr>
          <w:p>
            <w:pPr>
              <w:pStyle w:val="912"/>
              <w:ind w:left="-108" w:right="-108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1 050,00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</w:tr>
    </w:tbl>
    <w:p>
      <w:pPr>
        <w:ind w:firstLine="709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ind w:firstLine="709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2"/>
        <w:ind w:firstLine="709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2"/>
        <w:ind w:firstLine="709"/>
        <w:jc w:val="center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Перечень оказываемых услуг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ind w:firstLine="709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ind w:firstLine="709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1.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О</w:t>
      </w:r>
      <w:r>
        <w:rPr>
          <w:rFonts w:ascii="Tinos" w:hAnsi="Tinos" w:eastAsia="Tinos" w:cs="Tinos"/>
          <w:sz w:val="22"/>
          <w:szCs w:val="22"/>
        </w:rPr>
        <w:t xml:space="preserve">смотр включает проведение следующих мероприятий: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- </w:t>
      </w:r>
      <w:r>
        <w:rPr>
          <w:rFonts w:ascii="Tinos" w:hAnsi="Tinos" w:eastAsia="Tinos" w:cs="Tinos"/>
          <w:sz w:val="22"/>
          <w:szCs w:val="22"/>
        </w:rPr>
        <w:t xml:space="preserve">сбор анамнеза;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артериального давления и пульса водителей;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наличия алкоголя и других психотропных веществ в выдыхаемом воздухе </w:t>
        <w:br w:type="textWrapping" w:clear="all"/>
        <w:t xml:space="preserve">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наличии показаний проведение любых других разрешенных медицинских исследований, необходимых для решения вопроса о допуске водителей к рейсу;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для водителей, больных гипертонической болезнью, определяется индивидуальная норма артериального давления по результатам замеров не менее, чем десяти предрейсовых медицинских осмотров.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 При р</w:t>
      </w:r>
      <w:r>
        <w:rPr>
          <w:rFonts w:ascii="Tinos" w:hAnsi="Tinos" w:eastAsia="Tinos" w:cs="Tinos"/>
          <w:sz w:val="22"/>
          <w:szCs w:val="22"/>
        </w:rPr>
        <w:t xml:space="preserve">ешении вопроса о возможности допуска водителя к управлению автомобилем медицинский работник, проводящий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3. Водители не допускаются к управлению автомобилем в следующих случаях: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временной нетрудоспособности;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положительной пробе на алкоголь, другие психотропные вещества и наркотики </w:t>
        <w:br w:type="textWrapping" w:clear="all"/>
        <w:t xml:space="preserve">в выдыхаемом воздухе 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наркотических веществ;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лекарственных или иных веществ, отрицательно влияющих на работоспособность водителя.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4. При допуске к рейсу на путевых листах по окончанию осмотра ставится отметка о допуске к рейсу (штамп установленного образца) и подпись медицинского работника, проводившего осмотр.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09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2"/>
        <w:ind w:firstLine="7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5. По результатам осмотра ведется полицевой учет отстраненных от работы водителей, для чего используются бланки карт амбулаторного больного (форма 25). В карту заносятся результаты осмотра (анамнез, объективные данные осмотра, причина отстранения).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firstLine="7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firstLine="7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firstLine="7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tbl>
      <w:tblPr>
        <w:tblW w:w="1020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0"/>
        <w:gridCol w:w="5400"/>
      </w:tblGrid>
      <w:tr>
        <w:tblPrEx/>
        <w:trPr>
          <w:trHeight w:val="269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0" w:type="dxa"/>
            <w:vAlign w:val="top"/>
            <w:textDirection w:val="lrTb"/>
            <w:noWrap w:val="false"/>
          </w:tcPr>
          <w:p>
            <w:pPr>
              <w:pStyle w:val="912"/>
              <w:ind w:left="-108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ind w:left="-108"/>
              <w:jc w:val="left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  <w:br w:type="textWrapping" w:clear="all"/>
              <w:t xml:space="preserve">и картографии по Омской области 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С.Э. 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м.п.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00" w:type="dxa"/>
            <w:vAlign w:val="top"/>
            <w:textDirection w:val="lrTb"/>
            <w:noWrap w:val="false"/>
          </w:tcPr>
          <w:p>
            <w:pPr>
              <w:pStyle w:val="912"/>
              <w:ind w:left="-108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-108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ind w:left="-108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Главный врач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2"/>
              <w:ind w:left="-108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м.п.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</w:tr>
    </w:tbl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nextPage"/>
      <w:pgSz w:w="11906" w:h="16838" w:orient="portrait"/>
      <w:pgMar w:top="283" w:right="626" w:bottom="1106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Times New Roman CYR">
    <w:panose1 w:val="02000603000000000000"/>
  </w:font>
  <w:font w:name="Cambria">
    <w:panose1 w:val="02040503050406030204"/>
  </w:font>
  <w:font w:name="Courier New">
    <w:panose1 w:val="02070409020205020404"/>
  </w:font>
  <w:font w:name="DejaVu Sans">
    <w:panose1 w:val="020B0603030804020204"/>
  </w:font>
  <w:font w:name="Wingdings">
    <w:panose1 w:val="05010000000000000000"/>
  </w:font>
  <w:font w:name="Franklin Gothic Book">
    <w:panose1 w:val="020B0503020203020204"/>
  </w:font>
  <w:font w:name="Lucida Sans Unicode">
    <w:panose1 w:val="020B0502040504020204"/>
  </w:font>
  <w:font w:name="Verdana">
    <w:panose1 w:val="020B0604030504040204"/>
  </w:font>
  <w:font w:name="TimesDL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Gelvetsky 12pt">
    <w:panose1 w:val="02000603000000000000"/>
  </w:font>
  <w:font w:name="Batang">
    <w:panose1 w:val="02000506000000020000"/>
  </w:font>
  <w:font w:name="Tahoma">
    <w:panose1 w:val="020B0604030504040204"/>
  </w:font>
  <w:font w:name="MS Mincho">
    <w:panose1 w:val="0202050305040509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12"/>
        <w:ind w:right="5" w:firstLine="720"/>
        <w:jc w:val="both"/>
        <w:rPr>
          <w:sz w:val="16"/>
          <w:szCs w:val="16"/>
        </w:rPr>
      </w:pPr>
      <w:r>
        <w:rPr>
          <w:rStyle w:val="947"/>
          <w:sz w:val="16"/>
          <w:szCs w:val="16"/>
        </w:rPr>
        <w:footnoteRef/>
      </w:r>
      <w:r>
        <w:rPr>
          <w:sz w:val="16"/>
          <w:szCs w:val="16"/>
        </w:rPr>
        <w:t xml:space="preserve"> Штрафные санкции рассчитываются на основании постановления Правительства РФ от 30.08.2017 №1042 «Об утверждении Правил опр</w:t>
      </w:r>
      <w:r>
        <w:rPr>
          <w:sz w:val="16"/>
          <w:szCs w:val="16"/>
        </w:rPr>
        <w:t xml:space="preserve">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</w:t>
      </w:r>
      <w:r>
        <w:rPr>
          <w:sz w:val="16"/>
          <w:szCs w:val="16"/>
        </w:rPr>
        <w:t xml:space="preserve">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</w:lvl>
    <w:lvl w:ilvl="1">
      <w:start w:val="1"/>
      <w:numFmt w:val="decimal"/>
      <w:pStyle w:val="914"/>
      <w:isLgl w:val="false"/>
      <w:suff w:val="tab"/>
      <w:lvlText w:val="2.1."/>
      <w:lvlJc w:val="left"/>
      <w:pPr>
        <w:ind w:left="284" w:hanging="284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644" w:hanging="360"/>
        <w:tabs>
          <w:tab w:val="num" w:pos="644" w:leader="none"/>
        </w:tabs>
      </w:pPr>
    </w:lvl>
    <w:lvl w:ilvl="3">
      <w:start w:val="1"/>
      <w:numFmt w:val="decimal"/>
      <w:pStyle w:val="916"/>
      <w:isLgl w:val="false"/>
      <w:suff w:val="tab"/>
      <w:lvlText w:val="2%1%2.2.%4."/>
      <w:lvlJc w:val="left"/>
      <w:pPr>
        <w:ind w:left="1134" w:hanging="567"/>
        <w:tabs>
          <w:tab w:val="num" w:pos="1287" w:leader="none"/>
        </w:tabs>
      </w:pPr>
    </w:lvl>
    <w:lvl w:ilvl="4">
      <w:start w:val="1"/>
      <w:numFmt w:val="decimal"/>
      <w:pStyle w:val="917"/>
      <w:isLgl w:val="false"/>
      <w:suff w:val="tab"/>
      <w:lvlText w:val="2.%2.%3.%4.%5."/>
      <w:lvlJc w:val="left"/>
      <w:pPr>
        <w:ind w:left="1701" w:hanging="567"/>
        <w:tabs>
          <w:tab w:val="num" w:pos="2214" w:leader="none"/>
        </w:tabs>
      </w:pPr>
    </w:lvl>
    <w:lvl w:ilvl="5">
      <w:start w:val="1"/>
      <w:numFmt w:val="decimal"/>
      <w:pStyle w:val="918"/>
      <w:isLgl w:val="false"/>
      <w:suff w:val="tab"/>
      <w:lvlText w:val="%1%2.%3.%4.%5.%6."/>
      <w:lvlJc w:val="left"/>
      <w:pPr>
        <w:ind w:left="2268" w:hanging="567"/>
        <w:tabs>
          <w:tab w:val="num" w:pos="2781" w:leader="none"/>
        </w:tabs>
      </w:pPr>
    </w:lvl>
    <w:lvl w:ilvl="6">
      <w:start w:val="1"/>
      <w:numFmt w:val="decimal"/>
      <w:pStyle w:val="919"/>
      <w:isLgl w:val="false"/>
      <w:suff w:val="tab"/>
      <w:lvlText w:val="%1%2.%3.%4.%5.%6.%7."/>
      <w:lvlJc w:val="left"/>
      <w:pPr>
        <w:ind w:left="4420" w:hanging="708"/>
        <w:tabs>
          <w:tab w:val="num" w:pos="5152" w:leader="none"/>
        </w:tabs>
      </w:pPr>
    </w:lvl>
    <w:lvl w:ilvl="7">
      <w:start w:val="1"/>
      <w:numFmt w:val="decimal"/>
      <w:pStyle w:val="920"/>
      <w:isLgl w:val="false"/>
      <w:suff w:val="tab"/>
      <w:lvlText w:val="%1.%2.%3.%4.%5.%6.%7.%8."/>
      <w:lvlJc w:val="left"/>
      <w:pPr>
        <w:ind w:left="5128" w:hanging="708"/>
        <w:tabs>
          <w:tab w:val="num" w:pos="6220" w:leader="none"/>
        </w:tabs>
      </w:pPr>
    </w:lvl>
    <w:lvl w:ilvl="8">
      <w:start w:val="1"/>
      <w:numFmt w:val="decimal"/>
      <w:pStyle w:val="921"/>
      <w:isLgl w:val="false"/>
      <w:suff w:val="tab"/>
      <w:lvlText w:val="%1.%2.%3.%4.%5.%6.%7.%8.%9."/>
      <w:lvlJc w:val="left"/>
      <w:pPr>
        <w:ind w:left="5836" w:hanging="708"/>
        <w:tabs>
          <w:tab w:val="num" w:pos="69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56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37" w:hanging="720"/>
        <w:tabs>
          <w:tab w:val="num" w:pos="2337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36" w:hanging="1080"/>
        <w:tabs>
          <w:tab w:val="num" w:pos="323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6">
    <w:multiLevelType w:val="hybridMultilevel"/>
    <w:lvl w:ilvl="0">
      <w:start w:val="1"/>
      <w:numFmt w:val="decimal"/>
      <w:pStyle w:val="995"/>
      <w:isLgl w:val="false"/>
      <w:suff w:val="tab"/>
      <w:lvlText w:val="%1)"/>
      <w:legacy w:legacy="1" w:legacyIndent="0" w:legacySpace="0"/>
      <w:lvlJc w:val="left"/>
      <w:pPr/>
      <w:rPr>
        <w:rFonts w:ascii="Times New Roman CYR" w:hAnsi="Times New Roman CYR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357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945" w:hanging="465"/>
        <w:tabs>
          <w:tab w:val="num" w:pos="94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1185" w:hanging="465"/>
        <w:tabs>
          <w:tab w:val="num" w:pos="118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0" w:hanging="750"/>
        <w:tabs>
          <w:tab w:val="num" w:pos="75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5" w:hanging="750"/>
        <w:tabs>
          <w:tab w:val="num" w:pos="1005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50"/>
        <w:tabs>
          <w:tab w:val="num" w:pos="126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15" w:hanging="750"/>
        <w:tabs>
          <w:tab w:val="num" w:pos="1515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00" w:hanging="1080"/>
        <w:tabs>
          <w:tab w:val="num" w:pos="210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55" w:hanging="1080"/>
        <w:tabs>
          <w:tab w:val="num" w:pos="235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970" w:hanging="1440"/>
        <w:tabs>
          <w:tab w:val="num" w:pos="297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25" w:hanging="1440"/>
        <w:tabs>
          <w:tab w:val="num" w:pos="3225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40" w:hanging="1800"/>
        <w:tabs>
          <w:tab w:val="num" w:pos="3840" w:leader="none"/>
        </w:tabs>
      </w:pPr>
      <w:rPr>
        <w:color w:val="000000"/>
      </w:r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284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17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decimal"/>
      <w:pStyle w:val="1005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pStyle w:val="1004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39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space"/>
      <w:lvlText w:val="%4)"/>
      <w:lvlJc w:val="left"/>
      <w:pPr>
        <w:ind w:firstLine="567"/>
      </w:pPr>
    </w:lvl>
    <w:lvl w:ilvl="4">
      <w:start w:val="1"/>
      <w:numFmt w:val="thaiNumbers"/>
      <w:isLgl w:val="false"/>
      <w:suff w:val="space"/>
      <w:lvlText w:val="%5)"/>
      <w:lvlJc w:val="left"/>
      <w:pPr>
        <w:ind w:firstLine="851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26">
    <w:multiLevelType w:val="hybridMultilevel"/>
    <w:lvl w:ilvl="0">
      <w:start w:val="1"/>
      <w:numFmt w:val="decimal"/>
      <w:pStyle w:val="937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998"/>
      <w:isLgl w:val="false"/>
      <w:suff w:val="tab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  <w:rPr>
        <w:rFonts w:cs="Times New Roman"/>
      </w:rPr>
    </w:lvl>
  </w:abstractNum>
  <w:abstractNum w:abstractNumId="3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6"/>
  </w:num>
  <w:num w:numId="3">
    <w:abstractNumId w:val="26"/>
  </w:num>
  <w:num w:numId="4">
    <w:abstractNumId w:val="13"/>
  </w:num>
  <w:num w:numId="5">
    <w:abstractNumId w:val="1"/>
  </w:num>
  <w:num w:numId="6">
    <w:abstractNumId w:val="23"/>
  </w:num>
  <w:num w:numId="7">
    <w:abstractNumId w:val="14"/>
  </w:num>
  <w:num w:numId="8">
    <w:abstractNumId w:val="17"/>
  </w:num>
  <w:num w:numId="9">
    <w:abstractNumId w:val="12"/>
  </w:num>
  <w:num w:numId="10">
    <w:abstractNumId w:val="28"/>
  </w:num>
  <w:num w:numId="11">
    <w:abstractNumId w:val="16"/>
  </w:num>
  <w:num w:numId="12">
    <w:abstractNumId w:val="27"/>
  </w:num>
  <w:num w:numId="13">
    <w:abstractNumId w:val="9"/>
  </w:num>
  <w:num w:numId="14">
    <w:abstractNumId w:val="15"/>
  </w:num>
  <w:num w:numId="15">
    <w:abstractNumId w:val="19"/>
  </w:num>
  <w:num w:numId="16">
    <w:abstractNumId w:val="3"/>
  </w:num>
  <w:num w:numId="17">
    <w:abstractNumId w:val="2"/>
  </w:num>
  <w:num w:numId="18">
    <w:abstractNumId w:val="18"/>
  </w:num>
  <w:num w:numId="19">
    <w:abstractNumId w:val="4"/>
  </w:num>
  <w:num w:numId="20">
    <w:abstractNumId w:val="10"/>
  </w:num>
  <w:num w:numId="21">
    <w:abstractNumId w:val="21"/>
  </w:num>
  <w:num w:numId="22">
    <w:abstractNumId w:val="7"/>
  </w:num>
  <w:num w:numId="23">
    <w:abstractNumId w:val="29"/>
  </w:num>
  <w:num w:numId="24">
    <w:abstractNumId w:val="25"/>
  </w:num>
  <w:num w:numId="25">
    <w:abstractNumId w:val="11"/>
  </w:num>
  <w:num w:numId="26">
    <w:abstractNumId w:val="5"/>
  </w:num>
  <w:num w:numId="27">
    <w:abstractNumId w:val="30"/>
  </w:num>
  <w:num w:numId="28">
    <w:abstractNumId w:val="31"/>
  </w:num>
  <w:num w:numId="29">
    <w:abstractNumId w:val="24"/>
  </w:num>
  <w:num w:numId="30">
    <w:abstractNumId w:val="20"/>
  </w:num>
  <w:num w:numId="31">
    <w:abstractNumId w:val="8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4">
    <w:name w:val="Heading 1"/>
    <w:basedOn w:val="912"/>
    <w:next w:val="912"/>
    <w:link w:val="7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5">
    <w:name w:val="Heading 1 Char"/>
    <w:link w:val="734"/>
    <w:uiPriority w:val="9"/>
    <w:rPr>
      <w:rFonts w:ascii="Arial" w:hAnsi="Arial" w:eastAsia="Arial" w:cs="Arial"/>
      <w:sz w:val="40"/>
      <w:szCs w:val="40"/>
    </w:rPr>
  </w:style>
  <w:style w:type="paragraph" w:styleId="736">
    <w:name w:val="Heading 2"/>
    <w:basedOn w:val="912"/>
    <w:next w:val="912"/>
    <w:link w:val="7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7">
    <w:name w:val="Heading 2 Char"/>
    <w:link w:val="736"/>
    <w:uiPriority w:val="9"/>
    <w:rPr>
      <w:rFonts w:ascii="Arial" w:hAnsi="Arial" w:eastAsia="Arial" w:cs="Arial"/>
      <w:sz w:val="34"/>
    </w:rPr>
  </w:style>
  <w:style w:type="paragraph" w:styleId="738">
    <w:name w:val="Heading 3"/>
    <w:basedOn w:val="912"/>
    <w:next w:val="912"/>
    <w:link w:val="7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9">
    <w:name w:val="Heading 3 Char"/>
    <w:link w:val="738"/>
    <w:uiPriority w:val="9"/>
    <w:rPr>
      <w:rFonts w:ascii="Arial" w:hAnsi="Arial" w:eastAsia="Arial" w:cs="Arial"/>
      <w:sz w:val="30"/>
      <w:szCs w:val="30"/>
    </w:rPr>
  </w:style>
  <w:style w:type="paragraph" w:styleId="740">
    <w:name w:val="Heading 4"/>
    <w:basedOn w:val="912"/>
    <w:next w:val="912"/>
    <w:link w:val="7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1">
    <w:name w:val="Heading 4 Char"/>
    <w:link w:val="740"/>
    <w:uiPriority w:val="9"/>
    <w:rPr>
      <w:rFonts w:ascii="Arial" w:hAnsi="Arial" w:eastAsia="Arial" w:cs="Arial"/>
      <w:b/>
      <w:bCs/>
      <w:sz w:val="26"/>
      <w:szCs w:val="26"/>
    </w:rPr>
  </w:style>
  <w:style w:type="paragraph" w:styleId="742">
    <w:name w:val="Heading 5"/>
    <w:basedOn w:val="912"/>
    <w:next w:val="912"/>
    <w:link w:val="7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3">
    <w:name w:val="Heading 5 Char"/>
    <w:link w:val="742"/>
    <w:uiPriority w:val="9"/>
    <w:rPr>
      <w:rFonts w:ascii="Arial" w:hAnsi="Arial" w:eastAsia="Arial" w:cs="Arial"/>
      <w:b/>
      <w:bCs/>
      <w:sz w:val="24"/>
      <w:szCs w:val="24"/>
    </w:rPr>
  </w:style>
  <w:style w:type="paragraph" w:styleId="744">
    <w:name w:val="Heading 6"/>
    <w:basedOn w:val="912"/>
    <w:next w:val="912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5">
    <w:name w:val="Heading 6 Char"/>
    <w:link w:val="744"/>
    <w:uiPriority w:val="9"/>
    <w:rPr>
      <w:rFonts w:ascii="Arial" w:hAnsi="Arial" w:eastAsia="Arial" w:cs="Arial"/>
      <w:b/>
      <w:bCs/>
      <w:sz w:val="22"/>
      <w:szCs w:val="22"/>
    </w:rPr>
  </w:style>
  <w:style w:type="paragraph" w:styleId="746">
    <w:name w:val="Heading 7"/>
    <w:basedOn w:val="912"/>
    <w:next w:val="912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7">
    <w:name w:val="Heading 7 Char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8">
    <w:name w:val="Heading 8"/>
    <w:basedOn w:val="912"/>
    <w:next w:val="912"/>
    <w:link w:val="7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9">
    <w:name w:val="Heading 8 Char"/>
    <w:link w:val="748"/>
    <w:uiPriority w:val="9"/>
    <w:rPr>
      <w:rFonts w:ascii="Arial" w:hAnsi="Arial" w:eastAsia="Arial" w:cs="Arial"/>
      <w:i/>
      <w:iCs/>
      <w:sz w:val="22"/>
      <w:szCs w:val="22"/>
    </w:rPr>
  </w:style>
  <w:style w:type="paragraph" w:styleId="750">
    <w:name w:val="Heading 9"/>
    <w:basedOn w:val="912"/>
    <w:next w:val="912"/>
    <w:link w:val="7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1">
    <w:name w:val="Heading 9 Char"/>
    <w:link w:val="750"/>
    <w:uiPriority w:val="9"/>
    <w:rPr>
      <w:rFonts w:ascii="Arial" w:hAnsi="Arial" w:eastAsia="Arial" w:cs="Arial"/>
      <w:i/>
      <w:iCs/>
      <w:sz w:val="21"/>
      <w:szCs w:val="21"/>
    </w:rPr>
  </w:style>
  <w:style w:type="paragraph" w:styleId="752">
    <w:name w:val="List Paragraph"/>
    <w:basedOn w:val="912"/>
    <w:uiPriority w:val="34"/>
    <w:qFormat/>
    <w:pPr>
      <w:contextualSpacing/>
      <w:ind w:left="720"/>
    </w:pPr>
  </w:style>
  <w:style w:type="paragraph" w:styleId="753">
    <w:name w:val="No Spacing"/>
    <w:uiPriority w:val="1"/>
    <w:qFormat/>
    <w:pPr>
      <w:spacing w:before="0" w:after="0" w:line="240" w:lineRule="auto"/>
    </w:pPr>
  </w:style>
  <w:style w:type="paragraph" w:styleId="754">
    <w:name w:val="Title"/>
    <w:basedOn w:val="912"/>
    <w:next w:val="912"/>
    <w:link w:val="7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5">
    <w:name w:val="Title Char"/>
    <w:link w:val="754"/>
    <w:uiPriority w:val="10"/>
    <w:rPr>
      <w:sz w:val="48"/>
      <w:szCs w:val="48"/>
    </w:rPr>
  </w:style>
  <w:style w:type="paragraph" w:styleId="756">
    <w:name w:val="Subtitle"/>
    <w:basedOn w:val="912"/>
    <w:next w:val="912"/>
    <w:link w:val="757"/>
    <w:uiPriority w:val="11"/>
    <w:qFormat/>
    <w:pPr>
      <w:spacing w:before="200" w:after="200"/>
    </w:pPr>
    <w:rPr>
      <w:sz w:val="24"/>
      <w:szCs w:val="24"/>
    </w:rPr>
  </w:style>
  <w:style w:type="character" w:styleId="757">
    <w:name w:val="Subtitle Char"/>
    <w:link w:val="756"/>
    <w:uiPriority w:val="11"/>
    <w:rPr>
      <w:sz w:val="24"/>
      <w:szCs w:val="24"/>
    </w:rPr>
  </w:style>
  <w:style w:type="paragraph" w:styleId="758">
    <w:name w:val="Quote"/>
    <w:basedOn w:val="912"/>
    <w:next w:val="912"/>
    <w:link w:val="759"/>
    <w:uiPriority w:val="29"/>
    <w:qFormat/>
    <w:pPr>
      <w:ind w:left="720" w:right="720"/>
    </w:pPr>
    <w:rPr>
      <w:i/>
    </w:rPr>
  </w:style>
  <w:style w:type="character" w:styleId="759">
    <w:name w:val="Quote Char"/>
    <w:link w:val="758"/>
    <w:uiPriority w:val="29"/>
    <w:rPr>
      <w:i/>
    </w:rPr>
  </w:style>
  <w:style w:type="paragraph" w:styleId="760">
    <w:name w:val="Intense Quote"/>
    <w:basedOn w:val="912"/>
    <w:next w:val="912"/>
    <w:link w:val="7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1">
    <w:name w:val="Intense Quote Char"/>
    <w:link w:val="760"/>
    <w:uiPriority w:val="30"/>
    <w:rPr>
      <w:i/>
    </w:rPr>
  </w:style>
  <w:style w:type="paragraph" w:styleId="762">
    <w:name w:val="Header"/>
    <w:basedOn w:val="912"/>
    <w:link w:val="7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3">
    <w:name w:val="Header Char"/>
    <w:link w:val="762"/>
    <w:uiPriority w:val="99"/>
  </w:style>
  <w:style w:type="paragraph" w:styleId="764">
    <w:name w:val="Footer"/>
    <w:basedOn w:val="912"/>
    <w:link w:val="7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5">
    <w:name w:val="Footer Char"/>
    <w:link w:val="764"/>
    <w:uiPriority w:val="99"/>
  </w:style>
  <w:style w:type="paragraph" w:styleId="766">
    <w:name w:val="Caption"/>
    <w:basedOn w:val="912"/>
    <w:next w:val="912"/>
    <w:link w:val="7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7">
    <w:name w:val="Caption Char"/>
    <w:basedOn w:val="766"/>
    <w:link w:val="764"/>
    <w:uiPriority w:val="35"/>
  </w:style>
  <w:style w:type="table" w:styleId="7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4">
    <w:name w:val="Hyperlink"/>
    <w:uiPriority w:val="99"/>
    <w:unhideWhenUsed/>
    <w:rPr>
      <w:color w:val="0000ff" w:themeColor="hyperlink"/>
      <w:u w:val="single"/>
    </w:rPr>
  </w:style>
  <w:style w:type="paragraph" w:styleId="895">
    <w:name w:val="footnote text"/>
    <w:basedOn w:val="912"/>
    <w:link w:val="896"/>
    <w:uiPriority w:val="99"/>
    <w:semiHidden/>
    <w:unhideWhenUsed/>
    <w:pPr>
      <w:spacing w:after="40" w:line="240" w:lineRule="auto"/>
    </w:pPr>
    <w:rPr>
      <w:sz w:val="18"/>
    </w:rPr>
  </w:style>
  <w:style w:type="character" w:styleId="896">
    <w:name w:val="Footnote Text Char"/>
    <w:link w:val="895"/>
    <w:uiPriority w:val="99"/>
    <w:rPr>
      <w:sz w:val="18"/>
    </w:rPr>
  </w:style>
  <w:style w:type="character" w:styleId="897">
    <w:name w:val="footnote reference"/>
    <w:uiPriority w:val="99"/>
    <w:unhideWhenUsed/>
    <w:rPr>
      <w:vertAlign w:val="superscript"/>
    </w:rPr>
  </w:style>
  <w:style w:type="paragraph" w:styleId="898">
    <w:name w:val="endnote text"/>
    <w:basedOn w:val="912"/>
    <w:link w:val="899"/>
    <w:uiPriority w:val="99"/>
    <w:semiHidden/>
    <w:unhideWhenUsed/>
    <w:pPr>
      <w:spacing w:after="0" w:line="240" w:lineRule="auto"/>
    </w:pPr>
    <w:rPr>
      <w:sz w:val="20"/>
    </w:rPr>
  </w:style>
  <w:style w:type="character" w:styleId="899">
    <w:name w:val="Endnote Text Char"/>
    <w:link w:val="898"/>
    <w:uiPriority w:val="99"/>
    <w:rPr>
      <w:sz w:val="20"/>
    </w:rPr>
  </w:style>
  <w:style w:type="character" w:styleId="900">
    <w:name w:val="endnote reference"/>
    <w:uiPriority w:val="99"/>
    <w:semiHidden/>
    <w:unhideWhenUsed/>
    <w:rPr>
      <w:vertAlign w:val="superscript"/>
    </w:rPr>
  </w:style>
  <w:style w:type="paragraph" w:styleId="901">
    <w:name w:val="toc 1"/>
    <w:basedOn w:val="912"/>
    <w:next w:val="912"/>
    <w:uiPriority w:val="39"/>
    <w:unhideWhenUsed/>
    <w:pPr>
      <w:ind w:left="0" w:right="0" w:firstLine="0"/>
      <w:spacing w:after="57"/>
    </w:pPr>
  </w:style>
  <w:style w:type="paragraph" w:styleId="902">
    <w:name w:val="toc 2"/>
    <w:basedOn w:val="912"/>
    <w:next w:val="912"/>
    <w:uiPriority w:val="39"/>
    <w:unhideWhenUsed/>
    <w:pPr>
      <w:ind w:left="283" w:right="0" w:firstLine="0"/>
      <w:spacing w:after="57"/>
    </w:pPr>
  </w:style>
  <w:style w:type="paragraph" w:styleId="903">
    <w:name w:val="toc 3"/>
    <w:basedOn w:val="912"/>
    <w:next w:val="912"/>
    <w:uiPriority w:val="39"/>
    <w:unhideWhenUsed/>
    <w:pPr>
      <w:ind w:left="567" w:right="0" w:firstLine="0"/>
      <w:spacing w:after="57"/>
    </w:pPr>
  </w:style>
  <w:style w:type="paragraph" w:styleId="904">
    <w:name w:val="toc 4"/>
    <w:basedOn w:val="912"/>
    <w:next w:val="912"/>
    <w:uiPriority w:val="39"/>
    <w:unhideWhenUsed/>
    <w:pPr>
      <w:ind w:left="850" w:right="0" w:firstLine="0"/>
      <w:spacing w:after="57"/>
    </w:pPr>
  </w:style>
  <w:style w:type="paragraph" w:styleId="905">
    <w:name w:val="toc 5"/>
    <w:basedOn w:val="912"/>
    <w:next w:val="912"/>
    <w:uiPriority w:val="39"/>
    <w:unhideWhenUsed/>
    <w:pPr>
      <w:ind w:left="1134" w:right="0" w:firstLine="0"/>
      <w:spacing w:after="57"/>
    </w:pPr>
  </w:style>
  <w:style w:type="paragraph" w:styleId="906">
    <w:name w:val="toc 6"/>
    <w:basedOn w:val="912"/>
    <w:next w:val="912"/>
    <w:uiPriority w:val="39"/>
    <w:unhideWhenUsed/>
    <w:pPr>
      <w:ind w:left="1417" w:right="0" w:firstLine="0"/>
      <w:spacing w:after="57"/>
    </w:pPr>
  </w:style>
  <w:style w:type="paragraph" w:styleId="907">
    <w:name w:val="toc 7"/>
    <w:basedOn w:val="912"/>
    <w:next w:val="912"/>
    <w:uiPriority w:val="39"/>
    <w:unhideWhenUsed/>
    <w:pPr>
      <w:ind w:left="1701" w:right="0" w:firstLine="0"/>
      <w:spacing w:after="57"/>
    </w:pPr>
  </w:style>
  <w:style w:type="paragraph" w:styleId="908">
    <w:name w:val="toc 8"/>
    <w:basedOn w:val="912"/>
    <w:next w:val="912"/>
    <w:uiPriority w:val="39"/>
    <w:unhideWhenUsed/>
    <w:pPr>
      <w:ind w:left="1984" w:right="0" w:firstLine="0"/>
      <w:spacing w:after="57"/>
    </w:pPr>
  </w:style>
  <w:style w:type="paragraph" w:styleId="909">
    <w:name w:val="toc 9"/>
    <w:basedOn w:val="912"/>
    <w:next w:val="912"/>
    <w:uiPriority w:val="39"/>
    <w:unhideWhenUsed/>
    <w:pPr>
      <w:ind w:left="2268" w:right="0" w:firstLine="0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912"/>
    <w:next w:val="912"/>
    <w:uiPriority w:val="99"/>
    <w:unhideWhenUsed/>
    <w:pPr>
      <w:spacing w:after="0" w:afterAutospacing="0"/>
    </w:pPr>
  </w:style>
  <w:style w:type="paragraph" w:styleId="912" w:default="1">
    <w:name w:val="Normal"/>
    <w:next w:val="912"/>
    <w:link w:val="912"/>
    <w:qFormat/>
    <w:rPr>
      <w:sz w:val="24"/>
      <w:szCs w:val="24"/>
      <w:lang w:val="ru-RU" w:eastAsia="ru-RU" w:bidi="ar-SA"/>
    </w:rPr>
  </w:style>
  <w:style w:type="paragraph" w:styleId="913">
    <w:name w:val="Заголовок 1,H1,.,Название спецификации,h:1,h:1app,TF-Overskrift 1,H11,R1,Titre 0"/>
    <w:basedOn w:val="912"/>
    <w:next w:val="912"/>
    <w:link w:val="953"/>
    <w:qFormat/>
    <w:pPr>
      <w:keepNext/>
      <w:spacing w:before="240" w:after="60" w:line="276" w:lineRule="auto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914">
    <w:name w:val="Заголовок 2,H2,H21,Numbered text 3,h2,Раздел,H22,H23,H24,H211,H25,H212,H221,H231,H241,H2111,H26,H213,H222,H232,H242,H2112,H27,H214,H28,H29,H210,H215,H216,H217,H218,H219,H220,H2110,H223,H2113,H224,H225,H226,H227,H228,H229,H230,H233,H234,H235,H2114,H236,2"/>
    <w:basedOn w:val="912"/>
    <w:next w:val="912"/>
    <w:link w:val="912"/>
    <w:qFormat/>
    <w:pPr>
      <w:numPr>
        <w:ilvl w:val="1"/>
        <w:numId w:val="1"/>
      </w:numPr>
      <w:ind w:left="1418" w:hanging="851"/>
      <w:jc w:val="both"/>
      <w:spacing w:before="120" w:after="120"/>
      <w:tabs>
        <w:tab w:val="clear" w:pos="360" w:leader="none"/>
      </w:tabs>
      <w:outlineLvl w:val="1"/>
    </w:pPr>
    <w:rPr>
      <w:b/>
      <w:szCs w:val="20"/>
    </w:rPr>
  </w:style>
  <w:style w:type="paragraph" w:styleId="915">
    <w:name w:val="Заголовок 3"/>
    <w:basedOn w:val="912"/>
    <w:next w:val="912"/>
    <w:link w:val="91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16">
    <w:name w:val="Заголовок 4,Заголовок 4 (Приложение),H4"/>
    <w:basedOn w:val="912"/>
    <w:next w:val="912"/>
    <w:link w:val="912"/>
    <w:qFormat/>
    <w:pPr>
      <w:numPr>
        <w:ilvl w:val="3"/>
        <w:numId w:val="1"/>
      </w:numPr>
      <w:ind w:left="709" w:hanging="709"/>
      <w:jc w:val="both"/>
      <w:keepNext/>
      <w:spacing w:before="120" w:after="120"/>
      <w:tabs>
        <w:tab w:val="clear" w:pos="1287" w:leader="none"/>
      </w:tabs>
      <w:outlineLvl w:val="3"/>
    </w:pPr>
    <w:rPr>
      <w:szCs w:val="20"/>
    </w:rPr>
  </w:style>
  <w:style w:type="paragraph" w:styleId="917">
    <w:name w:val="Заголовок 5,H5"/>
    <w:basedOn w:val="912"/>
    <w:next w:val="912"/>
    <w:link w:val="912"/>
    <w:qFormat/>
    <w:pPr>
      <w:numPr>
        <w:ilvl w:val="4"/>
        <w:numId w:val="1"/>
      </w:numPr>
      <w:ind w:left="993" w:hanging="709"/>
      <w:jc w:val="both"/>
      <w:spacing w:before="60" w:after="60"/>
      <w:tabs>
        <w:tab w:val="clear" w:pos="2214" w:leader="none"/>
      </w:tabs>
      <w:outlineLvl w:val="4"/>
    </w:pPr>
    <w:rPr>
      <w:szCs w:val="20"/>
    </w:rPr>
  </w:style>
  <w:style w:type="paragraph" w:styleId="918">
    <w:name w:val="Заголовок 6"/>
    <w:basedOn w:val="912"/>
    <w:next w:val="912"/>
    <w:link w:val="912"/>
    <w:qFormat/>
    <w:pPr>
      <w:numPr>
        <w:ilvl w:val="5"/>
        <w:numId w:val="1"/>
      </w:numPr>
      <w:ind w:left="4248" w:hanging="708"/>
      <w:jc w:val="both"/>
      <w:spacing w:before="240" w:after="60"/>
      <w:tabs>
        <w:tab w:val="num" w:pos="0" w:leader="none"/>
        <w:tab w:val="clear" w:pos="2781" w:leader="none"/>
      </w:tabs>
      <w:outlineLvl w:val="5"/>
    </w:pPr>
    <w:rPr>
      <w:i/>
      <w:sz w:val="22"/>
      <w:szCs w:val="20"/>
    </w:rPr>
  </w:style>
  <w:style w:type="paragraph" w:styleId="919">
    <w:name w:val="Заголовок 7"/>
    <w:basedOn w:val="912"/>
    <w:next w:val="912"/>
    <w:link w:val="912"/>
    <w:qFormat/>
    <w:pPr>
      <w:numPr>
        <w:ilvl w:val="6"/>
        <w:numId w:val="1"/>
      </w:numPr>
      <w:ind w:left="4956"/>
      <w:jc w:val="both"/>
      <w:spacing w:before="240" w:after="60"/>
      <w:tabs>
        <w:tab w:val="num" w:pos="0" w:leader="none"/>
        <w:tab w:val="clear" w:pos="5152" w:leader="none"/>
      </w:tabs>
      <w:outlineLvl w:val="6"/>
    </w:pPr>
    <w:rPr>
      <w:sz w:val="20"/>
      <w:szCs w:val="20"/>
    </w:rPr>
  </w:style>
  <w:style w:type="paragraph" w:styleId="920">
    <w:name w:val="Заголовок 8"/>
    <w:basedOn w:val="912"/>
    <w:next w:val="912"/>
    <w:link w:val="912"/>
    <w:qFormat/>
    <w:pPr>
      <w:numPr>
        <w:ilvl w:val="7"/>
        <w:numId w:val="1"/>
      </w:numPr>
      <w:jc w:val="both"/>
      <w:spacing w:before="240" w:after="60"/>
      <w:outlineLvl w:val="7"/>
    </w:pPr>
    <w:rPr>
      <w:i/>
      <w:sz w:val="20"/>
      <w:szCs w:val="20"/>
    </w:rPr>
  </w:style>
  <w:style w:type="paragraph" w:styleId="921">
    <w:name w:val="Заголовок 9"/>
    <w:basedOn w:val="912"/>
    <w:next w:val="912"/>
    <w:link w:val="912"/>
    <w:qFormat/>
    <w:pPr>
      <w:numPr>
        <w:ilvl w:val="8"/>
        <w:numId w:val="1"/>
      </w:numPr>
      <w:ind w:left="6372"/>
      <w:jc w:val="both"/>
      <w:spacing w:before="240" w:after="60"/>
      <w:tabs>
        <w:tab w:val="num" w:pos="0" w:leader="none"/>
        <w:tab w:val="clear" w:pos="6928" w:leader="none"/>
      </w:tabs>
      <w:outlineLvl w:val="8"/>
    </w:pPr>
    <w:rPr>
      <w:i/>
      <w:sz w:val="18"/>
      <w:szCs w:val="20"/>
    </w:rPr>
  </w:style>
  <w:style w:type="character" w:styleId="922">
    <w:name w:val="Основной шрифт абзаца, Знак Знак7 Знак Знак Знак Знак"/>
    <w:next w:val="922"/>
    <w:link w:val="912"/>
    <w:semiHidden/>
  </w:style>
  <w:style w:type="table" w:styleId="923">
    <w:name w:val="Обычная таблица"/>
    <w:next w:val="923"/>
    <w:link w:val="912"/>
    <w:semiHidden/>
    <w:tblPr/>
  </w:style>
  <w:style w:type="numbering" w:styleId="924">
    <w:name w:val="Нет списка"/>
    <w:next w:val="924"/>
    <w:link w:val="912"/>
    <w:semiHidden/>
  </w:style>
  <w:style w:type="paragraph" w:styleId="925">
    <w:name w:val=" Знак Знак7 Знак Знак"/>
    <w:basedOn w:val="912"/>
    <w:next w:val="925"/>
    <w:link w:val="91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26">
    <w:name w:val="Верхний колонтитул"/>
    <w:basedOn w:val="912"/>
    <w:next w:val="926"/>
    <w:link w:val="927"/>
    <w:pPr>
      <w:ind w:firstLine="567"/>
      <w:jc w:val="both"/>
      <w:tabs>
        <w:tab w:val="center" w:pos="4320" w:leader="none"/>
        <w:tab w:val="right" w:pos="8640" w:leader="none"/>
      </w:tabs>
    </w:pPr>
    <w:rPr>
      <w:szCs w:val="20"/>
    </w:rPr>
  </w:style>
  <w:style w:type="character" w:styleId="927">
    <w:name w:val="Верхний колонтитул Знак"/>
    <w:next w:val="927"/>
    <w:link w:val="926"/>
    <w:rPr>
      <w:sz w:val="24"/>
      <w:lang w:val="ru-RU" w:eastAsia="ru-RU" w:bidi="ar-SA"/>
    </w:rPr>
  </w:style>
  <w:style w:type="paragraph" w:styleId="928">
    <w:name w:val="Основной текст,Çàã1,BO,ID,body indent,andrad,EHPT,Body Text2"/>
    <w:basedOn w:val="912"/>
    <w:next w:val="928"/>
    <w:link w:val="929"/>
    <w:pPr>
      <w:spacing w:after="120"/>
    </w:pPr>
  </w:style>
  <w:style w:type="character" w:styleId="929">
    <w:name w:val="Основной текст Знак,Çàã1 Знак,BO Знак,ID Знак,body indent Знак,andrad Знак,EHPT Знак,Body Text2 Знак"/>
    <w:next w:val="929"/>
    <w:link w:val="928"/>
    <w:rPr>
      <w:sz w:val="24"/>
      <w:szCs w:val="24"/>
      <w:lang w:val="ru-RU" w:eastAsia="ru-RU" w:bidi="ar-SA"/>
    </w:rPr>
  </w:style>
  <w:style w:type="paragraph" w:styleId="930">
    <w:name w:val="Обычный (веб),Обычный (веб)1,Обычный (веб)11,Обычный (Web)"/>
    <w:basedOn w:val="912"/>
    <w:next w:val="930"/>
    <w:link w:val="931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character" w:styleId="931">
    <w:name w:val="Обычный (веб) Знак,Обычный (веб)1 Знак,Обычный (веб)11 Знак,Обычный (Web) Знак"/>
    <w:next w:val="931"/>
    <w:link w:val="930"/>
    <w:rPr>
      <w:rFonts w:ascii="Arial Unicode MS" w:hAnsi="Arial Unicode MS" w:eastAsia="Arial Unicode MS" w:cs="Arial Unicode MS"/>
      <w:sz w:val="24"/>
      <w:szCs w:val="24"/>
      <w:lang w:val="ru-RU" w:eastAsia="ru-RU" w:bidi="ar-SA"/>
    </w:rPr>
  </w:style>
  <w:style w:type="paragraph" w:styleId="932">
    <w:name w:val="Нижний колонтитул"/>
    <w:basedOn w:val="912"/>
    <w:next w:val="932"/>
    <w:link w:val="933"/>
    <w:pPr>
      <w:tabs>
        <w:tab w:val="center" w:pos="4677" w:leader="none"/>
        <w:tab w:val="right" w:pos="9355" w:leader="none"/>
      </w:tabs>
    </w:pPr>
  </w:style>
  <w:style w:type="character" w:styleId="933">
    <w:name w:val="Нижний колонтитул Знак"/>
    <w:next w:val="933"/>
    <w:link w:val="932"/>
    <w:rPr>
      <w:sz w:val="24"/>
      <w:szCs w:val="24"/>
      <w:lang w:val="ru-RU" w:eastAsia="ru-RU" w:bidi="ar-SA"/>
    </w:rPr>
  </w:style>
  <w:style w:type="paragraph" w:styleId="934">
    <w:name w:val="Стиль3"/>
    <w:basedOn w:val="935"/>
    <w:next w:val="934"/>
    <w:link w:val="936"/>
    <w:pPr>
      <w:ind w:left="1260" w:right="0" w:hanging="720"/>
      <w:jc w:val="both"/>
      <w:widowControl w:val="off"/>
      <w:tabs>
        <w:tab w:val="num" w:pos="720" w:leader="none"/>
        <w:tab w:val="num" w:pos="1209" w:leader="none"/>
        <w:tab w:val="num" w:pos="1487" w:leader="none"/>
        <w:tab w:val="num" w:pos="1800" w:leader="none"/>
        <w:tab w:val="clear" w:pos="6120" w:leader="none"/>
        <w:tab w:val="clear" w:pos="9720" w:leader="none"/>
        <w:tab w:val="clear" w:pos="9865" w:leader="none"/>
      </w:tabs>
    </w:pPr>
    <w:rPr>
      <w:sz w:val="24"/>
    </w:rPr>
  </w:style>
  <w:style w:type="paragraph" w:styleId="935">
    <w:name w:val="Основной текст с отступом 2"/>
    <w:basedOn w:val="912"/>
    <w:next w:val="935"/>
    <w:link w:val="912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sz w:val="20"/>
    </w:rPr>
  </w:style>
  <w:style w:type="character" w:styleId="936">
    <w:name w:val="Стиль3 Знак"/>
    <w:next w:val="936"/>
    <w:link w:val="934"/>
    <w:rPr>
      <w:sz w:val="24"/>
      <w:szCs w:val="24"/>
      <w:lang w:val="ru-RU" w:eastAsia="ru-RU" w:bidi="ar-SA"/>
    </w:rPr>
  </w:style>
  <w:style w:type="paragraph" w:styleId="937">
    <w:name w:val="Текст ТД"/>
    <w:basedOn w:val="912"/>
    <w:next w:val="937"/>
    <w:link w:val="938"/>
    <w:qFormat/>
    <w:pPr>
      <w:numPr>
        <w:ilvl w:val="0"/>
        <w:numId w:val="3"/>
      </w:numPr>
      <w:jc w:val="both"/>
      <w:spacing w:after="200"/>
    </w:pPr>
    <w:rPr>
      <w:rFonts w:eastAsia="Calibri"/>
      <w:lang w:eastAsia="en-US"/>
    </w:rPr>
  </w:style>
  <w:style w:type="character" w:styleId="938">
    <w:name w:val="Текст ТД Знак"/>
    <w:next w:val="938"/>
    <w:link w:val="937"/>
    <w:rPr>
      <w:rFonts w:eastAsia="Calibri"/>
      <w:sz w:val="24"/>
      <w:szCs w:val="24"/>
      <w:lang w:val="ru-RU" w:eastAsia="en-US" w:bidi="ar-SA"/>
    </w:rPr>
  </w:style>
  <w:style w:type="paragraph" w:styleId="939">
    <w:name w:val="Основной текст с отступом"/>
    <w:basedOn w:val="912"/>
    <w:next w:val="939"/>
    <w:link w:val="912"/>
    <w:semiHidden/>
    <w:unhideWhenUsed/>
    <w:pPr>
      <w:ind w:left="283"/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40">
    <w:name w:val="Знак1"/>
    <w:basedOn w:val="912"/>
    <w:next w:val="940"/>
    <w:link w:val="91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41">
    <w:name w:val="Основной текст 3"/>
    <w:basedOn w:val="912"/>
    <w:next w:val="941"/>
    <w:link w:val="912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942">
    <w:name w:val="Текст выноски"/>
    <w:basedOn w:val="912"/>
    <w:next w:val="942"/>
    <w:link w:val="974"/>
    <w:semiHidden/>
    <w:rPr>
      <w:rFonts w:ascii="Tahoma" w:hAnsi="Tahoma" w:cs="Tahoma"/>
      <w:sz w:val="16"/>
      <w:szCs w:val="16"/>
    </w:rPr>
  </w:style>
  <w:style w:type="paragraph" w:styleId="943">
    <w:name w:val="Обычный1"/>
    <w:next w:val="943"/>
    <w:link w:val="912"/>
    <w:pPr>
      <w:ind w:firstLine="720"/>
      <w:spacing w:line="300" w:lineRule="auto"/>
      <w:widowControl w:val="off"/>
    </w:pPr>
    <w:rPr>
      <w:sz w:val="22"/>
      <w:lang w:val="ru-RU" w:eastAsia="ru-RU" w:bidi="ar-SA"/>
    </w:rPr>
  </w:style>
  <w:style w:type="paragraph" w:styleId="944">
    <w:name w:val="Обычный таблица"/>
    <w:basedOn w:val="912"/>
    <w:next w:val="944"/>
    <w:link w:val="945"/>
    <w:rPr>
      <w:rFonts w:eastAsia="Calibri"/>
      <w:sz w:val="18"/>
      <w:szCs w:val="18"/>
    </w:rPr>
  </w:style>
  <w:style w:type="character" w:styleId="945">
    <w:name w:val="Обычный таблица Знак"/>
    <w:next w:val="945"/>
    <w:link w:val="944"/>
    <w:rPr>
      <w:rFonts w:eastAsia="Calibri"/>
      <w:sz w:val="18"/>
      <w:szCs w:val="18"/>
      <w:lang w:val="ru-RU" w:eastAsia="ru-RU" w:bidi="ar-SA"/>
    </w:rPr>
  </w:style>
  <w:style w:type="paragraph" w:styleId="946">
    <w:name w:val="Текст сноски"/>
    <w:basedOn w:val="912"/>
    <w:next w:val="946"/>
    <w:link w:val="948"/>
    <w:semiHidden/>
    <w:rPr>
      <w:sz w:val="20"/>
      <w:szCs w:val="20"/>
    </w:rPr>
  </w:style>
  <w:style w:type="character" w:styleId="947">
    <w:name w:val="Знак сноски"/>
    <w:next w:val="947"/>
    <w:link w:val="912"/>
    <w:semiHidden/>
    <w:rPr>
      <w:rFonts w:cs="Times New Roman"/>
      <w:vertAlign w:val="superscript"/>
    </w:rPr>
  </w:style>
  <w:style w:type="character" w:styleId="948">
    <w:name w:val="Текст сноски Знак"/>
    <w:next w:val="948"/>
    <w:link w:val="946"/>
    <w:rPr>
      <w:lang w:val="ru-RU" w:eastAsia="ru-RU" w:bidi="ar-SA"/>
    </w:rPr>
  </w:style>
  <w:style w:type="paragraph" w:styleId="949">
    <w:name w:val="ConsPlusNormal"/>
    <w:next w:val="949"/>
    <w:link w:val="969"/>
    <w:rPr>
      <w:rFonts w:ascii="Arial" w:hAnsi="Arial" w:cs="Arial"/>
      <w:lang w:val="ru-RU" w:eastAsia="ru-RU" w:bidi="ar-SA"/>
    </w:rPr>
  </w:style>
  <w:style w:type="paragraph" w:styleId="950">
    <w:name w:val=" Char"/>
    <w:basedOn w:val="912"/>
    <w:next w:val="950"/>
    <w:link w:val="912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51">
    <w:name w:val=" Знак Знак5"/>
    <w:basedOn w:val="912"/>
    <w:next w:val="951"/>
    <w:link w:val="91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52">
    <w:name w:val="Char"/>
    <w:basedOn w:val="912"/>
    <w:next w:val="952"/>
    <w:link w:val="912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character" w:styleId="953">
    <w:name w:val="Заголовок 1 Знак,H1 Знак,. Знак,Название спецификации Знак,h:1 Знак,h:1app Знак,TF-Overskrift 1 Знак,H11 Знак,R1 Знак,Titre 0 Знак"/>
    <w:next w:val="953"/>
    <w:link w:val="913"/>
    <w:rPr>
      <w:rFonts w:ascii="Arial" w:hAnsi="Arial" w:cs="Arial"/>
      <w:b/>
      <w:bCs/>
      <w:sz w:val="32"/>
      <w:szCs w:val="32"/>
      <w:lang w:val="ru-RU" w:eastAsia="ar-SA" w:bidi="ar-SA"/>
    </w:rPr>
  </w:style>
  <w:style w:type="paragraph" w:styleId="954">
    <w:name w:val="FR2"/>
    <w:next w:val="954"/>
    <w:link w:val="912"/>
    <w:pPr>
      <w:ind w:left="720"/>
      <w:jc w:val="center"/>
      <w:spacing w:before="400" w:line="300" w:lineRule="auto"/>
      <w:widowControl w:val="off"/>
    </w:pPr>
    <w:rPr>
      <w:b/>
      <w:bCs/>
      <w:sz w:val="32"/>
      <w:szCs w:val="32"/>
      <w:lang w:val="ru-RU" w:eastAsia="ru-RU" w:bidi="ar-SA"/>
    </w:rPr>
  </w:style>
  <w:style w:type="paragraph" w:styleId="955">
    <w:name w:val="FR1"/>
    <w:next w:val="955"/>
    <w:link w:val="912"/>
    <w:pPr>
      <w:ind w:left="720"/>
      <w:jc w:val="center"/>
      <w:spacing w:before="3640"/>
      <w:widowControl w:val="off"/>
    </w:pPr>
    <w:rPr>
      <w:b/>
      <w:bCs/>
      <w:sz w:val="40"/>
      <w:szCs w:val="40"/>
      <w:lang w:val="ru-RU" w:eastAsia="ru-RU" w:bidi="ar-SA"/>
    </w:rPr>
  </w:style>
  <w:style w:type="character" w:styleId="956">
    <w:name w:val="Гиперссылка"/>
    <w:next w:val="956"/>
    <w:link w:val="912"/>
    <w:rPr>
      <w:color w:val="0000ff"/>
      <w:u w:val="single"/>
    </w:rPr>
  </w:style>
  <w:style w:type="character" w:styleId="957">
    <w:name w:val=" Знак Знак4"/>
    <w:next w:val="957"/>
    <w:link w:val="912"/>
    <w:semiHidden/>
    <w:rPr>
      <w:sz w:val="24"/>
      <w:szCs w:val="24"/>
      <w:lang w:val="ru-RU" w:eastAsia="ru-RU" w:bidi="ar-SA"/>
    </w:rPr>
  </w:style>
  <w:style w:type="character" w:styleId="958">
    <w:name w:val=" Знак Знак3"/>
    <w:next w:val="958"/>
    <w:link w:val="912"/>
    <w:rPr>
      <w:sz w:val="28"/>
      <w:lang w:val="ru-RU" w:eastAsia="ru-RU" w:bidi="ar-SA"/>
    </w:rPr>
  </w:style>
  <w:style w:type="table" w:styleId="959">
    <w:name w:val="Сетка таблицы"/>
    <w:basedOn w:val="923"/>
    <w:next w:val="959"/>
    <w:link w:val="912"/>
    <w:rPr>
      <w:rFonts w:eastAsia="Calibri"/>
      <w:lang w:val="ru-RU" w:eastAsia="ru-RU" w:bidi="ar-SA"/>
    </w:rPr>
    <w:tblPr/>
  </w:style>
  <w:style w:type="paragraph" w:styleId="960">
    <w:name w:val="ConsNormal"/>
    <w:next w:val="960"/>
    <w:link w:val="961"/>
    <w:pPr>
      <w:ind w:firstLine="720"/>
      <w:widowControl w:val="off"/>
    </w:pPr>
    <w:rPr>
      <w:rFonts w:ascii="Arial" w:hAnsi="Arial"/>
      <w:lang w:val="ru-RU" w:eastAsia="ru-RU" w:bidi="ar-SA"/>
    </w:rPr>
  </w:style>
  <w:style w:type="character" w:styleId="961">
    <w:name w:val="ConsNormal Знак"/>
    <w:next w:val="961"/>
    <w:link w:val="960"/>
    <w:rPr>
      <w:rFonts w:ascii="Arial" w:hAnsi="Arial"/>
      <w:lang w:val="ru-RU" w:eastAsia="ru-RU" w:bidi="ar-SA"/>
    </w:rPr>
  </w:style>
  <w:style w:type="paragraph" w:styleId="962">
    <w:name w:val="Основной текст 2"/>
    <w:basedOn w:val="912"/>
    <w:next w:val="962"/>
    <w:link w:val="912"/>
    <w:pPr>
      <w:spacing w:after="120" w:line="480" w:lineRule="auto"/>
    </w:pPr>
    <w:rPr>
      <w:sz w:val="20"/>
      <w:szCs w:val="20"/>
    </w:rPr>
  </w:style>
  <w:style w:type="paragraph" w:styleId="963">
    <w:name w:val="Подраздел"/>
    <w:next w:val="963"/>
    <w:link w:val="912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val="ru-RU" w:eastAsia="ar-SA" w:bidi="ar-SA"/>
    </w:rPr>
  </w:style>
  <w:style w:type="character" w:styleId="964">
    <w:name w:val="Номер страницы"/>
    <w:basedOn w:val="922"/>
    <w:next w:val="964"/>
    <w:link w:val="912"/>
  </w:style>
  <w:style w:type="paragraph" w:styleId="965">
    <w:name w:val="Normal1"/>
    <w:next w:val="965"/>
    <w:link w:val="912"/>
    <w:pPr>
      <w:jc w:val="both"/>
      <w:spacing w:line="360" w:lineRule="auto"/>
      <w:widowControl w:val="off"/>
    </w:pPr>
    <w:rPr>
      <w:sz w:val="28"/>
      <w:lang w:val="ru-RU" w:eastAsia="ru-RU" w:bidi="ar-SA"/>
    </w:rPr>
  </w:style>
  <w:style w:type="paragraph" w:styleId="966">
    <w:name w:val="Îáû÷íûé"/>
    <w:next w:val="966"/>
    <w:link w:val="912"/>
    <w:rPr>
      <w:lang w:val="ru-RU" w:eastAsia="ru-RU" w:bidi="ar-SA"/>
    </w:rPr>
  </w:style>
  <w:style w:type="paragraph" w:styleId="967">
    <w:name w:val="FR3"/>
    <w:next w:val="967"/>
    <w:link w:val="912"/>
    <w:pPr>
      <w:ind w:left="720" w:firstLine="700"/>
      <w:jc w:val="both"/>
      <w:spacing w:line="260" w:lineRule="auto"/>
      <w:widowControl w:val="off"/>
    </w:pPr>
    <w:rPr>
      <w:sz w:val="28"/>
      <w:szCs w:val="28"/>
      <w:lang w:val="ru-RU" w:eastAsia="ru-RU" w:bidi="ar-SA"/>
    </w:rPr>
  </w:style>
  <w:style w:type="paragraph" w:styleId="968">
    <w:name w:val="1 Знак Char Знак Char Знак"/>
    <w:basedOn w:val="912"/>
    <w:next w:val="968"/>
    <w:link w:val="912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969">
    <w:name w:val="ConsPlusNormal Знак"/>
    <w:next w:val="969"/>
    <w:link w:val="949"/>
    <w:rPr>
      <w:rFonts w:ascii="Arial" w:hAnsi="Arial" w:cs="Arial"/>
      <w:lang w:val="ru-RU" w:eastAsia="ru-RU" w:bidi="ar-SA"/>
    </w:rPr>
  </w:style>
  <w:style w:type="paragraph" w:styleId="970">
    <w:name w:val="Название,Заголовок"/>
    <w:basedOn w:val="912"/>
    <w:next w:val="970"/>
    <w:link w:val="971"/>
    <w:qFormat/>
    <w:pPr>
      <w:jc w:val="center"/>
      <w:widowControl w:val="off"/>
    </w:pPr>
    <w:rPr>
      <w:sz w:val="28"/>
      <w:szCs w:val="20"/>
    </w:rPr>
  </w:style>
  <w:style w:type="character" w:styleId="971">
    <w:name w:val="Название Знак,Заголовок Знак"/>
    <w:next w:val="971"/>
    <w:link w:val="970"/>
    <w:rPr>
      <w:sz w:val="28"/>
      <w:lang w:val="ru-RU" w:eastAsia="ru-RU" w:bidi="ar-SA"/>
    </w:rPr>
  </w:style>
  <w:style w:type="paragraph" w:styleId="972">
    <w:name w:val="текст сноски"/>
    <w:basedOn w:val="912"/>
    <w:next w:val="972"/>
    <w:link w:val="912"/>
    <w:pPr>
      <w:widowControl w:val="off"/>
    </w:pPr>
    <w:rPr>
      <w:rFonts w:ascii="Gelvetsky 12pt" w:hAnsi="Gelvetsky 12pt"/>
      <w:szCs w:val="20"/>
      <w:lang w:val="en-US"/>
    </w:rPr>
  </w:style>
  <w:style w:type="paragraph" w:styleId="973">
    <w:name w:val="Указатель 1"/>
    <w:basedOn w:val="912"/>
    <w:next w:val="912"/>
    <w:link w:val="912"/>
    <w:semiHidden/>
    <w:pPr>
      <w:ind w:left="240" w:hanging="240"/>
    </w:pPr>
  </w:style>
  <w:style w:type="character" w:styleId="974">
    <w:name w:val="Текст выноски Знак"/>
    <w:next w:val="974"/>
    <w:link w:val="942"/>
    <w:semiHidden/>
    <w:rPr>
      <w:rFonts w:ascii="Tahoma" w:hAnsi="Tahoma" w:cs="Tahoma"/>
      <w:sz w:val="16"/>
      <w:szCs w:val="16"/>
      <w:lang w:val="ru-RU" w:eastAsia="ru-RU" w:bidi="ar-SA"/>
    </w:rPr>
  </w:style>
  <w:style w:type="character" w:styleId="975">
    <w:name w:val="Строгий"/>
    <w:next w:val="975"/>
    <w:link w:val="912"/>
    <w:rPr>
      <w:b/>
      <w:bCs/>
    </w:rPr>
  </w:style>
  <w:style w:type="paragraph" w:styleId="976">
    <w:name w:val="Оглавление 3"/>
    <w:basedOn w:val="912"/>
    <w:next w:val="912"/>
    <w:link w:val="912"/>
    <w:pPr>
      <w:jc w:val="both"/>
      <w:keepLines/>
      <w:keepNext/>
      <w:widowControl w:val="off"/>
      <w:tabs>
        <w:tab w:val="right" w:pos="8780" w:leader="dot"/>
      </w:tabs>
      <w:suppressLineNumbers/>
    </w:pPr>
    <w:rPr>
      <w:rFonts w:eastAsia="Lucida Sans Unicode"/>
      <w:b/>
      <w:lang w:eastAsia="ar-SA"/>
    </w:rPr>
  </w:style>
  <w:style w:type="paragraph" w:styleId="977">
    <w:name w:val="Содержимое таблицы"/>
    <w:basedOn w:val="912"/>
    <w:next w:val="977"/>
    <w:link w:val="912"/>
    <w:pPr>
      <w:suppressLineNumbers/>
    </w:pPr>
    <w:rPr>
      <w:sz w:val="20"/>
      <w:szCs w:val="20"/>
      <w:lang w:val="en-US" w:eastAsia="en-US"/>
    </w:rPr>
  </w:style>
  <w:style w:type="paragraph" w:styleId="978">
    <w:name w:val="ConsNonformat"/>
    <w:next w:val="978"/>
    <w:link w:val="912"/>
    <w:pPr>
      <w:widowControl w:val="off"/>
    </w:pPr>
    <w:rPr>
      <w:rFonts w:ascii="Consultant" w:hAnsi="Consultant" w:eastAsia="Arial"/>
      <w:lang w:val="ru-RU" w:eastAsia="ar-SA" w:bidi="ar-SA"/>
    </w:rPr>
  </w:style>
  <w:style w:type="paragraph" w:styleId="979">
    <w:name w:val="Основной текст 31"/>
    <w:basedOn w:val="912"/>
    <w:next w:val="979"/>
    <w:link w:val="912"/>
    <w:pPr>
      <w:spacing w:after="120"/>
    </w:pPr>
    <w:rPr>
      <w:sz w:val="16"/>
      <w:szCs w:val="16"/>
      <w:lang w:eastAsia="ar-SA"/>
    </w:rPr>
  </w:style>
  <w:style w:type="paragraph" w:styleId="980">
    <w:name w:val="ConsPlusNonformat"/>
    <w:next w:val="980"/>
    <w:link w:val="912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1">
    <w:name w:val="Стандартный HTML"/>
    <w:basedOn w:val="912"/>
    <w:next w:val="981"/>
    <w:link w:val="912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982">
    <w:name w:val="iceouttxt53"/>
    <w:next w:val="982"/>
    <w:link w:val="912"/>
    <w:rPr>
      <w:rFonts w:ascii="Arial" w:hAnsi="Arial" w:cs="Arial"/>
      <w:color w:val="666666"/>
      <w:sz w:val="17"/>
      <w:szCs w:val="17"/>
    </w:rPr>
  </w:style>
  <w:style w:type="paragraph" w:styleId="983">
    <w:name w:val="Знак"/>
    <w:basedOn w:val="912"/>
    <w:next w:val="983"/>
    <w:link w:val="912"/>
    <w:pPr>
      <w:ind w:firstLine="709"/>
      <w:jc w:val="both"/>
      <w:spacing w:after="160" w:line="240" w:lineRule="exact"/>
      <w:shd w:val="clear" w:color="auto" w:fill="ffffff"/>
      <w:widowControl w:val="off"/>
    </w:pPr>
    <w:rPr>
      <w:rFonts w:ascii="Verdana" w:hAnsi="Verdana"/>
      <w:sz w:val="22"/>
      <w:szCs w:val="22"/>
      <w:lang w:val="en-US" w:eastAsia="en-US"/>
    </w:rPr>
  </w:style>
  <w:style w:type="paragraph" w:styleId="984">
    <w:name w:val="Iacaaiea"/>
    <w:basedOn w:val="912"/>
    <w:next w:val="984"/>
    <w:link w:val="912"/>
    <w:pPr>
      <w:ind w:firstLine="709"/>
      <w:jc w:val="center"/>
      <w:spacing w:before="120" w:line="360" w:lineRule="atLeast"/>
      <w:shd w:val="clear" w:color="auto" w:fill="ffffff"/>
      <w:widowControl w:val="off"/>
      <w:tabs>
        <w:tab w:val="left" w:pos="426" w:leader="none"/>
      </w:tabs>
    </w:pPr>
    <w:rPr>
      <w:b/>
      <w:bCs/>
      <w:sz w:val="22"/>
      <w:szCs w:val="22"/>
    </w:rPr>
  </w:style>
  <w:style w:type="character" w:styleId="985">
    <w:name w:val="iceouttxt1"/>
    <w:next w:val="985"/>
    <w:link w:val="912"/>
    <w:rPr>
      <w:rFonts w:ascii="Arial" w:hAnsi="Arial" w:cs="Arial"/>
      <w:color w:val="666666"/>
      <w:sz w:val="17"/>
      <w:szCs w:val="17"/>
    </w:rPr>
  </w:style>
  <w:style w:type="character" w:styleId="986">
    <w:name w:val="rs_err_mark1"/>
    <w:next w:val="986"/>
    <w:link w:val="912"/>
    <w:rPr>
      <w:color w:val="ff0000"/>
    </w:rPr>
  </w:style>
  <w:style w:type="paragraph" w:styleId="987">
    <w:name w:val="Абзац списка"/>
    <w:basedOn w:val="912"/>
    <w:next w:val="987"/>
    <w:link w:val="912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88">
    <w:name w:val="Основной текст с отступом 3"/>
    <w:basedOn w:val="912"/>
    <w:next w:val="988"/>
    <w:link w:val="912"/>
    <w:pPr>
      <w:ind w:left="283"/>
      <w:spacing w:after="120"/>
    </w:pPr>
    <w:rPr>
      <w:sz w:val="16"/>
      <w:szCs w:val="16"/>
    </w:rPr>
  </w:style>
  <w:style w:type="paragraph" w:styleId="989">
    <w:name w:val="Без интервала"/>
    <w:next w:val="989"/>
    <w:link w:val="912"/>
    <w:qFormat/>
    <w:rPr>
      <w:sz w:val="24"/>
      <w:szCs w:val="24"/>
      <w:lang w:val="ru-RU" w:eastAsia="ru-RU" w:bidi="ar-SA"/>
    </w:rPr>
  </w:style>
  <w:style w:type="paragraph" w:styleId="990">
    <w:name w:val="Схема документа"/>
    <w:basedOn w:val="912"/>
    <w:next w:val="990"/>
    <w:link w:val="912"/>
    <w:semiHidden/>
    <w:unhideWhenUsed/>
    <w:rPr>
      <w:rFonts w:ascii="Tahoma" w:hAnsi="Tahoma" w:eastAsia="Calibri" w:cs="Tahoma"/>
      <w:sz w:val="16"/>
      <w:szCs w:val="16"/>
      <w:lang w:eastAsia="en-US"/>
    </w:rPr>
  </w:style>
  <w:style w:type="paragraph" w:styleId="991">
    <w:name w:val="1 Знак Знак Знак Знак"/>
    <w:basedOn w:val="912"/>
    <w:next w:val="912"/>
    <w:link w:val="912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992">
    <w:name w:val="Основной шрифт абзаца1"/>
    <w:next w:val="992"/>
    <w:link w:val="912"/>
  </w:style>
  <w:style w:type="paragraph" w:styleId="993">
    <w:name w:val="Указатель1"/>
    <w:basedOn w:val="912"/>
    <w:next w:val="993"/>
    <w:link w:val="912"/>
    <w:pPr>
      <w:suppressLineNumbers/>
    </w:pPr>
    <w:rPr>
      <w:rFonts w:ascii="Arial" w:hAnsi="Arial" w:eastAsia="Batang" w:cs="Tahoma"/>
      <w:lang w:eastAsia="ar-SA"/>
    </w:rPr>
  </w:style>
  <w:style w:type="paragraph" w:styleId="994">
    <w:name w:val="çàãîëîâîê 2"/>
    <w:basedOn w:val="912"/>
    <w:next w:val="912"/>
    <w:link w:val="912"/>
    <w:pPr>
      <w:jc w:val="both"/>
      <w:keepNext/>
    </w:pPr>
    <w:rPr>
      <w:szCs w:val="20"/>
    </w:rPr>
  </w:style>
  <w:style w:type="paragraph" w:styleId="995">
    <w:name w:val="Стиль1"/>
    <w:basedOn w:val="912"/>
    <w:next w:val="995"/>
    <w:link w:val="912"/>
    <w:pPr>
      <w:numPr>
        <w:ilvl w:val="0"/>
        <w:numId w:val="2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996">
    <w:name w:val="Стиль2"/>
    <w:basedOn w:val="997"/>
    <w:next w:val="996"/>
    <w:link w:val="912"/>
    <w:pPr>
      <w:numPr>
        <w:ilvl w:val="0"/>
        <w:numId w:val="0"/>
      </w:numPr>
      <w:ind w:left="1836" w:hanging="576"/>
      <w:jc w:val="both"/>
      <w:keepLines/>
      <w:keepNext/>
      <w:spacing w:after="60"/>
      <w:widowControl w:val="off"/>
      <w:tabs>
        <w:tab w:val="num" w:pos="1836" w:leader="none"/>
      </w:tabs>
      <w:suppressLineNumbers/>
    </w:pPr>
    <w:rPr>
      <w:b/>
      <w:sz w:val="24"/>
    </w:rPr>
  </w:style>
  <w:style w:type="paragraph" w:styleId="997">
    <w:name w:val="Нумерованный список 2"/>
    <w:basedOn w:val="912"/>
    <w:next w:val="997"/>
    <w:link w:val="912"/>
    <w:pPr>
      <w:numPr>
        <w:ilvl w:val="0"/>
        <w:numId w:val="3"/>
      </w:numPr>
      <w:ind w:left="480" w:hanging="480"/>
      <w:tabs>
        <w:tab w:val="num" w:pos="480" w:leader="none"/>
      </w:tabs>
    </w:pPr>
    <w:rPr>
      <w:sz w:val="20"/>
      <w:szCs w:val="20"/>
    </w:rPr>
  </w:style>
  <w:style w:type="paragraph" w:styleId="998">
    <w:name w:val="3"/>
    <w:basedOn w:val="912"/>
    <w:next w:val="998"/>
    <w:link w:val="912"/>
    <w:pPr>
      <w:numPr>
        <w:ilvl w:val="1"/>
        <w:numId w:val="3"/>
      </w:numPr>
      <w:ind w:left="0" w:firstLine="0"/>
      <w:jc w:val="both"/>
    </w:pPr>
  </w:style>
  <w:style w:type="paragraph" w:styleId="999">
    <w:name w:val="western"/>
    <w:basedOn w:val="912"/>
    <w:next w:val="999"/>
    <w:link w:val="912"/>
    <w:pPr>
      <w:spacing w:before="100" w:beforeAutospacing="1" w:after="100" w:afterAutospacing="1"/>
    </w:pPr>
  </w:style>
  <w:style w:type="character" w:styleId="1000">
    <w:name w:val="highlight highlight_active"/>
    <w:basedOn w:val="922"/>
    <w:next w:val="1000"/>
    <w:link w:val="912"/>
  </w:style>
  <w:style w:type="character" w:styleId="1001">
    <w:name w:val="Просмотренная гиперссылка"/>
    <w:next w:val="1001"/>
    <w:link w:val="912"/>
    <w:rPr>
      <w:color w:val="800080"/>
      <w:u w:val="single"/>
    </w:rPr>
  </w:style>
  <w:style w:type="paragraph" w:styleId="1002">
    <w:name w:val="Подподпункт"/>
    <w:basedOn w:val="912"/>
    <w:next w:val="1002"/>
    <w:link w:val="912"/>
    <w:uiPriority w:val="99"/>
    <w:pPr>
      <w:jc w:val="both"/>
      <w:spacing w:line="360" w:lineRule="auto"/>
    </w:pPr>
    <w:rPr>
      <w:sz w:val="28"/>
      <w:szCs w:val="28"/>
    </w:rPr>
  </w:style>
  <w:style w:type="paragraph" w:styleId="1003">
    <w:name w:val=" Знак Знак5 Знак Знак Знак Знак"/>
    <w:basedOn w:val="912"/>
    <w:next w:val="1003"/>
    <w:link w:val="91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04">
    <w:name w:val="Пункт Договора"/>
    <w:basedOn w:val="912"/>
    <w:next w:val="1004"/>
    <w:link w:val="912"/>
    <w:pPr>
      <w:numPr>
        <w:ilvl w:val="1"/>
        <w:numId w:val="24"/>
      </w:numPr>
      <w:jc w:val="both"/>
      <w:widowControl w:val="off"/>
    </w:pPr>
    <w:rPr>
      <w:rFonts w:ascii="Cambria" w:hAnsi="Cambria" w:cs="Cambria"/>
      <w:lang w:eastAsia="en-US"/>
    </w:rPr>
  </w:style>
  <w:style w:type="paragraph" w:styleId="1005">
    <w:name w:val="Часть Договора"/>
    <w:basedOn w:val="912"/>
    <w:next w:val="1005"/>
    <w:link w:val="912"/>
    <w:pPr>
      <w:numPr>
        <w:ilvl w:val="0"/>
        <w:numId w:val="24"/>
      </w:numPr>
      <w:jc w:val="center"/>
      <w:keepNext/>
      <w:spacing w:before="240" w:after="120"/>
    </w:pPr>
    <w:rPr>
      <w:rFonts w:ascii="Cambria" w:hAnsi="Cambria" w:cs="Cambria"/>
      <w:b/>
      <w:bCs/>
      <w:lang w:eastAsia="en-US"/>
    </w:rPr>
  </w:style>
  <w:style w:type="character" w:styleId="1006">
    <w:name w:val="normal__char1"/>
    <w:next w:val="1006"/>
    <w:link w:val="912"/>
    <w:rPr>
      <w:rFonts w:ascii="Courier New" w:hAnsi="Courier New" w:cs="Courier New"/>
      <w:sz w:val="20"/>
      <w:szCs w:val="20"/>
    </w:rPr>
  </w:style>
  <w:style w:type="character" w:styleId="1007">
    <w:name w:val="Знак примечания"/>
    <w:next w:val="1007"/>
    <w:link w:val="912"/>
    <w:rPr>
      <w:sz w:val="16"/>
      <w:szCs w:val="16"/>
    </w:rPr>
  </w:style>
  <w:style w:type="paragraph" w:styleId="1008">
    <w:name w:val="Текст примечания"/>
    <w:basedOn w:val="912"/>
    <w:next w:val="1008"/>
    <w:link w:val="1009"/>
    <w:rPr>
      <w:sz w:val="20"/>
      <w:szCs w:val="20"/>
    </w:rPr>
  </w:style>
  <w:style w:type="character" w:styleId="1009">
    <w:name w:val="Текст примечания Знак"/>
    <w:basedOn w:val="922"/>
    <w:next w:val="1009"/>
    <w:link w:val="1008"/>
  </w:style>
  <w:style w:type="paragraph" w:styleId="1010">
    <w:name w:val="Тема примечания"/>
    <w:basedOn w:val="1008"/>
    <w:next w:val="1008"/>
    <w:link w:val="1011"/>
    <w:rPr>
      <w:b/>
      <w:bCs/>
    </w:rPr>
  </w:style>
  <w:style w:type="character" w:styleId="1011">
    <w:name w:val="Тема примечания Знак"/>
    <w:next w:val="1011"/>
    <w:link w:val="1010"/>
    <w:rPr>
      <w:b/>
      <w:bCs/>
    </w:rPr>
  </w:style>
  <w:style w:type="character" w:styleId="1012" w:default="1">
    <w:name w:val="Default Paragraph Font"/>
    <w:uiPriority w:val="1"/>
    <w:semiHidden/>
    <w:unhideWhenUsed/>
  </w:style>
  <w:style w:type="numbering" w:styleId="1013" w:default="1">
    <w:name w:val="No List"/>
    <w:uiPriority w:val="99"/>
    <w:semiHidden/>
    <w:unhideWhenUsed/>
  </w:style>
  <w:style w:type="table" w:styleId="101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ntci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образец не является обязательным для заполнения и служит примером формы</dc:title>
  <dc:creator>vorobyova</dc:creator>
  <cp:lastModifiedBy>isenova_gm</cp:lastModifiedBy>
  <cp:revision>46</cp:revision>
  <dcterms:created xsi:type="dcterms:W3CDTF">2022-01-18T04:25:00Z</dcterms:created>
  <dcterms:modified xsi:type="dcterms:W3CDTF">2026-08-18T03:28:18Z</dcterms:modified>
  <cp:version>983040</cp:version>
</cp:coreProperties>
</file>