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3FD6" w14:textId="3D459E10" w:rsidR="00F12C76" w:rsidRDefault="00E8653C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B050EC">
        <w:rPr>
          <w:b/>
          <w:bCs/>
          <w:sz w:val="24"/>
          <w:szCs w:val="24"/>
        </w:rPr>
        <w:t>Описание объекта закупки</w:t>
      </w:r>
    </w:p>
    <w:p w14:paraId="6C47DF35" w14:textId="77777777" w:rsidR="00C976F4" w:rsidRDefault="00C976F4" w:rsidP="00E8653C">
      <w:pPr>
        <w:spacing w:after="0"/>
        <w:ind w:firstLine="709"/>
        <w:jc w:val="center"/>
        <w:rPr>
          <w:b/>
          <w:bCs/>
          <w:sz w:val="24"/>
          <w:szCs w:val="24"/>
        </w:rPr>
      </w:pP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441"/>
        <w:gridCol w:w="2347"/>
        <w:gridCol w:w="1457"/>
        <w:gridCol w:w="2305"/>
        <w:gridCol w:w="1282"/>
        <w:gridCol w:w="1404"/>
      </w:tblGrid>
      <w:tr w:rsidR="00C976F4" w:rsidRPr="00C976F4" w14:paraId="092A0A23" w14:textId="77777777" w:rsidTr="00C976F4">
        <w:tc>
          <w:tcPr>
            <w:tcW w:w="448" w:type="dxa"/>
          </w:tcPr>
          <w:p w14:paraId="23F10388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>№</w:t>
            </w:r>
          </w:p>
        </w:tc>
        <w:tc>
          <w:tcPr>
            <w:tcW w:w="2220" w:type="dxa"/>
          </w:tcPr>
          <w:p w14:paraId="70213EC3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>Наименование товара</w:t>
            </w:r>
          </w:p>
        </w:tc>
        <w:tc>
          <w:tcPr>
            <w:tcW w:w="1424" w:type="dxa"/>
          </w:tcPr>
          <w:p w14:paraId="4671AE2F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>КТРУ / ОКПД2</w:t>
            </w:r>
          </w:p>
        </w:tc>
        <w:tc>
          <w:tcPr>
            <w:tcW w:w="2378" w:type="dxa"/>
          </w:tcPr>
          <w:p w14:paraId="123417EB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>Описание товара</w:t>
            </w:r>
          </w:p>
        </w:tc>
        <w:tc>
          <w:tcPr>
            <w:tcW w:w="1922" w:type="dxa"/>
          </w:tcPr>
          <w:p w14:paraId="738659DA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>Единица измерения</w:t>
            </w:r>
          </w:p>
        </w:tc>
        <w:tc>
          <w:tcPr>
            <w:tcW w:w="844" w:type="dxa"/>
          </w:tcPr>
          <w:p w14:paraId="0431E4FA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C976F4">
              <w:rPr>
                <w:rFonts w:eastAsia="Times New Roman"/>
                <w:b/>
                <w:bCs/>
                <w:sz w:val="23"/>
                <w:szCs w:val="23"/>
              </w:rPr>
              <w:t xml:space="preserve">Количество </w:t>
            </w:r>
          </w:p>
        </w:tc>
      </w:tr>
      <w:tr w:rsidR="00C976F4" w:rsidRPr="00C976F4" w14:paraId="3588377E" w14:textId="77777777" w:rsidTr="00C976F4">
        <w:tc>
          <w:tcPr>
            <w:tcW w:w="448" w:type="dxa"/>
          </w:tcPr>
          <w:p w14:paraId="2CD3A6D9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2220" w:type="dxa"/>
          </w:tcPr>
          <w:p w14:paraId="4EB4AD45" w14:textId="6CF013E3" w:rsidR="00C976F4" w:rsidRPr="00C976F4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811E6">
              <w:rPr>
                <w:rFonts w:eastAsia="Times New Roman"/>
                <w:sz w:val="23"/>
                <w:szCs w:val="23"/>
              </w:rPr>
              <w:t>Отведение для электрокардиографии, многоразового использования</w:t>
            </w:r>
          </w:p>
        </w:tc>
        <w:tc>
          <w:tcPr>
            <w:tcW w:w="1424" w:type="dxa"/>
          </w:tcPr>
          <w:p w14:paraId="0BB044F5" w14:textId="77777777" w:rsid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26.60.12.140</w:t>
            </w:r>
          </w:p>
          <w:p w14:paraId="5DAD2340" w14:textId="77777777" w:rsidR="008811E6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  <w:p w14:paraId="04681320" w14:textId="7E004BD0" w:rsidR="008811E6" w:rsidRPr="00C976F4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811E6">
              <w:rPr>
                <w:rFonts w:eastAsia="Times New Roman"/>
                <w:sz w:val="23"/>
                <w:szCs w:val="23"/>
              </w:rPr>
              <w:t>26.60.12.140-00000014</w:t>
            </w:r>
          </w:p>
        </w:tc>
        <w:tc>
          <w:tcPr>
            <w:tcW w:w="2378" w:type="dxa"/>
          </w:tcPr>
          <w:p w14:paraId="27B26B0C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Количество отведений -10. Количество каналов 12 шт (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III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aVR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aVL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aVF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1,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2,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3,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4,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5,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6). Длина кабелей от блока развертки на конечности 1250 мм. Длина кабелей от блока развертки грудных отведений – 770 мм. Длина кабеля питания 3000 мм.  Цвет штекеров для грудных электродов: красный С-1, желтый С-2, зеленый С-3, синий С-6, коричневый С-4, черный С-5. Цвет штекеров для конечностных электродов: красный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R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желтый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L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зеленый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F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черный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N</w:t>
            </w:r>
            <w:r w:rsidRPr="00C976F4">
              <w:rPr>
                <w:rFonts w:eastAsia="Times New Roman"/>
                <w:sz w:val="23"/>
                <w:szCs w:val="23"/>
              </w:rPr>
              <w:t xml:space="preserve">. Хвосты для грудных и конечностных электродов дополнительно соединены пластиковыми обоймами в отдельные звенья. Тип подключения к аппарату ЭКГ 15 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PIN</w:t>
            </w:r>
            <w:r w:rsidRPr="00C976F4">
              <w:rPr>
                <w:rFonts w:eastAsia="Times New Roman"/>
                <w:sz w:val="23"/>
                <w:szCs w:val="23"/>
              </w:rPr>
              <w:t>. Хвосты для грудных и конечностных электродов дополнительно соединены пластиковыми обоймами в отдельные звенья. Тип подключения к аппарату ЭКГ 15PIN. Тип вилки-</w:t>
            </w:r>
            <w:r w:rsidRPr="00C976F4">
              <w:rPr>
                <w:rFonts w:eastAsia="Times New Roman"/>
                <w:sz w:val="23"/>
                <w:szCs w:val="23"/>
              </w:rPr>
              <w:lastRenderedPageBreak/>
              <w:t xml:space="preserve">прямой. Крепление на винтах. Тип штекера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Banana</w:t>
            </w:r>
            <w:r w:rsidRPr="00C976F4">
              <w:rPr>
                <w:rFonts w:eastAsia="Times New Roman"/>
                <w:sz w:val="23"/>
                <w:szCs w:val="23"/>
              </w:rPr>
              <w:t xml:space="preserve">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plug</w:t>
            </w:r>
            <w:r w:rsidRPr="00C976F4">
              <w:rPr>
                <w:rFonts w:eastAsia="Times New Roman"/>
                <w:sz w:val="23"/>
                <w:szCs w:val="23"/>
              </w:rPr>
              <w:t xml:space="preserve"> с пружиной. Частота записи 0,005-150 Гц. Температура эксплуатации -5-50С. Чувствительность передачи сигнала 5/10/20 мм/мВ +/-5%. Защита от дефибрилляции. Двойная экранированная оплетка для защиты от внешних помех. Совместимость с имеющимся у заказчика электрокардиографом НПП Монитор ЭК12Т-01-Р-Д.</w:t>
            </w:r>
          </w:p>
        </w:tc>
        <w:tc>
          <w:tcPr>
            <w:tcW w:w="1922" w:type="dxa"/>
          </w:tcPr>
          <w:p w14:paraId="02C17C96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lastRenderedPageBreak/>
              <w:t>штука</w:t>
            </w:r>
          </w:p>
        </w:tc>
        <w:tc>
          <w:tcPr>
            <w:tcW w:w="844" w:type="dxa"/>
          </w:tcPr>
          <w:p w14:paraId="53D53612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C976F4" w:rsidRPr="00C976F4" w14:paraId="66493B52" w14:textId="77777777" w:rsidTr="00C976F4">
        <w:tc>
          <w:tcPr>
            <w:tcW w:w="448" w:type="dxa"/>
          </w:tcPr>
          <w:p w14:paraId="45C5BD48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2220" w:type="dxa"/>
          </w:tcPr>
          <w:p w14:paraId="4DFB4B32" w14:textId="4E305B20" w:rsidR="00C976F4" w:rsidRPr="00C976F4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811E6">
              <w:rPr>
                <w:rFonts w:eastAsia="Times New Roman"/>
                <w:sz w:val="23"/>
                <w:szCs w:val="23"/>
              </w:rPr>
              <w:t>Отведение для электрокардиографии, многоразового использования</w:t>
            </w:r>
          </w:p>
        </w:tc>
        <w:tc>
          <w:tcPr>
            <w:tcW w:w="1424" w:type="dxa"/>
          </w:tcPr>
          <w:p w14:paraId="24A48232" w14:textId="77777777" w:rsid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26.60.12.140</w:t>
            </w:r>
          </w:p>
          <w:p w14:paraId="28A8BB75" w14:textId="77777777" w:rsidR="008811E6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  <w:p w14:paraId="3C80A76A" w14:textId="32D3A7C9" w:rsidR="008811E6" w:rsidRPr="00C976F4" w:rsidRDefault="008811E6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8811E6">
              <w:rPr>
                <w:rFonts w:eastAsia="Times New Roman"/>
                <w:sz w:val="23"/>
                <w:szCs w:val="23"/>
              </w:rPr>
              <w:t>26.60.12.140-00000014</w:t>
            </w:r>
          </w:p>
        </w:tc>
        <w:tc>
          <w:tcPr>
            <w:tcW w:w="2378" w:type="dxa"/>
          </w:tcPr>
          <w:p w14:paraId="2EA356B7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Количество отведений -10. Количество каналов 12 шт (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III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aVR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aVL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aVF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1,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2,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3,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4,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5,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V</w:t>
            </w:r>
            <w:r w:rsidRPr="00C976F4">
              <w:rPr>
                <w:rFonts w:eastAsia="Times New Roman"/>
                <w:sz w:val="23"/>
                <w:szCs w:val="23"/>
              </w:rPr>
              <w:t xml:space="preserve">6). Длина кабелей от блока развертки на конечности 1250 мм. Длина кабелей от блока развертки грудных отведений – 770 мм. Длина кабеля питания 3000 мм.  Цвет штекеров для грудных электродов: красный С-1, желтый С-2, зеленый С-3, синий С-6, коричневый С-4, черный С-5. Цвет штекеров для конечностных электродов: красный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R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желтый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L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зеленый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F</w:t>
            </w:r>
            <w:r w:rsidRPr="00C976F4">
              <w:rPr>
                <w:rFonts w:eastAsia="Times New Roman"/>
                <w:sz w:val="23"/>
                <w:szCs w:val="23"/>
              </w:rPr>
              <w:t xml:space="preserve">, черный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N</w:t>
            </w:r>
            <w:r w:rsidRPr="00C976F4">
              <w:rPr>
                <w:rFonts w:eastAsia="Times New Roman"/>
                <w:sz w:val="23"/>
                <w:szCs w:val="23"/>
              </w:rPr>
              <w:t xml:space="preserve">. Хвосты для грудных и конечностных электродов дополнительно </w:t>
            </w:r>
            <w:r w:rsidRPr="00C976F4">
              <w:rPr>
                <w:rFonts w:eastAsia="Times New Roman"/>
                <w:sz w:val="23"/>
                <w:szCs w:val="23"/>
              </w:rPr>
              <w:lastRenderedPageBreak/>
              <w:t xml:space="preserve">соединены пластиковыми обоймами в отдельные звенья. Тип подключения к аппарату ЭКГ 15 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PIN</w:t>
            </w:r>
            <w:r w:rsidRPr="00C976F4">
              <w:rPr>
                <w:rFonts w:eastAsia="Times New Roman"/>
                <w:sz w:val="23"/>
                <w:szCs w:val="23"/>
              </w:rPr>
              <w:t xml:space="preserve">. Хвосты для грудных и конечностных электродов дополнительно соединены пластиковыми обоймами в отдельные звенья. Тип подключения к аппарату ЭКГ 15PIN. Тип вилки-прямой. Крепление на винтах. Тип штекера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Banana</w:t>
            </w:r>
            <w:r w:rsidRPr="00C976F4">
              <w:rPr>
                <w:rFonts w:eastAsia="Times New Roman"/>
                <w:sz w:val="23"/>
                <w:szCs w:val="23"/>
              </w:rPr>
              <w:t xml:space="preserve">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plug</w:t>
            </w:r>
            <w:r w:rsidRPr="00C976F4">
              <w:rPr>
                <w:rFonts w:eastAsia="Times New Roman"/>
                <w:sz w:val="23"/>
                <w:szCs w:val="23"/>
              </w:rPr>
              <w:t xml:space="preserve"> с пружиной. Частота записи 0,005-150 Гц. Температура эксплуатации -5-50С. Чувствительность передачи сигнала 5/10/20 мм/мВ +/-5%. Защита от дефибрилляции. Двойная экранированная оплетка для защиты от внешних помех. Совместимость с имеющимся у заказчика электрокардиографом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Shiller AT-2 plas</w:t>
            </w:r>
            <w:r w:rsidRPr="00C976F4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1922" w:type="dxa"/>
          </w:tcPr>
          <w:p w14:paraId="4B426FB7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lastRenderedPageBreak/>
              <w:t>штука</w:t>
            </w:r>
          </w:p>
        </w:tc>
        <w:tc>
          <w:tcPr>
            <w:tcW w:w="844" w:type="dxa"/>
          </w:tcPr>
          <w:p w14:paraId="4EC49306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C976F4" w:rsidRPr="00C976F4" w14:paraId="1615D9DA" w14:textId="77777777" w:rsidTr="00C976F4">
        <w:tc>
          <w:tcPr>
            <w:tcW w:w="448" w:type="dxa"/>
          </w:tcPr>
          <w:p w14:paraId="2275B971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2220" w:type="dxa"/>
          </w:tcPr>
          <w:p w14:paraId="1957F92C" w14:textId="484540A9" w:rsidR="00C976F4" w:rsidRPr="00C976F4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E12678">
              <w:rPr>
                <w:rFonts w:eastAsia="Times New Roman"/>
                <w:sz w:val="23"/>
                <w:szCs w:val="23"/>
              </w:rPr>
              <w:t>электрод для электрокардиографии, многоразового использования</w:t>
            </w:r>
            <w:r w:rsidR="00C976F4" w:rsidRPr="00C976F4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1424" w:type="dxa"/>
          </w:tcPr>
          <w:p w14:paraId="431E9300" w14:textId="77777777" w:rsid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26.60.12.140</w:t>
            </w:r>
          </w:p>
          <w:p w14:paraId="4A7C3F6E" w14:textId="77777777" w:rsidR="00E12678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  <w:p w14:paraId="456EF170" w14:textId="77777777" w:rsidR="00E12678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E12678">
              <w:rPr>
                <w:rFonts w:eastAsia="Times New Roman"/>
                <w:sz w:val="23"/>
                <w:szCs w:val="23"/>
              </w:rPr>
              <w:t>26.60.12.140-00000011</w:t>
            </w:r>
          </w:p>
          <w:p w14:paraId="5EFECDA5" w14:textId="236A8AB3" w:rsidR="00E12678" w:rsidRPr="00C976F4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</w:tc>
        <w:tc>
          <w:tcPr>
            <w:tcW w:w="2378" w:type="dxa"/>
          </w:tcPr>
          <w:p w14:paraId="702429C6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 xml:space="preserve">Предназначены для регистрации ЭКГ у взрослых. Многоразовые. Место наложения-конечности. Комплект из 4 электродов клемм анатомической продолговатой формы разного цвета. Длина ≥140 мм. Ширина ≥30 мм. Соединение с </w:t>
            </w:r>
            <w:r w:rsidRPr="00C976F4">
              <w:rPr>
                <w:rFonts w:eastAsia="Times New Roman"/>
                <w:sz w:val="23"/>
                <w:szCs w:val="23"/>
              </w:rPr>
              <w:lastRenderedPageBreak/>
              <w:t>кабелем пациента под штекер ¾. Электроды-клеммы со встроенной соединительной вставкой с пружинным эффектом.</w:t>
            </w:r>
            <w:r w:rsidRPr="00C976F4">
              <w:rPr>
                <w:rFonts w:ascii="Courier New" w:eastAsia="Times New Roman" w:hAnsi="Courier New" w:cs="Courier New"/>
                <w:sz w:val="20"/>
              </w:rPr>
              <w:t xml:space="preserve"> </w:t>
            </w:r>
            <w:r w:rsidRPr="00C976F4">
              <w:rPr>
                <w:rFonts w:eastAsia="Times New Roman"/>
                <w:sz w:val="23"/>
                <w:szCs w:val="23"/>
              </w:rPr>
              <w:t>Совместимость  с отвердениями для электрокардиографии многоразового использования для электрокардиографии Shiller AT-2 plas.</w:t>
            </w:r>
          </w:p>
        </w:tc>
        <w:tc>
          <w:tcPr>
            <w:tcW w:w="1922" w:type="dxa"/>
          </w:tcPr>
          <w:p w14:paraId="36639448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lastRenderedPageBreak/>
              <w:t xml:space="preserve">Комплект </w:t>
            </w:r>
          </w:p>
        </w:tc>
        <w:tc>
          <w:tcPr>
            <w:tcW w:w="844" w:type="dxa"/>
          </w:tcPr>
          <w:p w14:paraId="253C51AB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1</w:t>
            </w:r>
          </w:p>
        </w:tc>
      </w:tr>
      <w:tr w:rsidR="00C976F4" w:rsidRPr="00C976F4" w14:paraId="7D4AD40A" w14:textId="77777777" w:rsidTr="00C976F4">
        <w:tc>
          <w:tcPr>
            <w:tcW w:w="448" w:type="dxa"/>
          </w:tcPr>
          <w:p w14:paraId="5F5333AB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2220" w:type="dxa"/>
          </w:tcPr>
          <w:p w14:paraId="15F21F29" w14:textId="14708575" w:rsidR="00C976F4" w:rsidRPr="00C976F4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E12678">
              <w:rPr>
                <w:rFonts w:eastAsia="Times New Roman"/>
                <w:sz w:val="23"/>
                <w:szCs w:val="23"/>
              </w:rPr>
              <w:t>электрод для электрокардиографии, многоразового использования</w:t>
            </w:r>
          </w:p>
        </w:tc>
        <w:tc>
          <w:tcPr>
            <w:tcW w:w="1424" w:type="dxa"/>
          </w:tcPr>
          <w:p w14:paraId="14EDCBBF" w14:textId="77777777" w:rsid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26.60.12.140</w:t>
            </w:r>
          </w:p>
          <w:p w14:paraId="0DD07E62" w14:textId="77777777" w:rsidR="00E12678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  <w:p w14:paraId="4D67E1B0" w14:textId="77777777" w:rsidR="00E12678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</w:p>
          <w:p w14:paraId="04A21AED" w14:textId="6F251ECD" w:rsidR="00E12678" w:rsidRPr="00C976F4" w:rsidRDefault="00E12678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E12678">
              <w:rPr>
                <w:rFonts w:eastAsia="Times New Roman"/>
                <w:sz w:val="23"/>
                <w:szCs w:val="23"/>
              </w:rPr>
              <w:t>26.60.12.140-00000011</w:t>
            </w:r>
          </w:p>
        </w:tc>
        <w:tc>
          <w:tcPr>
            <w:tcW w:w="2378" w:type="dxa"/>
          </w:tcPr>
          <w:p w14:paraId="59EF9DF5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 xml:space="preserve">Электроды многоразовые. Место применения – грудные. Комплект из 6 эластичных груш шарообразной формы. Диаметр груш ≥30 мм. Толщина стенки ≥4 мм. Сенсор присоска диаметр внешний ≥24 мм. Сенсор присоска диаметр внутренний ≥22 мм. Толщина стенки≥ 1 мм. Соединение с кабелем пациента под штекер ¾. Материал – эластичный полвинилхлорид не содержащий латекса, сенсор и коннектор – медицинская сталь с покрытием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Ag</w:t>
            </w:r>
            <w:r w:rsidRPr="00C976F4">
              <w:rPr>
                <w:rFonts w:eastAsia="Times New Roman"/>
                <w:sz w:val="23"/>
                <w:szCs w:val="23"/>
              </w:rPr>
              <w:t>/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AgCl</w:t>
            </w:r>
            <w:r w:rsidRPr="00C976F4">
              <w:rPr>
                <w:rFonts w:eastAsia="Times New Roman"/>
                <w:sz w:val="23"/>
                <w:szCs w:val="23"/>
              </w:rPr>
              <w:t xml:space="preserve">. Совместимость  с отвердениями для электрокардиографии многоразового использования для электрокардиографии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Shiller</w:t>
            </w:r>
            <w:r w:rsidRPr="00C976F4">
              <w:rPr>
                <w:rFonts w:eastAsia="Times New Roman"/>
                <w:sz w:val="23"/>
                <w:szCs w:val="23"/>
              </w:rPr>
              <w:t xml:space="preserve">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AT</w:t>
            </w:r>
            <w:r w:rsidRPr="00C976F4">
              <w:rPr>
                <w:rFonts w:eastAsia="Times New Roman"/>
                <w:sz w:val="23"/>
                <w:szCs w:val="23"/>
              </w:rPr>
              <w:t xml:space="preserve">-2 </w:t>
            </w:r>
            <w:r w:rsidRPr="00C976F4">
              <w:rPr>
                <w:rFonts w:eastAsia="Times New Roman"/>
                <w:sz w:val="23"/>
                <w:szCs w:val="23"/>
                <w:lang w:val="en-US"/>
              </w:rPr>
              <w:t>plas</w:t>
            </w:r>
            <w:r w:rsidRPr="00C976F4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1922" w:type="dxa"/>
          </w:tcPr>
          <w:p w14:paraId="588BB21E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комплект</w:t>
            </w:r>
          </w:p>
        </w:tc>
        <w:tc>
          <w:tcPr>
            <w:tcW w:w="844" w:type="dxa"/>
          </w:tcPr>
          <w:p w14:paraId="023D1B3E" w14:textId="77777777" w:rsidR="00C976F4" w:rsidRPr="00C976F4" w:rsidRDefault="00C976F4" w:rsidP="00C976F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3"/>
                <w:szCs w:val="23"/>
              </w:rPr>
            </w:pPr>
            <w:r w:rsidRPr="00C976F4">
              <w:rPr>
                <w:rFonts w:eastAsia="Times New Roman"/>
                <w:sz w:val="23"/>
                <w:szCs w:val="23"/>
              </w:rPr>
              <w:t>1</w:t>
            </w:r>
          </w:p>
        </w:tc>
      </w:tr>
    </w:tbl>
    <w:p w14:paraId="1EF2F756" w14:textId="77777777" w:rsidR="00AA2A6A" w:rsidRPr="00AA750E" w:rsidRDefault="00AA2A6A" w:rsidP="00E275E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eastAsia="Calibri" w:cs="Times New Roman"/>
          <w:color w:val="000000"/>
          <w:kern w:val="0"/>
          <w:sz w:val="20"/>
          <w:szCs w:val="20"/>
          <w14:ligatures w14:val="none"/>
        </w:rPr>
      </w:pPr>
    </w:p>
    <w:p w14:paraId="52F6B2B6" w14:textId="34E5FD39" w:rsidR="00B050EC" w:rsidRPr="00AA750E" w:rsidRDefault="00B050EC" w:rsidP="00E80E21">
      <w:pPr>
        <w:autoSpaceDE w:val="0"/>
        <w:autoSpaceDN w:val="0"/>
        <w:adjustRightInd w:val="0"/>
        <w:spacing w:line="259" w:lineRule="auto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:u w:val="single"/>
          <w14:ligatures w14:val="none"/>
        </w:rPr>
        <w:t>Инструкция по заполнению предложения Поставщика.</w:t>
      </w:r>
    </w:p>
    <w:p w14:paraId="1D700C66" w14:textId="3117FF4A" w:rsidR="00B050EC" w:rsidRPr="00AA750E" w:rsidRDefault="00B050EC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142" w:firstLine="567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Поставщик указывает конкретные характеристики товара в соответствии с описанием объекта закупки Заказчика</w:t>
      </w:r>
      <w:r w:rsidR="001B1F9F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;</w:t>
      </w:r>
    </w:p>
    <w:p w14:paraId="7E3CDF7A" w14:textId="77777777" w:rsidR="001B1F9F" w:rsidRPr="00AA750E" w:rsidRDefault="001B1F9F" w:rsidP="001B1F9F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Наименование товара необходимо указывать в соответствии с регистрационным удостоверением на медицинское изделие;</w:t>
      </w:r>
    </w:p>
    <w:p w14:paraId="58FE5BE3" w14:textId="2A52A427" w:rsidR="001B1F9F" w:rsidRPr="00AA750E" w:rsidRDefault="001B1F9F" w:rsidP="00D9120A">
      <w:pPr>
        <w:pStyle w:val="a7"/>
        <w:numPr>
          <w:ilvl w:val="0"/>
          <w:numId w:val="2"/>
        </w:numPr>
        <w:autoSpaceDE w:val="0"/>
        <w:autoSpaceDN w:val="0"/>
        <w:adjustRightInd w:val="0"/>
        <w:spacing w:line="259" w:lineRule="auto"/>
        <w:ind w:left="0" w:firstLine="709"/>
        <w:jc w:val="both"/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</w:pPr>
      <w:r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lastRenderedPageBreak/>
        <w:t xml:space="preserve"> Поставщик 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предоставляет в составе предложения копию регистрационного удостоверения на медицинское изделие</w:t>
      </w:r>
      <w:r w:rsidR="00C976F4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 xml:space="preserve"> с указанием на принадлежности к медицинскому изделтию</w:t>
      </w:r>
      <w:r w:rsidR="00D9120A" w:rsidRPr="00AA750E">
        <w:rPr>
          <w:rFonts w:eastAsia="Calibri" w:cs="Times New Roman"/>
          <w:i/>
          <w:iCs/>
          <w:color w:val="000000"/>
          <w:kern w:val="0"/>
          <w:sz w:val="20"/>
          <w:szCs w:val="20"/>
          <w:highlight w:val="yellow"/>
          <w14:ligatures w14:val="none"/>
        </w:rPr>
        <w:t>, выданное Федеральной службой по надзору в сфере здравоохранения или информацию о таком регистрационном удостоверении (номер и дату).</w:t>
      </w:r>
    </w:p>
    <w:sectPr w:rsidR="001B1F9F" w:rsidRPr="00AA750E" w:rsidSect="002369C8">
      <w:pgSz w:w="11906" w:h="16838" w:code="9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662C"/>
    <w:multiLevelType w:val="hybridMultilevel"/>
    <w:tmpl w:val="6CFC601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E2CE1"/>
    <w:multiLevelType w:val="hybridMultilevel"/>
    <w:tmpl w:val="D27200E4"/>
    <w:lvl w:ilvl="0" w:tplc="FCB679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5790553">
    <w:abstractNumId w:val="0"/>
  </w:num>
  <w:num w:numId="2" w16cid:durableId="2043088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B0"/>
    <w:rsid w:val="00006008"/>
    <w:rsid w:val="0001449B"/>
    <w:rsid w:val="00106CA4"/>
    <w:rsid w:val="001B1F9F"/>
    <w:rsid w:val="001B4B00"/>
    <w:rsid w:val="00212F46"/>
    <w:rsid w:val="002369C8"/>
    <w:rsid w:val="002520C3"/>
    <w:rsid w:val="00341D75"/>
    <w:rsid w:val="003766EB"/>
    <w:rsid w:val="003B0326"/>
    <w:rsid w:val="004F7475"/>
    <w:rsid w:val="005016C9"/>
    <w:rsid w:val="00517992"/>
    <w:rsid w:val="005730C3"/>
    <w:rsid w:val="00591830"/>
    <w:rsid w:val="005F28C8"/>
    <w:rsid w:val="00623A13"/>
    <w:rsid w:val="00641234"/>
    <w:rsid w:val="006514AB"/>
    <w:rsid w:val="006C0B77"/>
    <w:rsid w:val="007014EA"/>
    <w:rsid w:val="007056F3"/>
    <w:rsid w:val="007512A0"/>
    <w:rsid w:val="00763870"/>
    <w:rsid w:val="00777B6E"/>
    <w:rsid w:val="007839EB"/>
    <w:rsid w:val="008242FF"/>
    <w:rsid w:val="00857C0B"/>
    <w:rsid w:val="00870751"/>
    <w:rsid w:val="008811E6"/>
    <w:rsid w:val="00894B07"/>
    <w:rsid w:val="008D1651"/>
    <w:rsid w:val="008E46EB"/>
    <w:rsid w:val="009159F1"/>
    <w:rsid w:val="00922C48"/>
    <w:rsid w:val="00946060"/>
    <w:rsid w:val="009635D1"/>
    <w:rsid w:val="00977689"/>
    <w:rsid w:val="009944B8"/>
    <w:rsid w:val="009F17D7"/>
    <w:rsid w:val="00A0131E"/>
    <w:rsid w:val="00A46935"/>
    <w:rsid w:val="00A773A9"/>
    <w:rsid w:val="00AA2A6A"/>
    <w:rsid w:val="00AA750E"/>
    <w:rsid w:val="00AC709A"/>
    <w:rsid w:val="00AE6C22"/>
    <w:rsid w:val="00B04264"/>
    <w:rsid w:val="00B050EC"/>
    <w:rsid w:val="00B240EF"/>
    <w:rsid w:val="00B915B7"/>
    <w:rsid w:val="00C976F4"/>
    <w:rsid w:val="00CA19FE"/>
    <w:rsid w:val="00D9120A"/>
    <w:rsid w:val="00DA48AD"/>
    <w:rsid w:val="00DE67C0"/>
    <w:rsid w:val="00E12678"/>
    <w:rsid w:val="00E21F9E"/>
    <w:rsid w:val="00E275E8"/>
    <w:rsid w:val="00E80E21"/>
    <w:rsid w:val="00E8653C"/>
    <w:rsid w:val="00EA59DF"/>
    <w:rsid w:val="00EC09E8"/>
    <w:rsid w:val="00ED4C58"/>
    <w:rsid w:val="00EE4070"/>
    <w:rsid w:val="00EE4ECF"/>
    <w:rsid w:val="00F009F9"/>
    <w:rsid w:val="00F12C76"/>
    <w:rsid w:val="00F319E4"/>
    <w:rsid w:val="00FB7A95"/>
    <w:rsid w:val="00FC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710DD"/>
  <w15:chartTrackingRefBased/>
  <w15:docId w15:val="{9FDB782C-42AF-4C3C-B7CF-A32F3BE4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C7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4B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4B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4B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4B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4B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4B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4B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4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4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4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4B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74B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74B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74B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74B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74B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74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7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4B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C7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C74B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74B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C74B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4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C74B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74B0"/>
    <w:rPr>
      <w:b/>
      <w:bCs/>
      <w:smallCaps/>
      <w:color w:val="2E74B5" w:themeColor="accent1" w:themeShade="BF"/>
      <w:spacing w:val="5"/>
    </w:rPr>
  </w:style>
  <w:style w:type="table" w:customStyle="1" w:styleId="210">
    <w:name w:val="Сетка таблицы21"/>
    <w:basedOn w:val="a1"/>
    <w:next w:val="ac"/>
    <w:uiPriority w:val="39"/>
    <w:rsid w:val="00DE67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E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c"/>
    <w:uiPriority w:val="39"/>
    <w:rsid w:val="00AC709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59"/>
    <w:rsid w:val="00C976F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Татьяна Вольтовна</dc:creator>
  <cp:keywords/>
  <dc:description/>
  <cp:lastModifiedBy>Андреева Татьяна Вольтовна</cp:lastModifiedBy>
  <cp:revision>61</cp:revision>
  <dcterms:created xsi:type="dcterms:W3CDTF">2026-01-30T08:41:00Z</dcterms:created>
  <dcterms:modified xsi:type="dcterms:W3CDTF">2026-06-22T09:59:00Z</dcterms:modified>
</cp:coreProperties>
</file>