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1008"/>
        <w:pBdr/>
        <w:spacing/>
        <w:ind/>
        <w:jc w:val="center"/>
        <w:rPr>
          <w:b/>
          <w:sz w:val="22"/>
          <w:szCs w:val="22"/>
        </w:rPr>
      </w:pPr>
      <w:r>
        <w:rPr>
          <w:rFonts w:ascii="Times New Roman" w:hAnsi="Times New Roman"/>
          <w:b/>
          <w:sz w:val="22"/>
          <w:szCs w:val="22"/>
        </w:rPr>
        <w:t xml:space="preserve">Контракт № </w:t>
      </w:r>
      <w:r>
        <w:rPr>
          <w:b/>
          <w:sz w:val="22"/>
          <w:szCs w:val="22"/>
        </w:rPr>
      </w:r>
    </w:p>
    <w:p>
      <w:pPr>
        <w:pBdr/>
        <w:spacing/>
        <w:ind w:left="284"/>
        <w:jc w:val="center"/>
        <w:rPr>
          <w:b/>
          <w:bCs/>
          <w:sz w:val="22"/>
          <w:szCs w:val="22"/>
        </w:rPr>
      </w:pPr>
      <w:r>
        <w:rPr>
          <w:b/>
          <w:bCs/>
          <w:sz w:val="22"/>
          <w:szCs w:val="22"/>
        </w:rPr>
        <w:t xml:space="preserve">на поставку кабелей и арматуры кабельной: кабели связи симметричные для цифровых систем передачи, лоток кабельный пластиковый.</w:t>
      </w:r>
      <w:r>
        <w:rPr>
          <w:b/>
          <w:bCs/>
          <w:sz w:val="22"/>
          <w:szCs w:val="22"/>
        </w:rPr>
      </w:r>
    </w:p>
    <w:p>
      <w:pPr>
        <w:pBdr/>
        <w:spacing/>
        <w:ind/>
        <w:jc w:val="center"/>
        <w:rPr>
          <w:color w:val="000000" w:themeColor="text1"/>
        </w:rPr>
      </w:pPr>
      <w:r>
        <w:rPr>
          <w:sz w:val="23"/>
          <w:szCs w:val="23"/>
        </w:rPr>
        <w:t xml:space="preserve">(Идентификационный код закупки </w:t>
      </w:r>
      <w:hyperlink r:id="rId9" w:tooltip="https://zakupki.gov.ru/epz/orderplan/pg2020/specialPurchase/special-purchase-info.html?plan-number=202603221000038001&amp;position-number=202603221000038001000006&amp;version=0" w:history="1">
        <w:r>
          <w:rPr>
            <w:rStyle w:val="983"/>
            <w:color w:val="000000" w:themeColor="text1"/>
            <w:highlight w:val="white"/>
            <w:u w:val="none"/>
          </w:rPr>
          <w:t xml:space="preserve">261272102089627210100100170000000000</w:t>
        </w:r>
      </w:hyperlink>
      <w:r>
        <w:t xml:space="preserve">)</w:t>
      </w:r>
      <w:r>
        <w:rPr>
          <w:color w:val="000000" w:themeColor="text1"/>
        </w:rPr>
      </w:r>
    </w:p>
    <w:p>
      <w:pPr>
        <w:pStyle w:val="1008"/>
        <w:pBdr/>
        <w:spacing/>
        <w:ind/>
        <w:jc w:val="center"/>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p>
    <w:p>
      <w:pPr>
        <w:pStyle w:val="1008"/>
        <w:pBdr/>
        <w:tabs>
          <w:tab w:val="center" w:leader="none" w:pos="4961"/>
        </w:tabs>
        <w:spacing/>
        <w:ind/>
        <w:rPr>
          <w:rFonts w:ascii="Times New Roman" w:hAnsi="Times New Roman"/>
          <w:sz w:val="23"/>
          <w:szCs w:val="23"/>
        </w:rPr>
      </w:pPr>
      <w:r>
        <w:rPr>
          <w:rFonts w:ascii="Times New Roman" w:hAnsi="Times New Roman"/>
          <w:sz w:val="23"/>
          <w:szCs w:val="23"/>
        </w:rPr>
        <w:t xml:space="preserve">г. Хабаровск                                                                                                                        «     »              2026г.</w:t>
      </w:r>
      <w:r>
        <w:rPr>
          <w:rFonts w:ascii="Times New Roman" w:hAnsi="Times New Roman"/>
          <w:sz w:val="23"/>
          <w:szCs w:val="23"/>
        </w:rPr>
      </w:r>
    </w:p>
    <w:p>
      <w:pPr>
        <w:pBdr/>
        <w:spacing w:line="276" w:lineRule="auto"/>
        <w:ind w:firstLine="567"/>
        <w:jc w:val="both"/>
        <w:rPr>
          <w:rFonts w:ascii="Roboto" w:hAnsi="Roboto"/>
          <w:sz w:val="22"/>
          <w:szCs w:val="22"/>
        </w:rPr>
      </w:pPr>
      <w:r>
        <w:rPr>
          <w:b/>
          <w:sz w:val="22"/>
          <w:szCs w:val="22"/>
        </w:rPr>
        <w:t xml:space="preserve">    Федеральное государственное бюджетное образовательное учреждение высшего образования «Дальневосточный государственный медицинский университет» Министерства здравоохранения Российской Федерации (ФГБОУ ВО ДВГМУ Минздрава России)</w:t>
      </w:r>
      <w:r>
        <w:rPr>
          <w:sz w:val="22"/>
          <w:szCs w:val="22"/>
        </w:rPr>
        <w:t xml:space="preserve">, именуемое в дальнейшем </w:t>
      </w:r>
      <w:r>
        <w:rPr>
          <w:b/>
          <w:sz w:val="22"/>
          <w:szCs w:val="22"/>
        </w:rPr>
        <w:t xml:space="preserve">"Заказчик",</w:t>
      </w:r>
      <w:r>
        <w:rPr>
          <w:sz w:val="22"/>
          <w:szCs w:val="22"/>
        </w:rPr>
        <w:t xml:space="preserve"> в </w:t>
      </w:r>
      <w:r>
        <w:rPr>
          <w:rFonts w:eastAsia="Calibri"/>
          <w:sz w:val="22"/>
          <w:szCs w:val="22"/>
        </w:rPr>
        <w:t xml:space="preserve">лице __________________________________</w:t>
      </w:r>
      <w:r>
        <w:rPr>
          <w:rFonts w:eastAsia="Calibri"/>
          <w:sz w:val="22"/>
          <w:szCs w:val="22"/>
          <w:lang w:eastAsia="en-US"/>
        </w:rPr>
        <w:t xml:space="preserve">, действующего на основании ________________________________, с одной стороны, и </w:t>
      </w:r>
      <w:bookmarkStart w:id="0" w:name="P31"/>
      <w:r/>
      <w:bookmarkStart w:id="1" w:name="P36"/>
      <w:r/>
      <w:bookmarkEnd w:id="0"/>
      <w:r/>
      <w:bookmarkEnd w:id="1"/>
      <w:r>
        <w:rPr>
          <w:b/>
          <w:bCs/>
          <w:iCs/>
          <w:spacing w:val="-6"/>
          <w:sz w:val="22"/>
          <w:szCs w:val="22"/>
        </w:rPr>
        <w:t xml:space="preserve">_________________________________________,</w:t>
      </w:r>
      <w:r>
        <w:rPr>
          <w:rFonts w:eastAsia="Calibri"/>
          <w:sz w:val="22"/>
          <w:szCs w:val="22"/>
          <w:lang w:eastAsia="en-US"/>
        </w:rPr>
        <w:t xml:space="preserve"> именуемое в дальнейшем "Поставщик", в лице ______________________________, действующего на основании _____________________</w:t>
      </w:r>
      <w:r>
        <w:rPr>
          <w:b/>
          <w:sz w:val="22"/>
          <w:szCs w:val="22"/>
        </w:rPr>
        <w:t xml:space="preserve">,</w:t>
      </w:r>
      <w:r>
        <w:rPr>
          <w:sz w:val="22"/>
          <w:szCs w:val="22"/>
        </w:rPr>
        <w:t xml:space="preserve"> с другой стороны, здесь и далее именуемые "Стороны" </w:t>
      </w:r>
      <w:r>
        <w:rPr>
          <w:bCs/>
          <w:iCs/>
          <w:spacing w:val="-6"/>
          <w:sz w:val="22"/>
          <w:szCs w:val="22"/>
        </w:rPr>
        <w:t xml:space="preserve">с соблюдением требований Гр</w:t>
      </w:r>
      <w:r>
        <w:rPr>
          <w:bCs/>
          <w:iCs/>
          <w:spacing w:val="-6"/>
          <w:sz w:val="22"/>
          <w:szCs w:val="22"/>
        </w:rPr>
        <w:t xml:space="preserve">ажданского кодекса Российской Федерации, п. 5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sz w:val="22"/>
          <w:szCs w:val="22"/>
        </w:rPr>
        <w:t xml:space="preserve">,</w:t>
      </w:r>
      <w:r>
        <w:rPr>
          <w:bCs/>
          <w:iCs/>
          <w:spacing w:val="-6"/>
          <w:sz w:val="22"/>
          <w:szCs w:val="22"/>
        </w:rPr>
        <w:t xml:space="preserve"> ИКЗ: 261272102089627210100100170000000000 </w:t>
      </w:r>
      <w:r>
        <w:rPr>
          <w:sz w:val="22"/>
          <w:szCs w:val="22"/>
        </w:rPr>
        <w:t xml:space="preserve">,</w:t>
      </w:r>
      <w:r>
        <w:rPr>
          <w:bCs/>
          <w:iCs/>
          <w:spacing w:val="-6"/>
          <w:sz w:val="22"/>
          <w:szCs w:val="22"/>
        </w:rPr>
        <w:t xml:space="preserve"> заключили настоящий контракт (далее - Контракт) о нижеследующем:</w:t>
      </w:r>
      <w:r>
        <w:rPr>
          <w:rFonts w:ascii="Roboto" w:hAnsi="Roboto"/>
          <w:sz w:val="22"/>
          <w:szCs w:val="22"/>
        </w:rPr>
      </w:r>
    </w:p>
    <w:p>
      <w:pPr>
        <w:pStyle w:val="1011"/>
        <w:pBdr/>
        <w:spacing/>
        <w:ind/>
        <w:jc w:val="both"/>
        <w:rPr>
          <w:sz w:val="23"/>
          <w:szCs w:val="23"/>
        </w:rPr>
      </w:pPr>
      <w:r>
        <w:rPr>
          <w:sz w:val="23"/>
          <w:szCs w:val="23"/>
        </w:rPr>
      </w:r>
      <w:r>
        <w:rPr>
          <w:sz w:val="23"/>
          <w:szCs w:val="23"/>
        </w:rPr>
      </w:r>
    </w:p>
    <w:p>
      <w:pPr>
        <w:pStyle w:val="1017"/>
        <w:widowControl w:val="false"/>
        <w:pBdr/>
        <w:spacing w:after="0" w:before="120" w:line="240" w:lineRule="auto"/>
        <w:ind w:left="567"/>
        <w:jc w:val="center"/>
        <w:rPr>
          <w:rFonts w:ascii="Times New Roman" w:hAnsi="Times New Roman"/>
          <w:color w:val="000000"/>
          <w:sz w:val="23"/>
          <w:szCs w:val="23"/>
          <w:lang w:val="ru-RU"/>
        </w:rPr>
      </w:pPr>
      <w:r>
        <w:rPr>
          <w:rFonts w:ascii="Times New Roman" w:hAnsi="Times New Roman"/>
          <w:b/>
          <w:bCs/>
          <w:color w:val="000000"/>
          <w:sz w:val="23"/>
          <w:szCs w:val="23"/>
        </w:rPr>
        <w:t xml:space="preserve">I</w:t>
      </w:r>
      <w:r>
        <w:rPr>
          <w:rFonts w:ascii="Times New Roman" w:hAnsi="Times New Roman"/>
          <w:b/>
          <w:bCs/>
          <w:color w:val="000000"/>
          <w:sz w:val="23"/>
          <w:szCs w:val="23"/>
          <w:lang w:val="ru-RU"/>
        </w:rPr>
        <w:t xml:space="preserve">.ПРЕДМЕТ КОНТРАКТА</w:t>
      </w:r>
      <w:r>
        <w:rPr>
          <w:rFonts w:ascii="Times New Roman" w:hAnsi="Times New Roman"/>
          <w:color w:val="000000"/>
          <w:sz w:val="23"/>
          <w:szCs w:val="23"/>
          <w:lang w:val="ru-RU"/>
        </w:rPr>
      </w:r>
    </w:p>
    <w:p>
      <w:pPr>
        <w:pBdr/>
        <w:spacing/>
        <w:ind w:firstLine="720"/>
        <w:jc w:val="both"/>
        <w:rPr>
          <w:sz w:val="22"/>
          <w:szCs w:val="22"/>
        </w:rPr>
      </w:pPr>
      <w:r>
        <w:rPr>
          <w:sz w:val="22"/>
          <w:szCs w:val="22"/>
        </w:rPr>
        <w:t xml:space="preserve">1.1. </w:t>
      </w:r>
      <w:r>
        <w:rPr>
          <w:color w:val="000000"/>
          <w:sz w:val="22"/>
          <w:szCs w:val="22"/>
        </w:rPr>
        <w:t xml:space="preserve">Поставщик обязуется поставить </w:t>
      </w:r>
      <w:r>
        <w:rPr>
          <w:sz w:val="22"/>
          <w:szCs w:val="22"/>
        </w:rPr>
        <w:t xml:space="preserve">кабели и арматуру кабельную: кабели связи симметричные для цифровых систем передачи, лоток кабельный пластиковый.</w:t>
      </w:r>
      <w:r>
        <w:rPr>
          <w:color w:val="000000"/>
          <w:sz w:val="22"/>
          <w:szCs w:val="22"/>
        </w:rPr>
        <w:t xml:space="preserve"> (далее - Товар), а Заказчик </w:t>
      </w:r>
      <w:r>
        <w:rPr>
          <w:color w:val="000000"/>
          <w:sz w:val="22"/>
          <w:szCs w:val="22"/>
        </w:rPr>
        <w:t xml:space="preserve">обязуется</w:t>
      </w:r>
      <w:r>
        <w:rPr>
          <w:sz w:val="22"/>
          <w:szCs w:val="22"/>
        </w:rPr>
        <w:t xml:space="preserve"> </w:t>
      </w:r>
      <w:r>
        <w:rPr>
          <w:color w:val="000000"/>
          <w:sz w:val="22"/>
          <w:szCs w:val="22"/>
        </w:rPr>
        <w:t xml:space="preserve">принять</w:t>
      </w:r>
      <w:r>
        <w:rPr>
          <w:color w:val="000000"/>
          <w:sz w:val="22"/>
          <w:szCs w:val="22"/>
        </w:rPr>
        <w:t xml:space="preserve"> и оплатить Товар в порядке и на условиях, предусмотренных Контрактом</w:t>
      </w:r>
      <w:r>
        <w:rPr>
          <w:sz w:val="22"/>
          <w:szCs w:val="22"/>
        </w:rPr>
        <w:t xml:space="preserve">.</w:t>
      </w:r>
      <w:r>
        <w:rPr>
          <w:sz w:val="22"/>
          <w:szCs w:val="22"/>
        </w:rPr>
      </w:r>
    </w:p>
    <w:p>
      <w:pPr>
        <w:pBdr/>
        <w:spacing/>
        <w:ind w:firstLine="720"/>
        <w:jc w:val="both"/>
        <w:rPr>
          <w:sz w:val="22"/>
          <w:szCs w:val="22"/>
        </w:rPr>
      </w:pPr>
      <w:r>
        <w:rPr>
          <w:sz w:val="22"/>
          <w:szCs w:val="22"/>
        </w:rPr>
        <w:t xml:space="preserve">1.2. Наименование, количество и иные характеристики поставляемого Товара указаны в</w:t>
      </w:r>
      <w:r>
        <w:rPr>
          <w:sz w:val="22"/>
          <w:szCs w:val="22"/>
        </w:rPr>
        <w:t xml:space="preserve"> </w:t>
      </w:r>
      <w:r>
        <w:rPr>
          <w:sz w:val="22"/>
          <w:szCs w:val="22"/>
        </w:rPr>
        <w:t xml:space="preserve">спецификации (Приложение № 1 Контракту), являющейся неотъемлемой частью Контракта.</w:t>
      </w:r>
      <w:r>
        <w:rPr>
          <w:sz w:val="22"/>
          <w:szCs w:val="22"/>
        </w:rPr>
      </w:r>
    </w:p>
    <w:p>
      <w:pPr>
        <w:pBdr/>
        <w:spacing/>
        <w:ind w:firstLine="720"/>
        <w:jc w:val="both"/>
        <w:rPr>
          <w:color w:val="000000"/>
          <w:sz w:val="22"/>
          <w:szCs w:val="22"/>
        </w:rPr>
      </w:pPr>
      <w:r>
        <w:rPr>
          <w:sz w:val="22"/>
          <w:szCs w:val="22"/>
        </w:rPr>
        <w:t xml:space="preserve">1.3. Поставка Товара осуществляется Поставщиком собственными силами с разгрузкой транспортного средства по адресу: г. Хабаровск, ул. Муравьева - Амурского, 35, (далее – Место доставки), в течение 5 (пяти) дней после заключения Контракта.</w:t>
      </w:r>
      <w:r>
        <w:rPr>
          <w:color w:val="000000"/>
          <w:sz w:val="22"/>
          <w:szCs w:val="22"/>
        </w:rPr>
      </w:r>
    </w:p>
    <w:p>
      <w:pPr>
        <w:pStyle w:val="1008"/>
        <w:pBdr/>
        <w:spacing/>
        <w:ind w:firstLine="54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p>
    <w:p>
      <w:pPr>
        <w:pStyle w:val="1008"/>
        <w:pBdr/>
        <w:spacing/>
        <w:ind w:firstLine="540"/>
        <w:jc w:val="center"/>
        <w:rPr>
          <w:rFonts w:ascii="Times New Roman" w:hAnsi="Times New Roman"/>
          <w:b/>
          <w:bCs/>
          <w:sz w:val="23"/>
          <w:szCs w:val="23"/>
        </w:rPr>
      </w:pPr>
      <w:r>
        <w:rPr>
          <w:rFonts w:ascii="Times New Roman" w:hAnsi="Times New Roman"/>
          <w:b/>
          <w:sz w:val="23"/>
          <w:szCs w:val="23"/>
          <w:lang w:val="en-US"/>
        </w:rPr>
        <w:t xml:space="preserve">II</w:t>
      </w:r>
      <w:r>
        <w:rPr>
          <w:rFonts w:ascii="Times New Roman" w:hAnsi="Times New Roman"/>
          <w:b/>
          <w:sz w:val="23"/>
          <w:szCs w:val="23"/>
        </w:rPr>
        <w:t xml:space="preserve">.</w:t>
      </w:r>
      <w:r>
        <w:rPr>
          <w:rFonts w:ascii="Times New Roman" w:hAnsi="Times New Roman"/>
          <w:b/>
          <w:color w:val="000000"/>
          <w:sz w:val="23"/>
          <w:szCs w:val="23"/>
        </w:rPr>
        <w:t xml:space="preserve"> ЦЕНА КОНТРАКТА И </w:t>
      </w:r>
      <w:r>
        <w:rPr>
          <w:rFonts w:ascii="Times New Roman" w:hAnsi="Times New Roman" w:eastAsia="Arial"/>
          <w:b/>
          <w:color w:val="000000"/>
          <w:sz w:val="23"/>
          <w:szCs w:val="23"/>
          <w:lang w:eastAsia="ar-SA"/>
        </w:rPr>
        <w:t xml:space="preserve">ПОРЯДОК РАСЧЕТОВ</w:t>
      </w:r>
      <w:r>
        <w:rPr>
          <w:rFonts w:ascii="Times New Roman" w:hAnsi="Times New Roman"/>
          <w:b/>
          <w:bCs/>
          <w:sz w:val="23"/>
          <w:szCs w:val="23"/>
        </w:rPr>
      </w:r>
    </w:p>
    <w:p>
      <w:pPr>
        <w:pStyle w:val="1008"/>
        <w:pBdr/>
        <w:spacing/>
        <w:ind w:firstLine="540"/>
        <w:jc w:val="center"/>
        <w:rPr>
          <w:rFonts w:ascii="Times New Roman" w:hAnsi="Times New Roman"/>
          <w:b/>
          <w:bCs/>
          <w:sz w:val="23"/>
          <w:szCs w:val="23"/>
        </w:rPr>
      </w:pPr>
      <w:r>
        <w:rPr>
          <w:rFonts w:ascii="Times New Roman" w:hAnsi="Times New Roman"/>
          <w:b/>
          <w:bCs/>
          <w:sz w:val="23"/>
          <w:szCs w:val="23"/>
        </w:rPr>
      </w:r>
      <w:r>
        <w:rPr>
          <w:rFonts w:ascii="Times New Roman" w:hAnsi="Times New Roman"/>
          <w:b/>
          <w:bCs/>
          <w:sz w:val="23"/>
          <w:szCs w:val="23"/>
        </w:rPr>
      </w:r>
    </w:p>
    <w:p>
      <w:pPr>
        <w:pStyle w:val="1062"/>
        <w:pBdr/>
        <w:spacing/>
        <w:ind w:firstLine="567"/>
        <w:jc w:val="both"/>
        <w:rPr>
          <w:rFonts w:ascii="Times New Roman" w:hAnsi="Times New Roman"/>
          <w:b/>
          <w:bCs/>
        </w:rPr>
      </w:pPr>
      <w:r>
        <w:rPr>
          <w:rFonts w:ascii="Times New Roman" w:hAnsi="Times New Roman"/>
        </w:rPr>
        <w:t xml:space="preserve">2.1. Цена Контракта составляет </w:t>
      </w:r>
      <w:r>
        <w:rPr>
          <w:rFonts w:ascii="Times New Roman" w:hAnsi="Times New Roman"/>
          <w:b/>
          <w:bCs/>
        </w:rPr>
        <w:t xml:space="preserve">________________________________________________. </w:t>
      </w:r>
      <w:r>
        <w:rPr>
          <w:rFonts w:ascii="Times New Roman" w:hAnsi="Times New Roman"/>
          <w:b/>
          <w:bCs/>
        </w:rPr>
      </w:r>
    </w:p>
    <w:p>
      <w:pPr>
        <w:pStyle w:val="1008"/>
        <w:pBdr/>
        <w:spacing/>
        <w:ind w:firstLine="567"/>
        <w:jc w:val="both"/>
        <w:rPr>
          <w:rFonts w:ascii="Times New Roman" w:hAnsi="Times New Roman"/>
          <w:sz w:val="22"/>
          <w:szCs w:val="22"/>
        </w:rPr>
      </w:pPr>
      <w:r>
        <w:rPr>
          <w:rFonts w:ascii="Times New Roman" w:hAnsi="Times New Roman"/>
          <w:sz w:val="22"/>
          <w:szCs w:val="22"/>
        </w:rPr>
        <w:t xml:space="preserve">2</w:t>
      </w:r>
      <w:r>
        <w:rPr>
          <w:rFonts w:ascii="Times New Roman" w:hAnsi="Times New Roman"/>
          <w:sz w:val="23"/>
          <w:szCs w:val="23"/>
        </w:rPr>
        <w:t xml:space="preserve">.2</w:t>
      </w:r>
      <w:r>
        <w:rPr>
          <w:rFonts w:ascii="Times New Roman" w:hAnsi="Times New Roman"/>
          <w:sz w:val="22"/>
          <w:szCs w:val="22"/>
        </w:rPr>
        <w:t xml:space="preserve">. Цена Контракта включает в себя: стоимость Товара, расходы, связ</w:t>
      </w:r>
      <w:r>
        <w:rPr>
          <w:rFonts w:ascii="Times New Roman" w:hAnsi="Times New Roman"/>
          <w:sz w:val="22"/>
          <w:szCs w:val="22"/>
        </w:rPr>
        <w:t xml:space="preserve">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rFonts w:ascii="Times New Roman" w:hAnsi="Times New Roman"/>
          <w:sz w:val="22"/>
          <w:szCs w:val="22"/>
        </w:rPr>
      </w:r>
    </w:p>
    <w:p>
      <w:pPr>
        <w:pStyle w:val="1008"/>
        <w:pBdr/>
        <w:spacing/>
        <w:ind w:firstLine="567"/>
        <w:jc w:val="both"/>
        <w:rPr>
          <w:rFonts w:ascii="Times New Roman" w:hAnsi="Times New Roman"/>
          <w:sz w:val="22"/>
          <w:szCs w:val="22"/>
        </w:rPr>
      </w:pPr>
      <w:r>
        <w:rPr>
          <w:rFonts w:ascii="Times New Roman" w:hAnsi="Times New Roman"/>
          <w:sz w:val="22"/>
          <w:szCs w:val="22"/>
        </w:rPr>
        <w:t xml:space="preserve">2.3. Цена Контракта является твердой и определяется на весь срок исполнения Контракта, за исключением следующего случая:</w:t>
      </w:r>
      <w:bookmarkStart w:id="2" w:name="P1460"/>
      <w:r/>
      <w:bookmarkEnd w:id="2"/>
      <w:r/>
      <w:r>
        <w:rPr>
          <w:rFonts w:ascii="Times New Roman" w:hAnsi="Times New Roman"/>
          <w:sz w:val="22"/>
          <w:szCs w:val="22"/>
        </w:rPr>
      </w:r>
    </w:p>
    <w:p>
      <w:pPr>
        <w:pStyle w:val="1008"/>
        <w:pBdr/>
        <w:spacing/>
        <w:ind w:firstLine="567"/>
        <w:jc w:val="both"/>
        <w:rPr>
          <w:rFonts w:ascii="Times New Roman" w:hAnsi="Times New Roman"/>
          <w:sz w:val="22"/>
          <w:szCs w:val="22"/>
        </w:rPr>
      </w:pPr>
      <w:r>
        <w:rPr>
          <w:rFonts w:ascii="Times New Roman" w:hAnsi="Times New Roman"/>
          <w:sz w:val="22"/>
          <w:szCs w:val="22"/>
        </w:rPr>
        <w:t xml:space="preserve">2.3.1.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Times New Roman" w:hAnsi="Times New Roman"/>
          <w:sz w:val="22"/>
          <w:szCs w:val="22"/>
        </w:rPr>
      </w:r>
    </w:p>
    <w:p>
      <w:pPr>
        <w:pStyle w:val="1008"/>
        <w:pBdr/>
        <w:spacing/>
        <w:ind w:left="567"/>
        <w:jc w:val="both"/>
        <w:rPr>
          <w:rFonts w:ascii="Times New Roman" w:hAnsi="Times New Roman"/>
          <w:sz w:val="22"/>
          <w:szCs w:val="22"/>
        </w:rPr>
      </w:pPr>
      <w:r>
        <w:rPr>
          <w:rFonts w:ascii="Times New Roman" w:hAnsi="Times New Roman"/>
          <w:sz w:val="22"/>
          <w:szCs w:val="22"/>
        </w:rPr>
        <w:t xml:space="preserve">2.4. Источник финансирования Контракта – средства бюджетного учреждения. </w:t>
      </w:r>
      <w:bookmarkStart w:id="3" w:name="P1462"/>
      <w:r/>
      <w:bookmarkStart w:id="4" w:name="P1466"/>
      <w:r/>
      <w:bookmarkEnd w:id="3"/>
      <w:r/>
      <w:bookmarkEnd w:id="4"/>
      <w:r/>
      <w:r>
        <w:rPr>
          <w:rFonts w:ascii="Times New Roman" w:hAnsi="Times New Roman"/>
          <w:sz w:val="22"/>
          <w:szCs w:val="22"/>
        </w:rPr>
      </w:r>
    </w:p>
    <w:p>
      <w:pPr>
        <w:pStyle w:val="1008"/>
        <w:pBdr/>
        <w:spacing/>
        <w:ind w:right="0" w:firstLine="567" w:left="0"/>
        <w:contextualSpacing w:val="true"/>
        <w:jc w:val="both"/>
        <w:rPr>
          <w:rFonts w:ascii="Times New Roman" w:hAnsi="Times New Roman"/>
          <w:sz w:val="22"/>
          <w:szCs w:val="22"/>
        </w:rPr>
      </w:pPr>
      <w:r>
        <w:rPr>
          <w:rFonts w:ascii="Times New Roman" w:hAnsi="Times New Roman"/>
          <w:sz w:val="22"/>
          <w:szCs w:val="22"/>
        </w:rPr>
        <w:t xml:space="preserve">2.5. </w:t>
      </w:r>
      <w:bookmarkStart w:id="5" w:name="P1475"/>
      <w:r/>
      <w:bookmarkEnd w:id="5"/>
      <w:r>
        <w:rPr>
          <w:rFonts w:ascii="Times New Roman" w:hAnsi="Times New Roman"/>
          <w:sz w:val="22"/>
          <w:szCs w:val="22"/>
        </w:rPr>
        <w:t xml:space="preserve"> </w:t>
      </w:r>
      <w:r>
        <w:rPr>
          <w:rFonts w:ascii="Times New Roman" w:hAnsi="Times New Roman"/>
          <w:sz w:val="22"/>
          <w:szCs w:val="22"/>
        </w:rPr>
        <w:t xml:space="preserve">Расчеты между Заказчиком и Поставщиком производятся не позднее 10 (десяти) рабочих дней с даты подписания Заказчиком </w:t>
      </w:r>
      <w:r>
        <w:rPr>
          <w:rFonts w:ascii="Times New Roman" w:hAnsi="Times New Roman"/>
          <w:color w:val="000000"/>
          <w:sz w:val="22"/>
          <w:szCs w:val="22"/>
          <w:shd w:val="clear" w:color="auto" w:fill="ffffff"/>
        </w:rPr>
        <w:t xml:space="preserve">акта приема-передачи Товара, </w:t>
      </w:r>
      <w:r>
        <w:rPr>
          <w:rFonts w:ascii="Times New Roman" w:hAnsi="Times New Roman"/>
          <w:sz w:val="22"/>
          <w:szCs w:val="22"/>
        </w:rPr>
        <w:t xml:space="preserve">товарной накладной или универсально-передаточного документа (далее УПД), составленного по форме в соответствии с законодательством Российской Федерац</w:t>
      </w:r>
      <w:r>
        <w:rPr>
          <w:rFonts w:ascii="Times New Roman" w:hAnsi="Times New Roman"/>
          <w:sz w:val="22"/>
          <w:szCs w:val="22"/>
        </w:rPr>
        <w:t xml:space="preserve">ии и при предоставлении документов: счета, счет-фактуры (при наличии), сводного реестра товарных накладных на поставку Товара (при необходимости) и документа, подтверждающего соответствие качества Товара, выданного уполномоченными органами (организациями)</w:t>
      </w:r>
      <w:r/>
      <w:r>
        <w:rPr>
          <w:rFonts w:ascii="Times New Roman" w:hAnsi="Times New Roman"/>
          <w:sz w:val="22"/>
          <w:szCs w:val="22"/>
        </w:rPr>
      </w:r>
      <w:r>
        <w:rPr>
          <w:rFonts w:ascii="Times New Roman" w:hAnsi="Times New Roman"/>
          <w:sz w:val="22"/>
          <w:szCs w:val="22"/>
        </w:rPr>
      </w:r>
    </w:p>
    <w:p>
      <w:pPr>
        <w:pStyle w:val="1008"/>
        <w:pBdr/>
        <w:spacing/>
        <w:ind w:firstLine="567"/>
        <w:jc w:val="both"/>
        <w:rPr>
          <w:rFonts w:ascii="Times New Roman" w:hAnsi="Times New Roman"/>
          <w:sz w:val="22"/>
          <w:szCs w:val="22"/>
        </w:rPr>
      </w:pPr>
      <w:r>
        <w:rPr>
          <w:rFonts w:ascii="Times New Roman" w:hAnsi="Times New Roman"/>
          <w:sz w:val="22"/>
          <w:szCs w:val="22"/>
        </w:rPr>
        <w:t xml:space="preserve">2.6. Оплата по</w:t>
      </w:r>
      <w:r>
        <w:rPr>
          <w:rFonts w:ascii="Times New Roman" w:hAnsi="Times New Roman"/>
          <w:sz w:val="22"/>
          <w:szCs w:val="22"/>
        </w:rPr>
        <w:t xml:space="preserve">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w:t>
      </w:r>
      <w:r>
        <w:rPr>
          <w:rFonts w:ascii="Times New Roman" w:hAnsi="Times New Roman"/>
          <w:sz w:val="22"/>
          <w:szCs w:val="22"/>
        </w:rPr>
        <w:t xml:space="preserve">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Pr>
          <w:rFonts w:ascii="Times New Roman" w:hAnsi="Times New Roman"/>
          <w:sz w:val="22"/>
          <w:szCs w:val="22"/>
        </w:rPr>
      </w:r>
    </w:p>
    <w:p>
      <w:pPr>
        <w:pStyle w:val="1008"/>
        <w:pBdr/>
        <w:spacing/>
        <w:ind w:firstLine="567"/>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1008"/>
        <w:pBdr/>
        <w:spacing/>
        <w:ind w:firstLine="567"/>
        <w:jc w:val="center"/>
        <w:outlineLvl w:val="1"/>
        <w:rPr>
          <w:rFonts w:ascii="Times New Roman" w:hAnsi="Times New Roman"/>
          <w:b/>
          <w:sz w:val="23"/>
          <w:szCs w:val="23"/>
        </w:rPr>
      </w:pPr>
      <w:r>
        <w:rPr>
          <w:rFonts w:ascii="Times New Roman" w:hAnsi="Times New Roman"/>
          <w:b/>
          <w:sz w:val="23"/>
          <w:szCs w:val="23"/>
        </w:rPr>
        <w:t xml:space="preserve">III. ПОРЯДОК, СРОКИ И УСЛОВИЯ ПОСТАВКИ И ПРИЕМКИ ТОВАРА</w:t>
      </w:r>
      <w:r>
        <w:rPr>
          <w:rFonts w:ascii="Times New Roman" w:hAnsi="Times New Roman"/>
          <w:b/>
          <w:sz w:val="23"/>
          <w:szCs w:val="23"/>
        </w:rPr>
      </w:r>
    </w:p>
    <w:p>
      <w:pPr>
        <w:pBdr/>
        <w:tabs>
          <w:tab w:val="left" w:leader="none" w:pos="709"/>
        </w:tabs>
        <w:spacing/>
        <w:ind w:firstLine="567"/>
        <w:jc w:val="both"/>
        <w:rPr>
          <w:rFonts w:eastAsia="Calibri"/>
          <w:color w:val="000000"/>
          <w:sz w:val="23"/>
          <w:szCs w:val="23"/>
        </w:rPr>
      </w:pPr>
      <w:r>
        <w:rPr>
          <w:color w:val="000000"/>
          <w:sz w:val="23"/>
          <w:szCs w:val="23"/>
        </w:rPr>
        <w:t xml:space="preserve">3.1. Поставщик самостоятельно доставляет Товар Заказчику по адресу: в соответствии с Технической частью </w:t>
      </w:r>
      <w:r>
        <w:rPr>
          <w:sz w:val="23"/>
          <w:szCs w:val="23"/>
        </w:rPr>
        <w:t xml:space="preserve">(далее - место доставки), в течение 5 дней со дня заключения Контракта.</w:t>
      </w:r>
      <w:r>
        <w:rPr>
          <w:color w:val="000000"/>
          <w:sz w:val="23"/>
          <w:szCs w:val="23"/>
        </w:rPr>
        <w:t xml:space="preserve"> </w:t>
      </w:r>
      <w:r>
        <w:rPr>
          <w:color w:val="000000"/>
          <w:sz w:val="23"/>
          <w:szCs w:val="23"/>
        </w:rPr>
        <w:t xml:space="preserve">Поставщик </w:t>
      </w:r>
      <w:r>
        <w:rPr>
          <w:rFonts w:eastAsia="Calibri"/>
          <w:color w:val="000000"/>
          <w:sz w:val="23"/>
          <w:szCs w:val="23"/>
        </w:rPr>
        <w:t xml:space="preserve">не менее чем за 2 рабочих дня до осуществления поставки Товара направляет в адрес Заказчика уведомление о времени и дате доставки Товара в место доставки. </w:t>
      </w:r>
      <w:r>
        <w:rPr>
          <w:rFonts w:eastAsia="Calibri"/>
          <w:color w:val="000000"/>
          <w:sz w:val="23"/>
          <w:szCs w:val="23"/>
        </w:rPr>
      </w:r>
    </w:p>
    <w:p>
      <w:pPr>
        <w:pBdr/>
        <w:spacing/>
        <w:ind w:firstLine="567"/>
        <w:jc w:val="both"/>
        <w:rPr>
          <w:sz w:val="23"/>
          <w:szCs w:val="23"/>
        </w:rPr>
      </w:pPr>
      <w:r>
        <w:rPr>
          <w:sz w:val="23"/>
          <w:szCs w:val="23"/>
        </w:rPr>
        <w:t xml:space="preserve">3.2. Приемка Товара осуществляется путем пе</w:t>
      </w:r>
      <w:r>
        <w:rPr>
          <w:sz w:val="23"/>
          <w:szCs w:val="23"/>
        </w:rPr>
        <w:t xml:space="preserve">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Pr>
          <w:sz w:val="23"/>
          <w:szCs w:val="23"/>
        </w:rPr>
      </w:r>
    </w:p>
    <w:p>
      <w:pPr>
        <w:pBdr/>
        <w:spacing/>
        <w:ind w:firstLine="567"/>
        <w:jc w:val="both"/>
        <w:rPr>
          <w:sz w:val="23"/>
          <w:szCs w:val="23"/>
        </w:rPr>
      </w:pPr>
      <w:r>
        <w:rPr>
          <w:sz w:val="23"/>
          <w:szCs w:val="23"/>
        </w:rPr>
        <w:t xml:space="preserve">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Pr>
          <w:sz w:val="23"/>
          <w:szCs w:val="23"/>
        </w:rPr>
      </w:r>
    </w:p>
    <w:p>
      <w:pPr>
        <w:pBdr/>
        <w:spacing/>
        <w:ind w:firstLine="567"/>
        <w:jc w:val="both"/>
        <w:rPr>
          <w:sz w:val="22"/>
          <w:szCs w:val="22"/>
        </w:rPr>
      </w:pPr>
      <w:r>
        <w:rPr>
          <w:sz w:val="22"/>
          <w:szCs w:val="22"/>
        </w:rPr>
        <w:t xml:space="preserve">3.4. Для проверки предоставленных Поставщиком результатов, предусмотренных Контрактом, в части их соответствия условиям Контр</w:t>
      </w:r>
      <w:r>
        <w:rPr>
          <w:sz w:val="22"/>
          <w:szCs w:val="22"/>
        </w:rPr>
        <w:t xml:space="preserve">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bookmarkStart w:id="6" w:name="P1489"/>
      <w:r/>
      <w:bookmarkEnd w:id="6"/>
      <w:r>
        <w:rPr>
          <w:sz w:val="22"/>
          <w:szCs w:val="22"/>
        </w:rPr>
        <w:t xml:space="preserve">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sz w:val="22"/>
          <w:szCs w:val="22"/>
        </w:rPr>
      </w:r>
    </w:p>
    <w:p>
      <w:pPr>
        <w:pBdr/>
        <w:spacing/>
        <w:ind w:firstLine="567"/>
        <w:jc w:val="both"/>
        <w:rPr>
          <w:sz w:val="22"/>
          <w:szCs w:val="22"/>
        </w:rPr>
      </w:pPr>
      <w:r>
        <w:rPr>
          <w:sz w:val="22"/>
          <w:szCs w:val="22"/>
        </w:rPr>
        <w:t xml:space="preserve">3.5. При отсутствии у Заказчика претензий по количеству и качеству поставленного Товара Заказчик в течение 10 дней с момента до</w:t>
      </w:r>
      <w:r>
        <w:rPr>
          <w:sz w:val="22"/>
          <w:szCs w:val="22"/>
        </w:rPr>
        <w:t xml:space="preserve">ставки Товара Поставщиком подписывает акт приема-передачи Товара (отдельного этапа исполнения Контракта), Акт приемки (ф. 0510452), товарную (товарно-транспортную) накладную, счет, счет-фактуру. После этого Товар считается переданным Поставщиком Заказчику.</w:t>
      </w:r>
      <w:r>
        <w:rPr>
          <w:sz w:val="22"/>
          <w:szCs w:val="22"/>
        </w:rPr>
      </w:r>
    </w:p>
    <w:p>
      <w:pPr>
        <w:pBdr/>
        <w:spacing/>
        <w:ind w:firstLine="567"/>
        <w:jc w:val="both"/>
        <w:rPr>
          <w:sz w:val="22"/>
          <w:szCs w:val="22"/>
        </w:rPr>
      </w:pPr>
      <w:r>
        <w:rPr>
          <w:sz w:val="22"/>
          <w:szCs w:val="22"/>
        </w:rPr>
        <w:t xml:space="preserve">3.6. При выявлении несоответствий в поставленном Товаре (наименования, количества, качества, в т</w:t>
      </w:r>
      <w:r>
        <w:rPr>
          <w:sz w:val="22"/>
          <w:szCs w:val="22"/>
        </w:rPr>
        <w:t xml:space="preserve">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hyperlink w:tooltip="#P1489" w:anchor="P1489" w:history="1">
        <w:r>
          <w:rPr>
            <w:color w:val="000000"/>
            <w:sz w:val="22"/>
            <w:szCs w:val="22"/>
          </w:rPr>
          <w:t xml:space="preserve">3.5</w:t>
        </w:r>
      </w:hyperlink>
      <w:r>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sz w:val="22"/>
          <w:szCs w:val="22"/>
        </w:rPr>
      </w:r>
    </w:p>
    <w:p>
      <w:pPr>
        <w:pBdr/>
        <w:spacing/>
        <w:ind w:firstLine="567"/>
        <w:jc w:val="both"/>
        <w:rPr>
          <w:sz w:val="22"/>
          <w:szCs w:val="22"/>
        </w:rPr>
      </w:pPr>
      <w:r>
        <w:rPr>
          <w:sz w:val="22"/>
          <w:szCs w:val="22"/>
        </w:rPr>
        <w:t xml:space="preserve">3.7. Во всех случаях, влекущих возврат Товара Поставщику, Заказчик обязан обеспечить сохранность этого Товара до моме</w:t>
      </w:r>
      <w:r>
        <w:rPr>
          <w:sz w:val="22"/>
          <w:szCs w:val="22"/>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sz w:val="22"/>
          <w:szCs w:val="22"/>
        </w:rPr>
      </w:r>
    </w:p>
    <w:p>
      <w:pPr>
        <w:pBdr/>
        <w:spacing/>
        <w:ind w:firstLine="567"/>
        <w:jc w:val="both"/>
        <w:rPr>
          <w:sz w:val="22"/>
          <w:szCs w:val="22"/>
        </w:rPr>
      </w:pPr>
      <w:r>
        <w:rPr>
          <w:sz w:val="22"/>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hyperlink w:tooltip="#P1489" w:anchor="P1489" w:history="1">
        <w:r>
          <w:rPr>
            <w:sz w:val="22"/>
            <w:szCs w:val="22"/>
          </w:rPr>
          <w:t xml:space="preserve">5</w:t>
        </w:r>
      </w:hyperlink>
      <w:r>
        <w:rPr>
          <w:sz w:val="22"/>
          <w:szCs w:val="22"/>
        </w:rPr>
        <w:t xml:space="preserve"> Контракта.</w:t>
      </w:r>
      <w:r>
        <w:rPr>
          <w:sz w:val="22"/>
          <w:szCs w:val="22"/>
        </w:rPr>
      </w:r>
    </w:p>
    <w:p>
      <w:pPr>
        <w:pBdr/>
        <w:spacing/>
        <w:ind w:firstLine="567"/>
        <w:jc w:val="both"/>
        <w:rPr>
          <w:sz w:val="22"/>
          <w:szCs w:val="22"/>
        </w:rPr>
      </w:pPr>
      <w:r>
        <w:rPr>
          <w:sz w:val="22"/>
          <w:szCs w:val="22"/>
        </w:rPr>
        <w:t xml:space="preserve">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sz w:val="22"/>
          <w:szCs w:val="22"/>
        </w:rPr>
      </w:r>
    </w:p>
    <w:p>
      <w:pPr>
        <w:pBdr/>
        <w:spacing/>
        <w:ind w:firstLine="567"/>
        <w:jc w:val="both"/>
        <w:rPr>
          <w:sz w:val="22"/>
          <w:szCs w:val="22"/>
        </w:rPr>
      </w:pPr>
      <w:r>
        <w:rPr>
          <w:sz w:val="22"/>
          <w:szCs w:val="22"/>
        </w:rPr>
      </w:r>
      <w:r>
        <w:rPr>
          <w:sz w:val="22"/>
          <w:szCs w:val="22"/>
        </w:rPr>
      </w:r>
    </w:p>
    <w:p>
      <w:pPr>
        <w:pStyle w:val="1008"/>
        <w:pBdr/>
        <w:spacing/>
        <w:ind w:firstLine="567"/>
        <w:jc w:val="center"/>
        <w:outlineLvl w:val="1"/>
        <w:rPr>
          <w:rFonts w:ascii="Times New Roman" w:hAnsi="Times New Roman"/>
          <w:b/>
          <w:sz w:val="23"/>
          <w:szCs w:val="23"/>
        </w:rPr>
      </w:pPr>
      <w:r>
        <w:rPr>
          <w:rFonts w:ascii="Times New Roman" w:hAnsi="Times New Roman"/>
          <w:b/>
          <w:sz w:val="23"/>
          <w:szCs w:val="23"/>
        </w:rPr>
        <w:t xml:space="preserve">IV. ВЗАИМОДЕЙСТВИЕ СТОРОН</w:t>
      </w:r>
      <w:r>
        <w:rPr>
          <w:rFonts w:ascii="Times New Roman" w:hAnsi="Times New Roman"/>
          <w:b/>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4.1. Поставщик обязан: </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4.1.1. поставить Товар в порядке, количестве, в срок и на условиях, предусмотренных Контрактом и спецификацией;</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7" w:name="P1499"/>
      <w:r/>
      <w:bookmarkEnd w:id="7"/>
      <w:r>
        <w:rPr>
          <w:rFonts w:ascii="Times New Roman" w:hAnsi="Times New Roman"/>
          <w:sz w:val="23"/>
          <w:szCs w:val="23"/>
        </w:rPr>
        <w:t xml:space="preserve">4.1.2. обеспечить соответствие поставляемог</w:t>
      </w:r>
      <w:r>
        <w:rPr>
          <w:rFonts w:ascii="Times New Roman" w:hAnsi="Times New Roman"/>
          <w:sz w:val="23"/>
          <w:szCs w:val="23"/>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8" w:name="P1502"/>
      <w:r/>
      <w:bookmarkStart w:id="9" w:name="P1503"/>
      <w:r/>
      <w:bookmarkStart w:id="10" w:name="P1504"/>
      <w:r/>
      <w:bookmarkEnd w:id="8"/>
      <w:r/>
      <w:bookmarkEnd w:id="9"/>
      <w:r/>
      <w:bookmarkEnd w:id="10"/>
      <w:r>
        <w:rPr>
          <w:rFonts w:ascii="Times New Roman" w:hAnsi="Times New Roman"/>
          <w:sz w:val="23"/>
          <w:szCs w:val="23"/>
        </w:rPr>
        <w:t xml:space="preserve">4.1.4. в случае принятия</w:t>
      </w:r>
      <w:r>
        <w:rPr>
          <w:rFonts w:ascii="Times New Roman" w:hAnsi="Times New Roman"/>
          <w:sz w:val="23"/>
          <w:szCs w:val="23"/>
        </w:rPr>
        <w:t xml:space="preserve">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w:t>
      </w:r>
      <w:r>
        <w:rPr>
          <w:rFonts w:ascii="Times New Roman" w:hAnsi="Times New Roman"/>
          <w:sz w:val="23"/>
          <w:szCs w:val="23"/>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1" w:name="P1505"/>
      <w:r/>
      <w:bookmarkEnd w:id="11"/>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4.1.5. </w:t>
      </w:r>
      <w:r>
        <w:rPr>
          <w:rFonts w:ascii="Times New Roman" w:hAnsi="Times New Roman"/>
          <w:sz w:val="23"/>
          <w:szCs w:val="23"/>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3"/>
          <w:szCs w:val="23"/>
        </w:rPr>
      </w:r>
    </w:p>
    <w:p>
      <w:pPr>
        <w:widowControl w:val="false"/>
        <w:pBdr/>
        <w:spacing/>
        <w:ind w:firstLine="567"/>
        <w:contextualSpacing w:val="true"/>
        <w:jc w:val="both"/>
        <w:rPr>
          <w:sz w:val="23"/>
          <w:szCs w:val="23"/>
        </w:rPr>
      </w:pPr>
      <w:r>
        <w:rPr>
          <w:sz w:val="23"/>
          <w:szCs w:val="23"/>
        </w:rPr>
        <w:t xml:space="preserve">4.1.6.</w:t>
      </w:r>
      <w:r>
        <w:rPr>
          <w:sz w:val="20"/>
          <w:szCs w:val="20"/>
        </w:rPr>
        <w:t xml:space="preserve"> </w:t>
      </w:r>
      <w:r>
        <w:rPr>
          <w:sz w:val="23"/>
          <w:szCs w:val="23"/>
        </w:rPr>
        <w:t xml:space="preserve">соответствовать требованиям ч.1 ст.31 Федерального закона №44-ФЗ.</w:t>
      </w:r>
      <w:r>
        <w:rPr>
          <w:sz w:val="23"/>
          <w:szCs w:val="23"/>
        </w:rPr>
      </w:r>
    </w:p>
    <w:p>
      <w:pPr>
        <w:widowControl w:val="false"/>
        <w:pBdr/>
        <w:spacing/>
        <w:ind w:firstLine="567"/>
        <w:contextualSpacing w:val="true"/>
        <w:jc w:val="both"/>
        <w:rPr>
          <w:b/>
          <w:sz w:val="23"/>
          <w:szCs w:val="23"/>
        </w:rPr>
      </w:pPr>
      <w:r>
        <w:rPr>
          <w:b/>
          <w:sz w:val="23"/>
          <w:szCs w:val="23"/>
        </w:rPr>
        <w:t xml:space="preserve">3.2. Поставщик вправе:</w:t>
      </w:r>
      <w:r>
        <w:rPr>
          <w:b/>
          <w:sz w:val="23"/>
          <w:szCs w:val="23"/>
        </w:rPr>
      </w:r>
    </w:p>
    <w:p>
      <w:pPr>
        <w:pStyle w:val="1008"/>
        <w:pBdr/>
        <w:spacing/>
        <w:ind w:firstLine="567"/>
        <w:jc w:val="both"/>
        <w:rPr>
          <w:rFonts w:ascii="Times New Roman" w:hAnsi="Times New Roman"/>
          <w:sz w:val="23"/>
          <w:szCs w:val="23"/>
        </w:rPr>
      </w:pPr>
      <w:r/>
      <w:bookmarkStart w:id="12" w:name="P1507"/>
      <w:r/>
      <w:bookmarkStart w:id="13" w:name="P1512"/>
      <w:r/>
      <w:bookmarkStart w:id="14" w:name="P1515"/>
      <w:r/>
      <w:bookmarkEnd w:id="12"/>
      <w:r/>
      <w:bookmarkEnd w:id="13"/>
      <w:r/>
      <w:bookmarkEnd w:id="14"/>
      <w:r>
        <w:rPr>
          <w:rFonts w:ascii="Times New Roman" w:hAnsi="Times New Roman"/>
          <w:sz w:val="23"/>
          <w:szCs w:val="23"/>
        </w:rPr>
        <w:t xml:space="preserve">4.2. Поставщик вправе:</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4.2.1. требовать от Заказчика произвести приемку Товара в порядке и в сроки, предусмотренные </w:t>
      </w:r>
      <w:r>
        <w:rPr>
          <w:rFonts w:ascii="Times New Roman" w:hAnsi="Times New Roman"/>
          <w:sz w:val="23"/>
          <w:szCs w:val="23"/>
        </w:rPr>
        <w:t xml:space="preserve">Контрактом;</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15" w:name="P1518"/>
      <w:r/>
      <w:bookmarkEnd w:id="15"/>
      <w:r>
        <w:rPr>
          <w:rFonts w:ascii="Times New Roman" w:hAnsi="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16" w:name="P1519"/>
      <w:r/>
      <w:bookmarkEnd w:id="16"/>
      <w:r>
        <w:rPr>
          <w:rFonts w:ascii="Times New Roman" w:hAnsi="Times New Roman"/>
          <w:sz w:val="23"/>
          <w:szCs w:val="23"/>
        </w:rPr>
        <w:t xml:space="preserve">4.2.3. принять решение об одностороннем отказе от исполнения Контракта в соответствии с гражданским законодательством; </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4.2.4. требовать возмещения убытков, уплаты неустоек (штрафов, пеней) в соответствии с </w:t>
      </w:r>
      <w:hyperlink w:tooltip="#P1550" w:anchor="P1550" w:history="1">
        <w:r>
          <w:rPr>
            <w:rFonts w:ascii="Times New Roman" w:hAnsi="Times New Roman"/>
            <w:sz w:val="23"/>
            <w:szCs w:val="23"/>
          </w:rPr>
          <w:t xml:space="preserve">разделом VI</w:t>
        </w:r>
      </w:hyperlink>
      <w:r>
        <w:rPr>
          <w:rFonts w:ascii="Times New Roman" w:hAnsi="Times New Roman"/>
          <w:sz w:val="23"/>
          <w:szCs w:val="23"/>
        </w:rPr>
        <w:t xml:space="preserve"> Контракта.</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17" w:name="P1521"/>
      <w:r/>
      <w:bookmarkEnd w:id="17"/>
      <w:r>
        <w:rPr>
          <w:rFonts w:ascii="Times New Roman" w:hAnsi="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w:t>
      </w:r>
      <w:r>
        <w:rPr>
          <w:rFonts w:ascii="Times New Roman" w:hAnsi="Times New Roman"/>
          <w:sz w:val="23"/>
          <w:szCs w:val="23"/>
        </w:rPr>
        <w:t xml:space="preserve">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tooltip="consultantplus://offline/ref=782E9CC4CCC6932545801925E3B536176E50B53C1FD70BD7655CABC93DB89C271041D8CD0197EEC2617428125779CB07805FED4BE83BV7P" w:history="1">
        <w:r>
          <w:rPr>
            <w:rFonts w:ascii="Times New Roman" w:hAnsi="Times New Roman"/>
            <w:sz w:val="23"/>
            <w:szCs w:val="23"/>
          </w:rPr>
          <w:t xml:space="preserve">частью 6 статьи 14</w:t>
        </w:r>
      </w:hyperlink>
      <w:r>
        <w:rPr>
          <w:rFonts w:ascii="Times New Roman" w:hAnsi="Times New Roman"/>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4.3. Заказчик обязуется:</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8" w:name="P1525"/>
      <w:r/>
      <w:bookmarkEnd w:id="18"/>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4.3.2. в случае принятия решения об одностороннем отказе от исполнения Контракта не поз</w:t>
      </w:r>
      <w:r>
        <w:rPr>
          <w:rFonts w:ascii="Times New Roman" w:hAnsi="Times New Roman"/>
          <w:sz w:val="23"/>
          <w:szCs w:val="23"/>
        </w:rPr>
        <w:t xml:space="preserve">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w:t>
      </w:r>
      <w:r>
        <w:rPr>
          <w:rFonts w:ascii="Times New Roman" w:hAnsi="Times New Roman"/>
          <w:sz w:val="23"/>
          <w:szCs w:val="23"/>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4.3.3. требовать уплаты неустоек (штрафов, пеней) в соответствии с </w:t>
      </w:r>
      <w:hyperlink w:tooltip="#P1550" w:anchor="P1550" w:history="1">
        <w:r>
          <w:rPr>
            <w:rFonts w:ascii="Times New Roman" w:hAnsi="Times New Roman"/>
            <w:sz w:val="23"/>
            <w:szCs w:val="23"/>
          </w:rPr>
          <w:t xml:space="preserve">разделом VI</w:t>
        </w:r>
      </w:hyperlink>
      <w:r>
        <w:rPr>
          <w:rFonts w:ascii="Times New Roman" w:hAnsi="Times New Roman"/>
          <w:sz w:val="23"/>
          <w:szCs w:val="23"/>
        </w:rPr>
        <w:t xml:space="preserve"> Контракта;</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4.3.4. провести экспертизу поставленного Товара для проверки его соответствия условиям Контракта в соответствии с Федеральным </w:t>
      </w:r>
      <w:hyperlink r:id="rId11" w:tooltip="consultantplus://offline/ref=782E9CC4CCC6932545801925E3B536176E50B53C1FD70BD7655CABC93DB89C27024180C10398FB96372E7F1F5737VEP" w:history="1">
        <w:r>
          <w:rPr>
            <w:rFonts w:ascii="Times New Roman" w:hAnsi="Times New Roman"/>
            <w:sz w:val="23"/>
            <w:szCs w:val="23"/>
          </w:rPr>
          <w:t xml:space="preserve">законом</w:t>
        </w:r>
      </w:hyperlink>
      <w:r>
        <w:rPr>
          <w:rFonts w:ascii="Times New Roman" w:hAnsi="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19" w:name="P1529"/>
      <w:r/>
      <w:bookmarkEnd w:id="19"/>
      <w:r>
        <w:rPr>
          <w:rFonts w:ascii="Times New Roman" w:hAnsi="Times New Roman"/>
          <w:sz w:val="23"/>
          <w:szCs w:val="23"/>
        </w:rPr>
        <w:t xml:space="preserve">4.4. Заказчик вправе:</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4.4.1. требовать от Поставщика надлежащего исполнения обязательств по Контракту;</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4.4.4. требовать возмещения убытков в соответствии с </w:t>
      </w:r>
      <w:hyperlink w:tooltip="#P1550" w:anchor="P1550" w:history="1">
        <w:r>
          <w:rPr>
            <w:rFonts w:ascii="Times New Roman" w:hAnsi="Times New Roman"/>
            <w:sz w:val="23"/>
            <w:szCs w:val="23"/>
          </w:rPr>
          <w:t xml:space="preserve">разделом VI</w:t>
        </w:r>
      </w:hyperlink>
      <w:r>
        <w:rPr>
          <w:rFonts w:ascii="Times New Roman" w:hAnsi="Times New Roman"/>
          <w:sz w:val="23"/>
          <w:szCs w:val="23"/>
        </w:rPr>
        <w:t xml:space="preserve"> Контракта, причиненных по вине Поставщика;</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20" w:name="P1534"/>
      <w:r/>
      <w:bookmarkEnd w:id="20"/>
      <w:r>
        <w:rPr>
          <w:rFonts w:ascii="Times New Roman" w:hAnsi="Times New Roman"/>
          <w:sz w:val="23"/>
          <w:szCs w:val="23"/>
        </w:rPr>
        <w:t xml:space="preserve">4.4.5. отказаться от приемки и оплаты Товара, не соответствующего условиям Контракта;</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21" w:name="P1536"/>
      <w:r/>
      <w:bookmarkEnd w:id="21"/>
      <w:r>
        <w:rPr>
          <w:rFonts w:ascii="Times New Roman" w:hAnsi="Times New Roman"/>
          <w:sz w:val="23"/>
          <w:szCs w:val="23"/>
        </w:rPr>
        <w:t xml:space="preserve">4.4.6. принять решение об одностороннем отказе от исполнения Контракта в соответствии с гражданским законодательством; </w:t>
      </w:r>
      <w:bookmarkStart w:id="22" w:name="P1537"/>
      <w:r/>
      <w:bookmarkEnd w:id="22"/>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p>
    <w:p>
      <w:pPr>
        <w:pStyle w:val="1008"/>
        <w:pBdr/>
        <w:spacing/>
        <w:ind w:firstLine="567"/>
        <w:jc w:val="center"/>
        <w:outlineLvl w:val="1"/>
        <w:rPr>
          <w:rFonts w:ascii="Times New Roman" w:hAnsi="Times New Roman"/>
          <w:b/>
          <w:sz w:val="23"/>
          <w:szCs w:val="23"/>
        </w:rPr>
      </w:pPr>
      <w:r>
        <w:rPr>
          <w:rFonts w:ascii="Times New Roman" w:hAnsi="Times New Roman"/>
          <w:b/>
          <w:sz w:val="23"/>
          <w:szCs w:val="23"/>
        </w:rPr>
        <w:t xml:space="preserve">V. КАЧЕСТВО ТОВАРА</w:t>
      </w:r>
      <w:r>
        <w:rPr>
          <w:rFonts w:ascii="Times New Roman" w:hAnsi="Times New Roman"/>
          <w:b/>
          <w:sz w:val="23"/>
          <w:szCs w:val="23"/>
        </w:rPr>
      </w:r>
    </w:p>
    <w:p>
      <w:pPr>
        <w:pBdr/>
        <w:tabs>
          <w:tab w:val="left" w:leader="none" w:pos="709"/>
          <w:tab w:val="left" w:leader="none" w:pos="916"/>
          <w:tab w:val="left" w:leader="none" w:pos="1832"/>
          <w:tab w:val="left" w:leader="none" w:pos="2748"/>
          <w:tab w:val="left" w:leader="none" w:pos="3664"/>
          <w:tab w:val="left" w:leader="none" w:pos="4580"/>
          <w:tab w:val="left" w:leader="none" w:pos="5496"/>
          <w:tab w:val="left" w:leader="none" w:pos="9160"/>
          <w:tab w:val="left" w:leader="none" w:pos="9360"/>
          <w:tab w:val="left" w:leader="none" w:pos="10076"/>
          <w:tab w:val="left" w:leader="none" w:pos="10992"/>
          <w:tab w:val="left" w:leader="none" w:pos="11908"/>
          <w:tab w:val="left" w:leader="none" w:pos="12824"/>
          <w:tab w:val="left" w:leader="none" w:pos="13740"/>
          <w:tab w:val="left" w:leader="none" w:pos="14656"/>
        </w:tabs>
        <w:spacing/>
        <w:ind w:firstLine="567"/>
        <w:jc w:val="both"/>
        <w:rPr>
          <w:color w:val="000000"/>
          <w:sz w:val="23"/>
          <w:szCs w:val="23"/>
        </w:rPr>
      </w:pPr>
      <w:r>
        <w:rPr>
          <w:sz w:val="23"/>
          <w:szCs w:val="23"/>
        </w:rPr>
        <w:t xml:space="preserve">5.1. Поставщик гарантирует, что поставляемый Товар соответствует требованиям, установленным Контрактом.</w:t>
      </w:r>
      <w:r>
        <w:rPr>
          <w:color w:val="000000"/>
          <w:sz w:val="23"/>
          <w:szCs w:val="23"/>
        </w:rPr>
      </w:r>
    </w:p>
    <w:p>
      <w:pPr>
        <w:pBdr/>
        <w:tabs>
          <w:tab w:val="left" w:leader="none" w:pos="709"/>
          <w:tab w:val="left" w:leader="none" w:pos="916"/>
          <w:tab w:val="left" w:leader="none" w:pos="1832"/>
          <w:tab w:val="left" w:leader="none" w:pos="2748"/>
          <w:tab w:val="left" w:leader="none" w:pos="3664"/>
          <w:tab w:val="left" w:leader="none" w:pos="4580"/>
          <w:tab w:val="left" w:leader="none" w:pos="5496"/>
          <w:tab w:val="left" w:leader="none" w:pos="9160"/>
          <w:tab w:val="left" w:leader="none" w:pos="9360"/>
          <w:tab w:val="left" w:leader="none" w:pos="10076"/>
          <w:tab w:val="left" w:leader="none" w:pos="10992"/>
          <w:tab w:val="left" w:leader="none" w:pos="11908"/>
          <w:tab w:val="left" w:leader="none" w:pos="12824"/>
          <w:tab w:val="left" w:leader="none" w:pos="13740"/>
          <w:tab w:val="left" w:leader="none" w:pos="14656"/>
        </w:tabs>
        <w:spacing/>
        <w:ind w:firstLine="567"/>
        <w:jc w:val="both"/>
        <w:rPr>
          <w:sz w:val="23"/>
          <w:szCs w:val="23"/>
        </w:rPr>
      </w:pPr>
      <w:r>
        <w:rPr>
          <w:sz w:val="23"/>
          <w:szCs w:val="23"/>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5.3. Товар должен быть упакован и замаркирован в соответствии с действующими стандартами.</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Поставщик поставляет Товар в у</w:t>
      </w:r>
      <w:r>
        <w:rPr>
          <w:rFonts w:ascii="Times New Roman" w:hAnsi="Times New Roman"/>
          <w:sz w:val="23"/>
          <w:szCs w:val="23"/>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23" w:name="P1546"/>
      <w:r/>
      <w:bookmarkEnd w:id="23"/>
      <w:r>
        <w:rPr>
          <w:rFonts w:ascii="Times New Roman" w:hAnsi="Times New Roman"/>
          <w:sz w:val="23"/>
          <w:szCs w:val="23"/>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bookmarkStart w:id="24" w:name="P1547"/>
      <w:r/>
      <w:bookmarkEnd w:id="24"/>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5.5. Требования к предоставлению гарантии производителя и (или) Поставщика Товара и к сроку действия такой гарантии указаны в спецификации.</w:t>
      </w:r>
      <w:r>
        <w:rPr>
          <w:rFonts w:ascii="Times New Roman" w:hAnsi="Times New Roman"/>
          <w:sz w:val="23"/>
          <w:szCs w:val="23"/>
        </w:rPr>
      </w:r>
    </w:p>
    <w:p>
      <w:pPr>
        <w:pStyle w:val="1008"/>
        <w:pBdr/>
        <w:spacing/>
        <w:ind w:firstLine="709"/>
        <w:contextualSpacing w:val="true"/>
        <w:jc w:val="both"/>
        <w:outlineLvl w:val="1"/>
        <w:rPr>
          <w:rFonts w:ascii="Times New Roman" w:hAnsi="Times New Roman"/>
          <w:b/>
          <w:color w:val="000000"/>
          <w:sz w:val="23"/>
          <w:szCs w:val="23"/>
        </w:rPr>
      </w:pPr>
      <w:r>
        <w:rPr>
          <w:rFonts w:ascii="Times New Roman" w:hAnsi="Times New Roman"/>
          <w:b/>
          <w:color w:val="000000"/>
          <w:sz w:val="23"/>
          <w:szCs w:val="23"/>
        </w:rPr>
      </w:r>
      <w:r>
        <w:rPr>
          <w:rFonts w:ascii="Times New Roman" w:hAnsi="Times New Roman"/>
          <w:b/>
          <w:color w:val="000000"/>
          <w:sz w:val="23"/>
          <w:szCs w:val="23"/>
        </w:rPr>
      </w:r>
    </w:p>
    <w:p>
      <w:pPr>
        <w:pBdr/>
        <w:tabs>
          <w:tab w:val="left" w:leader="none" w:pos="709"/>
        </w:tabs>
        <w:spacing/>
        <w:ind w:firstLine="567"/>
        <w:jc w:val="center"/>
        <w:outlineLvl w:val="0"/>
        <w:rPr>
          <w:b/>
          <w:color w:val="000000"/>
          <w:sz w:val="23"/>
          <w:szCs w:val="23"/>
        </w:rPr>
      </w:pPr>
      <w:r>
        <w:rPr>
          <w:b/>
          <w:sz w:val="23"/>
          <w:szCs w:val="23"/>
        </w:rPr>
        <w:t xml:space="preserve">VI. </w:t>
      </w:r>
      <w:r>
        <w:rPr>
          <w:b/>
          <w:color w:val="000000"/>
          <w:sz w:val="23"/>
          <w:szCs w:val="23"/>
        </w:rPr>
        <w:t xml:space="preserve">ОТВЕТСТВЕННОСТЬ СТОРОН</w:t>
      </w:r>
      <w:r>
        <w:rPr>
          <w:b/>
          <w:color w:val="000000"/>
          <w:sz w:val="23"/>
          <w:szCs w:val="23"/>
        </w:rPr>
      </w:r>
    </w:p>
    <w:p>
      <w:pPr>
        <w:pStyle w:val="1082"/>
        <w:pBdr/>
        <w:spacing/>
        <w:ind w:firstLine="567"/>
        <w:rPr>
          <w:sz w:val="23"/>
          <w:szCs w:val="23"/>
        </w:rPr>
      </w:pPr>
      <w:r>
        <w:rPr>
          <w:sz w:val="23"/>
          <w:szCs w:val="23"/>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r>
        <w:rPr>
          <w:sz w:val="23"/>
          <w:szCs w:val="23"/>
        </w:rPr>
      </w:r>
    </w:p>
    <w:p>
      <w:pPr>
        <w:pStyle w:val="1082"/>
        <w:pBdr/>
        <w:spacing/>
        <w:ind w:firstLine="567"/>
        <w:rPr>
          <w:sz w:val="23"/>
          <w:szCs w:val="23"/>
        </w:rPr>
      </w:pPr>
      <w:r>
        <w:rPr>
          <w:sz w:val="23"/>
          <w:szCs w:val="23"/>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r>
        <w:rPr>
          <w:sz w:val="23"/>
          <w:szCs w:val="23"/>
        </w:rPr>
      </w:r>
    </w:p>
    <w:p>
      <w:pPr>
        <w:pStyle w:val="1082"/>
        <w:pBdr/>
        <w:spacing/>
        <w:ind w:firstLine="567"/>
        <w:rPr>
          <w:sz w:val="23"/>
          <w:szCs w:val="23"/>
        </w:rPr>
      </w:pPr>
      <w:r>
        <w:rPr>
          <w:sz w:val="23"/>
          <w:szCs w:val="23"/>
        </w:rPr>
        <w:t xml:space="preserve">6.3. В случае</w:t>
      </w:r>
      <w:r>
        <w:rPr>
          <w:sz w:val="23"/>
          <w:szCs w:val="23"/>
        </w:rPr>
        <w:t xml:space="preserve">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w:t>
      </w:r>
      <w:r>
        <w:rPr>
          <w:sz w:val="23"/>
          <w:szCs w:val="23"/>
        </w:rPr>
        <w:t xml:space="preserve">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Pr>
          <w:rFonts w:eastAsia="Calibri"/>
          <w:sz w:val="23"/>
          <w:szCs w:val="23"/>
          <w:lang w:eastAsia="en-US"/>
        </w:rPr>
        <w:t xml:space="preserve">(отдельного этапа исполнения контракта)</w:t>
      </w:r>
      <w:r>
        <w:rPr>
          <w:sz w:val="23"/>
          <w:szCs w:val="23"/>
        </w:rPr>
        <w:t xml:space="preserve">, уменьшенной на сумму, пропорциональную объему обязательств, предусмотренных Контрактом </w:t>
      </w:r>
      <w:r>
        <w:rPr>
          <w:rFonts w:eastAsia="Calibri"/>
          <w:sz w:val="23"/>
          <w:szCs w:val="23"/>
          <w:lang w:eastAsia="en-US"/>
        </w:rPr>
        <w:t xml:space="preserve">(соответствующим отдельным этапом исполнения контракта) </w:t>
      </w:r>
      <w:r>
        <w:rPr>
          <w:sz w:val="23"/>
          <w:szCs w:val="23"/>
        </w:rPr>
        <w:t xml:space="preserve">и фактически исполненных Поставщиком</w:t>
      </w:r>
      <w:r>
        <w:rPr>
          <w:rFonts w:eastAsia="Calibri"/>
          <w:sz w:val="23"/>
          <w:szCs w:val="23"/>
          <w:lang w:eastAsia="en-US"/>
        </w:rPr>
        <w:t xml:space="preserve">.</w:t>
      </w:r>
      <w:r>
        <w:rPr>
          <w:sz w:val="23"/>
          <w:szCs w:val="23"/>
        </w:rPr>
      </w:r>
    </w:p>
    <w:p>
      <w:pPr>
        <w:pBdr/>
        <w:spacing/>
        <w:ind w:firstLine="567"/>
        <w:jc w:val="both"/>
        <w:rPr>
          <w:sz w:val="23"/>
          <w:szCs w:val="23"/>
        </w:rPr>
      </w:pPr>
      <w:r>
        <w:rPr>
          <w:color w:val="000000"/>
          <w:sz w:val="23"/>
          <w:szCs w:val="23"/>
        </w:rPr>
        <w:t xml:space="preserve">6.4.</w:t>
      </w:r>
      <w:r>
        <w:rPr>
          <w:rFonts w:eastAsia="Calibri"/>
          <w:color w:val="000000"/>
          <w:sz w:val="23"/>
          <w:szCs w:val="23"/>
        </w:rPr>
        <w:t xml:space="preserve"> За кажд</w:t>
      </w:r>
      <w:r>
        <w:rPr>
          <w:rFonts w:eastAsia="Calibri"/>
          <w:color w:val="000000"/>
          <w:sz w:val="23"/>
          <w:szCs w:val="23"/>
        </w:rPr>
        <w:t xml:space="preserve">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Pr>
          <w:rFonts w:eastAsia="Calibri"/>
          <w:color w:val="000000"/>
          <w:sz w:val="23"/>
          <w:szCs w:val="23"/>
        </w:rPr>
        <w:t xml:space="preserve">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w:t>
      </w:r>
      <w:r>
        <w:rPr>
          <w:rFonts w:eastAsia="Calibri"/>
          <w:color w:val="000000"/>
          <w:sz w:val="23"/>
          <w:szCs w:val="23"/>
        </w:rPr>
        <w:t xml:space="preserve">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августа.2017 № 1042 (далее-Правила), и составляет 10 % от </w:t>
      </w:r>
      <w:r>
        <w:rPr>
          <w:sz w:val="23"/>
          <w:szCs w:val="23"/>
        </w:rPr>
        <w:t xml:space="preserve">цены Контракта (этапа)/ начальной (максимальной) цены Контракта.</w:t>
      </w:r>
      <w:r>
        <w:rPr>
          <w:sz w:val="23"/>
          <w:szCs w:val="23"/>
        </w:rPr>
      </w:r>
    </w:p>
    <w:p>
      <w:pPr>
        <w:pStyle w:val="1082"/>
        <w:pBdr/>
        <w:spacing/>
        <w:ind w:firstLine="567"/>
        <w:rPr>
          <w:rFonts w:eastAsia="Calibri"/>
          <w:sz w:val="23"/>
          <w:szCs w:val="23"/>
        </w:rPr>
      </w:pPr>
      <w:r>
        <w:rPr>
          <w:sz w:val="23"/>
          <w:szCs w:val="23"/>
        </w:rPr>
        <w:t xml:space="preserve">6.5. </w:t>
      </w:r>
      <w:r>
        <w:rPr>
          <w:rFonts w:eastAsia="Calibri"/>
          <w:sz w:val="23"/>
          <w:szCs w:val="23"/>
        </w:rPr>
        <w:t xml:space="preserve">За каждый факт неисполнен</w:t>
      </w:r>
      <w:r>
        <w:rPr>
          <w:rFonts w:eastAsia="Calibri"/>
          <w:sz w:val="23"/>
          <w:szCs w:val="23"/>
        </w:rPr>
        <w:t xml:space="preserve">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r>
        <w:rPr>
          <w:rFonts w:eastAsia="Calibri"/>
          <w:sz w:val="23"/>
          <w:szCs w:val="23"/>
        </w:rPr>
      </w:r>
    </w:p>
    <w:p>
      <w:pPr>
        <w:pBdr/>
        <w:tabs>
          <w:tab w:val="left" w:leader="none" w:pos="709"/>
        </w:tabs>
        <w:spacing/>
        <w:ind w:firstLine="567"/>
        <w:jc w:val="both"/>
        <w:rPr>
          <w:color w:val="000000"/>
          <w:sz w:val="23"/>
          <w:szCs w:val="23"/>
        </w:rPr>
      </w:pPr>
      <w:r>
        <w:rPr>
          <w:color w:val="000000"/>
          <w:sz w:val="23"/>
          <w:szCs w:val="23"/>
        </w:rPr>
        <w:t xml:space="preserve">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уплату пеней ключевой ставки Центрального бан</w:t>
      </w:r>
      <w:r>
        <w:rPr>
          <w:color w:val="000000"/>
          <w:sz w:val="23"/>
          <w:szCs w:val="23"/>
        </w:rPr>
        <w:t xml:space="preserve">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color w:val="000000"/>
          <w:sz w:val="23"/>
          <w:szCs w:val="23"/>
        </w:rPr>
      </w:r>
    </w:p>
    <w:p>
      <w:pPr>
        <w:pBdr/>
        <w:spacing/>
        <w:ind w:firstLine="567"/>
        <w:jc w:val="both"/>
        <w:rPr>
          <w:color w:val="000000"/>
          <w:sz w:val="23"/>
          <w:szCs w:val="23"/>
        </w:rPr>
      </w:pPr>
      <w:r>
        <w:rPr>
          <w:color w:val="000000"/>
          <w:sz w:val="23"/>
          <w:szCs w:val="23"/>
        </w:rPr>
        <w:t xml:space="preserve">6.7. За каждый факт неисполнени</w:t>
      </w:r>
      <w:r>
        <w:rPr>
          <w:color w:val="000000"/>
          <w:sz w:val="23"/>
          <w:szCs w:val="23"/>
        </w:rPr>
        <w:t xml:space="preserve">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 </w:t>
      </w:r>
      <w:r>
        <w:rPr>
          <w:color w:val="000000"/>
          <w:sz w:val="23"/>
          <w:szCs w:val="23"/>
        </w:rPr>
      </w:r>
    </w:p>
    <w:p>
      <w:pPr>
        <w:pBdr/>
        <w:spacing/>
        <w:ind w:firstLine="567"/>
        <w:jc w:val="both"/>
        <w:rPr>
          <w:sz w:val="23"/>
          <w:szCs w:val="23"/>
        </w:rPr>
      </w:pPr>
      <w:r>
        <w:rPr>
          <w:sz w:val="23"/>
          <w:szCs w:val="23"/>
        </w:rPr>
        <w:t xml:space="preserve">6.8. Применение неустойки (штрафа, пени) не освобождает Стороны от исполнения обязательств по Контракту.</w:t>
      </w:r>
      <w:r>
        <w:rPr>
          <w:sz w:val="23"/>
          <w:szCs w:val="23"/>
        </w:rPr>
      </w:r>
    </w:p>
    <w:p>
      <w:pPr>
        <w:pBdr/>
        <w:spacing/>
        <w:ind w:firstLine="567"/>
        <w:jc w:val="both"/>
        <w:rPr>
          <w:sz w:val="23"/>
          <w:szCs w:val="23"/>
        </w:rPr>
      </w:pPr>
      <w:r>
        <w:rPr>
          <w:sz w:val="23"/>
          <w:szCs w:val="23"/>
        </w:rPr>
        <w:t xml:space="preserve">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sz w:val="23"/>
          <w:szCs w:val="23"/>
        </w:rPr>
      </w:r>
    </w:p>
    <w:p>
      <w:pPr>
        <w:pBdr/>
        <w:spacing/>
        <w:ind w:firstLine="567"/>
        <w:jc w:val="both"/>
        <w:rPr>
          <w:sz w:val="23"/>
          <w:szCs w:val="23"/>
        </w:rPr>
      </w:pPr>
      <w:r>
        <w:rPr>
          <w:sz w:val="23"/>
          <w:szCs w:val="23"/>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3"/>
          <w:szCs w:val="23"/>
        </w:rPr>
      </w:r>
    </w:p>
    <w:p>
      <w:pPr>
        <w:pStyle w:val="1082"/>
        <w:pBdr/>
        <w:spacing/>
        <w:ind w:firstLine="567"/>
        <w:rPr>
          <w:color w:val="0070c0"/>
          <w:sz w:val="23"/>
          <w:szCs w:val="23"/>
        </w:rPr>
      </w:pPr>
      <w:r>
        <w:rPr>
          <w:sz w:val="23"/>
          <w:szCs w:val="23"/>
        </w:rPr>
        <w:t xml:space="preserve">6.11. В случае расторжения Контракта в связи с односторонним отказом </w:t>
      </w:r>
      <w:r>
        <w:rPr>
          <w:sz w:val="23"/>
          <w:szCs w:val="23"/>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color w:val="0070c0"/>
          <w:sz w:val="23"/>
          <w:szCs w:val="23"/>
        </w:rPr>
      </w:r>
    </w:p>
    <w:p>
      <w:pPr>
        <w:pStyle w:val="1008"/>
        <w:pBdr/>
        <w:spacing/>
        <w:ind w:firstLine="709"/>
        <w:contextualSpacing w:val="true"/>
        <w:jc w:val="both"/>
        <w:outlineLvl w:val="1"/>
        <w:rPr>
          <w:rFonts w:ascii="Times New Roman" w:hAnsi="Times New Roman"/>
          <w:b/>
          <w:color w:val="000000"/>
          <w:sz w:val="23"/>
          <w:szCs w:val="23"/>
        </w:rPr>
      </w:pPr>
      <w:r>
        <w:rPr>
          <w:rFonts w:ascii="Times New Roman" w:hAnsi="Times New Roman"/>
          <w:b/>
          <w:color w:val="000000"/>
          <w:sz w:val="23"/>
          <w:szCs w:val="23"/>
        </w:rPr>
      </w:r>
      <w:r>
        <w:rPr>
          <w:rFonts w:ascii="Times New Roman" w:hAnsi="Times New Roman"/>
          <w:b/>
          <w:color w:val="000000"/>
          <w:sz w:val="23"/>
          <w:szCs w:val="23"/>
        </w:rPr>
      </w:r>
    </w:p>
    <w:p>
      <w:pPr>
        <w:pBdr/>
        <w:tabs>
          <w:tab w:val="left" w:leader="none" w:pos="709"/>
        </w:tabs>
        <w:spacing/>
        <w:ind w:firstLine="567"/>
        <w:jc w:val="center"/>
        <w:outlineLvl w:val="1"/>
        <w:rPr>
          <w:b/>
          <w:sz w:val="23"/>
          <w:szCs w:val="23"/>
        </w:rPr>
      </w:pPr>
      <w:r>
        <w:rPr>
          <w:b/>
          <w:sz w:val="23"/>
          <w:szCs w:val="23"/>
        </w:rPr>
        <w:t xml:space="preserve">VII. ОБЕСПЕЧЕНИЕ ИСПОЛНЕНИЯ КОНТРАКТА</w:t>
      </w:r>
      <w:r>
        <w:rPr>
          <w:b/>
          <w:sz w:val="23"/>
          <w:szCs w:val="23"/>
        </w:rPr>
      </w:r>
    </w:p>
    <w:p>
      <w:pPr>
        <w:pStyle w:val="1008"/>
        <w:pBdr/>
        <w:spacing/>
        <w:ind w:firstLine="567"/>
        <w:contextualSpacing w:val="true"/>
        <w:jc w:val="both"/>
        <w:outlineLvl w:val="1"/>
        <w:rPr>
          <w:rFonts w:ascii="Times New Roman" w:hAnsi="Times New Roman"/>
          <w:color w:val="000000"/>
          <w:sz w:val="23"/>
          <w:szCs w:val="23"/>
        </w:rPr>
      </w:pPr>
      <w:r>
        <w:rPr>
          <w:rFonts w:ascii="Times New Roman" w:hAnsi="Times New Roman"/>
          <w:color w:val="000000"/>
          <w:sz w:val="23"/>
          <w:szCs w:val="23"/>
        </w:rPr>
        <w:t xml:space="preserve">7.1 Обеспечение исполнения контракт не устанавливается.</w:t>
      </w:r>
      <w:r>
        <w:rPr>
          <w:rFonts w:ascii="Times New Roman" w:hAnsi="Times New Roman"/>
          <w:color w:val="000000"/>
          <w:sz w:val="23"/>
          <w:szCs w:val="23"/>
        </w:rPr>
      </w:r>
    </w:p>
    <w:p>
      <w:pPr>
        <w:pStyle w:val="1008"/>
        <w:pBdr/>
        <w:spacing/>
        <w:ind w:firstLine="567"/>
        <w:contextualSpacing w:val="true"/>
        <w:jc w:val="both"/>
        <w:outlineLvl w:val="1"/>
        <w:rPr>
          <w:rFonts w:ascii="Times New Roman" w:hAnsi="Times New Roman"/>
          <w:color w:val="000000"/>
          <w:sz w:val="23"/>
          <w:szCs w:val="23"/>
        </w:rPr>
      </w:pPr>
      <w:r>
        <w:rPr>
          <w:rFonts w:ascii="Times New Roman" w:hAnsi="Times New Roman"/>
          <w:color w:val="000000"/>
          <w:sz w:val="23"/>
          <w:szCs w:val="23"/>
        </w:rPr>
      </w:r>
      <w:r>
        <w:rPr>
          <w:rFonts w:ascii="Times New Roman" w:hAnsi="Times New Roman"/>
          <w:color w:val="000000"/>
          <w:sz w:val="23"/>
          <w:szCs w:val="23"/>
        </w:rPr>
      </w:r>
    </w:p>
    <w:p>
      <w:pPr>
        <w:widowControl w:val="false"/>
        <w:pBdr/>
        <w:spacing/>
        <w:ind w:firstLine="567"/>
        <w:jc w:val="center"/>
        <w:outlineLvl w:val="1"/>
        <w:rPr>
          <w:b/>
          <w:sz w:val="23"/>
          <w:szCs w:val="23"/>
        </w:rPr>
      </w:pPr>
      <w:r>
        <w:rPr>
          <w:b/>
          <w:sz w:val="23"/>
          <w:szCs w:val="23"/>
        </w:rPr>
        <w:t xml:space="preserve">VIII. ОБЕСПЕЧЕНИЕ ГАРАНТИЙНЫХ ОБЯЗАТЕЛЬСТВ</w:t>
      </w:r>
      <w:r>
        <w:rPr>
          <w:b/>
          <w:sz w:val="23"/>
          <w:szCs w:val="23"/>
        </w:rPr>
      </w:r>
    </w:p>
    <w:p>
      <w:pPr>
        <w:pBdr/>
        <w:spacing/>
        <w:ind w:firstLine="567"/>
        <w:jc w:val="both"/>
        <w:rPr>
          <w:sz w:val="23"/>
          <w:szCs w:val="23"/>
        </w:rPr>
      </w:pPr>
      <w:r>
        <w:rPr>
          <w:sz w:val="23"/>
          <w:szCs w:val="23"/>
        </w:rPr>
        <w:t xml:space="preserve">8.1. Обеспечение гарантийных обязательств не устанавливается</w:t>
      </w:r>
      <w:r>
        <w:rPr>
          <w:sz w:val="23"/>
          <w:szCs w:val="23"/>
        </w:rPr>
      </w:r>
    </w:p>
    <w:p>
      <w:pPr>
        <w:pStyle w:val="1008"/>
        <w:pBdr/>
        <w:spacing/>
        <w:ind w:firstLine="567"/>
        <w:jc w:val="both"/>
        <w:outlineLvl w:val="1"/>
        <w:rPr>
          <w:rFonts w:ascii="Times New Roman" w:hAnsi="Times New Roman"/>
          <w:b/>
          <w:sz w:val="23"/>
          <w:szCs w:val="23"/>
        </w:rPr>
      </w:pPr>
      <w:r>
        <w:rPr>
          <w:rFonts w:ascii="Times New Roman" w:hAnsi="Times New Roman"/>
          <w:b/>
          <w:sz w:val="23"/>
          <w:szCs w:val="23"/>
        </w:rPr>
      </w:r>
      <w:r>
        <w:rPr>
          <w:rFonts w:ascii="Times New Roman" w:hAnsi="Times New Roman"/>
          <w:b/>
          <w:sz w:val="23"/>
          <w:szCs w:val="23"/>
        </w:rPr>
      </w:r>
    </w:p>
    <w:p>
      <w:pPr>
        <w:pStyle w:val="1008"/>
        <w:pBdr/>
        <w:spacing/>
        <w:ind w:firstLine="567"/>
        <w:jc w:val="center"/>
        <w:outlineLvl w:val="1"/>
        <w:rPr>
          <w:rFonts w:ascii="Times New Roman" w:hAnsi="Times New Roman"/>
          <w:b/>
          <w:sz w:val="23"/>
          <w:szCs w:val="23"/>
        </w:rPr>
      </w:pPr>
      <w:r>
        <w:rPr>
          <w:rFonts w:ascii="Times New Roman" w:hAnsi="Times New Roman"/>
          <w:b/>
          <w:sz w:val="23"/>
          <w:szCs w:val="23"/>
        </w:rPr>
        <w:t xml:space="preserve">IX. ИСКЛЮЧИТЕЛЬНЫЕ ПРАВА</w:t>
      </w:r>
      <w:r>
        <w:rPr>
          <w:rFonts w:ascii="Times New Roman" w:hAnsi="Times New Roman"/>
          <w:b/>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9.1. Поставщик гарантирует отсутствие нарушения исключительных прав третьих лиц, связанных с поставкой и использованием Товара.</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9.2. Все убытки, понесенные Заказчиком в случае нарушения исключительных прав третьих лиц на результаты интеллектуа</w:t>
      </w:r>
      <w:r>
        <w:rPr>
          <w:rFonts w:ascii="Times New Roman" w:hAnsi="Times New Roman"/>
          <w:sz w:val="23"/>
          <w:szCs w:val="23"/>
        </w:rP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Pr>
          <w:rFonts w:ascii="Times New Roman" w:hAnsi="Times New Roman"/>
          <w:sz w:val="23"/>
          <w:szCs w:val="23"/>
        </w:rPr>
      </w:r>
    </w:p>
    <w:p>
      <w:pPr>
        <w:pStyle w:val="1008"/>
        <w:pBdr/>
        <w:tabs>
          <w:tab w:val="left" w:leader="none" w:pos="2745"/>
        </w:tabs>
        <w:spacing/>
        <w:ind w:firstLine="567"/>
        <w:contextualSpacing w:val="true"/>
        <w:jc w:val="both"/>
        <w:outlineLvl w:val="1"/>
        <w:rPr>
          <w:rFonts w:ascii="Times New Roman" w:hAnsi="Times New Roman"/>
          <w:color w:val="000000"/>
          <w:sz w:val="23"/>
          <w:szCs w:val="23"/>
        </w:rPr>
      </w:pPr>
      <w:r>
        <w:rPr>
          <w:rFonts w:ascii="Times New Roman" w:hAnsi="Times New Roman"/>
          <w:color w:val="000000"/>
          <w:sz w:val="23"/>
          <w:szCs w:val="23"/>
        </w:rPr>
      </w:r>
      <w:r>
        <w:rPr>
          <w:rFonts w:ascii="Times New Roman" w:hAnsi="Times New Roman"/>
          <w:color w:val="000000"/>
          <w:sz w:val="23"/>
          <w:szCs w:val="23"/>
        </w:rPr>
      </w:r>
    </w:p>
    <w:p>
      <w:pPr>
        <w:pBdr/>
        <w:tabs>
          <w:tab w:val="left" w:leader="none" w:pos="709"/>
        </w:tabs>
        <w:spacing/>
        <w:ind w:firstLine="567"/>
        <w:jc w:val="center"/>
        <w:rPr>
          <w:b/>
          <w:color w:val="000000"/>
          <w:sz w:val="23"/>
          <w:szCs w:val="23"/>
        </w:rPr>
      </w:pPr>
      <w:r>
        <w:rPr>
          <w:b/>
          <w:sz w:val="23"/>
          <w:szCs w:val="23"/>
        </w:rPr>
        <w:t xml:space="preserve">X.</w:t>
      </w:r>
      <w:r>
        <w:rPr>
          <w:b/>
          <w:color w:val="000000"/>
          <w:sz w:val="23"/>
          <w:szCs w:val="23"/>
        </w:rPr>
        <w:t xml:space="preserve"> ОБСТОЯТЕЛЬСТВА НЕПРЕОДОЛИМОЙ СИЛЫ</w:t>
      </w:r>
      <w:r>
        <w:rPr>
          <w:b/>
          <w:color w:val="000000"/>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10.2. В случае если надлежащее исполнение Стороной предусмотренных Контрактом обязательств </w:t>
      </w:r>
      <w:r>
        <w:rPr>
          <w:rFonts w:ascii="Times New Roman" w:hAnsi="Times New Roman"/>
          <w:sz w:val="23"/>
          <w:szCs w:val="23"/>
        </w:rPr>
        <w:t xml:space="preserve">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sz w:val="23"/>
          <w:szCs w:val="23"/>
        </w:rPr>
      </w:r>
    </w:p>
    <w:p>
      <w:pPr>
        <w:pStyle w:val="1008"/>
        <w:pBdr/>
        <w:spacing/>
        <w:ind w:firstLine="567"/>
        <w:jc w:val="both"/>
        <w:outlineLvl w:val="1"/>
        <w:rPr>
          <w:rFonts w:ascii="Times New Roman" w:hAnsi="Times New Roman"/>
          <w:b/>
          <w:sz w:val="23"/>
          <w:szCs w:val="23"/>
        </w:rPr>
      </w:pPr>
      <w:r>
        <w:rPr>
          <w:rFonts w:ascii="Times New Roman" w:hAnsi="Times New Roman"/>
          <w:b/>
          <w:sz w:val="23"/>
          <w:szCs w:val="23"/>
        </w:rPr>
      </w:r>
      <w:r>
        <w:rPr>
          <w:rFonts w:ascii="Times New Roman" w:hAnsi="Times New Roman"/>
          <w:b/>
          <w:sz w:val="23"/>
          <w:szCs w:val="23"/>
        </w:rPr>
      </w:r>
    </w:p>
    <w:p>
      <w:pPr>
        <w:pStyle w:val="1008"/>
        <w:pBdr/>
        <w:spacing/>
        <w:ind w:firstLine="567"/>
        <w:jc w:val="center"/>
        <w:outlineLvl w:val="1"/>
        <w:rPr>
          <w:rFonts w:ascii="Times New Roman" w:hAnsi="Times New Roman"/>
          <w:b/>
          <w:sz w:val="23"/>
          <w:szCs w:val="23"/>
        </w:rPr>
      </w:pPr>
      <w:r>
        <w:rPr>
          <w:rFonts w:ascii="Times New Roman" w:hAnsi="Times New Roman"/>
          <w:b/>
          <w:sz w:val="23"/>
          <w:szCs w:val="23"/>
        </w:rPr>
        <w:t xml:space="preserve">X</w:t>
      </w:r>
      <w:r>
        <w:rPr>
          <w:rFonts w:ascii="Times New Roman" w:hAnsi="Times New Roman"/>
          <w:b/>
          <w:sz w:val="23"/>
          <w:szCs w:val="23"/>
          <w:lang w:val="en-US"/>
        </w:rPr>
        <w:t xml:space="preserve">I</w:t>
      </w:r>
      <w:r>
        <w:rPr>
          <w:rFonts w:ascii="Times New Roman" w:hAnsi="Times New Roman"/>
          <w:b/>
          <w:sz w:val="23"/>
          <w:szCs w:val="23"/>
        </w:rPr>
        <w:t xml:space="preserve">. РАССМОТРЕНИЕ И РАЗРЕШЕНИЕ СПОРОВ</w:t>
      </w:r>
      <w:r>
        <w:rPr>
          <w:rFonts w:ascii="Times New Roman" w:hAnsi="Times New Roman"/>
          <w:b/>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11.2. Претензия оформляется в письменной форме. В претензии перечисляются доп</w:t>
      </w:r>
      <w:r>
        <w:rPr>
          <w:rFonts w:ascii="Times New Roman" w:hAnsi="Times New Roman"/>
          <w:sz w:val="23"/>
          <w:szCs w:val="23"/>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11</w:t>
      </w:r>
      <w:r>
        <w:rPr>
          <w:rFonts w:ascii="Times New Roman" w:hAnsi="Times New Roman"/>
          <w:sz w:val="23"/>
          <w:szCs w:val="23"/>
        </w:rPr>
        <w:t xml:space="preserve">.3.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11.4. При не урегулировании Сторонами спора в досудебном порядке, спор разрешается в судебном порядке </w:t>
      </w:r>
      <w:r>
        <w:rPr>
          <w:rFonts w:ascii="Times New Roman" w:hAnsi="Times New Roman"/>
          <w:color w:val="000000"/>
          <w:sz w:val="23"/>
          <w:szCs w:val="23"/>
        </w:rPr>
        <w:t xml:space="preserve">в Арбитражном суде Хабаровского края.</w:t>
      </w:r>
      <w:r>
        <w:rPr>
          <w:rFonts w:ascii="Times New Roman" w:hAnsi="Times New Roman"/>
          <w:sz w:val="23"/>
          <w:szCs w:val="23"/>
        </w:rPr>
      </w:r>
    </w:p>
    <w:p>
      <w:pPr>
        <w:pStyle w:val="1008"/>
        <w:pBdr/>
        <w:tabs>
          <w:tab w:val="left" w:leader="none" w:pos="2745"/>
        </w:tabs>
        <w:spacing/>
        <w:ind w:firstLine="567"/>
        <w:contextualSpacing w:val="true"/>
        <w:jc w:val="both"/>
        <w:outlineLvl w:val="1"/>
        <w:rPr>
          <w:rFonts w:ascii="Times New Roman" w:hAnsi="Times New Roman"/>
          <w:color w:val="000000"/>
          <w:sz w:val="23"/>
          <w:szCs w:val="23"/>
        </w:rPr>
      </w:pPr>
      <w:r>
        <w:rPr>
          <w:rFonts w:ascii="Times New Roman" w:hAnsi="Times New Roman"/>
          <w:color w:val="000000"/>
          <w:sz w:val="23"/>
          <w:szCs w:val="23"/>
        </w:rPr>
      </w:r>
      <w:r>
        <w:rPr>
          <w:rFonts w:ascii="Times New Roman" w:hAnsi="Times New Roman"/>
          <w:color w:val="000000"/>
          <w:sz w:val="23"/>
          <w:szCs w:val="23"/>
        </w:rPr>
      </w:r>
    </w:p>
    <w:p>
      <w:pPr>
        <w:pStyle w:val="1008"/>
        <w:pBdr/>
        <w:spacing/>
        <w:ind w:firstLine="567"/>
        <w:jc w:val="center"/>
        <w:outlineLvl w:val="1"/>
        <w:rPr>
          <w:rFonts w:ascii="Times New Roman" w:hAnsi="Times New Roman"/>
          <w:b/>
          <w:sz w:val="23"/>
          <w:szCs w:val="23"/>
        </w:rPr>
      </w:pPr>
      <w:r>
        <w:rPr>
          <w:rFonts w:ascii="Times New Roman" w:hAnsi="Times New Roman"/>
          <w:b/>
          <w:sz w:val="23"/>
          <w:szCs w:val="23"/>
        </w:rPr>
        <w:t xml:space="preserve">XI</w:t>
      </w:r>
      <w:r>
        <w:rPr>
          <w:rFonts w:ascii="Times New Roman" w:hAnsi="Times New Roman"/>
          <w:b/>
          <w:sz w:val="23"/>
          <w:szCs w:val="23"/>
          <w:lang w:val="en-US"/>
        </w:rPr>
        <w:t xml:space="preserve">I</w:t>
      </w:r>
      <w:r>
        <w:rPr>
          <w:rFonts w:ascii="Times New Roman" w:hAnsi="Times New Roman" w:eastAsia="Arial"/>
          <w:b/>
          <w:color w:val="000000"/>
          <w:sz w:val="23"/>
          <w:szCs w:val="23"/>
          <w:lang w:eastAsia="ar-SA"/>
        </w:rPr>
        <w:t xml:space="preserve">. </w:t>
      </w:r>
      <w:r>
        <w:rPr>
          <w:rFonts w:ascii="Times New Roman" w:hAnsi="Times New Roman"/>
          <w:b/>
          <w:sz w:val="23"/>
          <w:szCs w:val="23"/>
        </w:rPr>
        <w:t xml:space="preserve">СРОК ДЕЙСТВИЯ И ПОРЯДОК РАСТОРЖЕНИЯ КОНТРАКТА</w:t>
      </w:r>
      <w:r>
        <w:rPr>
          <w:rFonts w:ascii="Times New Roman" w:hAnsi="Times New Roman"/>
          <w:b/>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12.1. Контракт вступа</w:t>
      </w:r>
      <w:r>
        <w:rPr>
          <w:rFonts w:ascii="Times New Roman" w:hAnsi="Times New Roman"/>
          <w:sz w:val="23"/>
          <w:szCs w:val="23"/>
        </w:rPr>
        <w:t xml:space="preserve">ет в силу с момента его подписания обеими Сторонами и действует по _________________________________.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tooltip="consultantplus://offline/ref=782E9CC4CCC6932545801925E3B536176E50B53C1FD70BD7655CABC93DB89C271041D8CD019EE29F343B294E112BD805805FEF4CF4B5672237V6P" w:history="1">
        <w:r>
          <w:rPr>
            <w:rFonts w:ascii="Times New Roman" w:hAnsi="Times New Roman"/>
            <w:sz w:val="23"/>
            <w:szCs w:val="23"/>
          </w:rPr>
          <w:t xml:space="preserve">частями 9</w:t>
        </w:r>
      </w:hyperlink>
      <w:r>
        <w:rPr>
          <w:rFonts w:ascii="Times New Roman" w:hAnsi="Times New Roman"/>
          <w:sz w:val="23"/>
          <w:szCs w:val="23"/>
        </w:rPr>
        <w:t xml:space="preserve"> - </w:t>
      </w:r>
      <w:hyperlink r:id="rId13" w:tooltip="consultantplus://offline/ref=782E9CC4CCC6932545801925E3B536176E50B53C1FD70BD7655CABC93DB89C271041D8CD019EE692303B294E112BD805805FEF4CF4B5672237V6P" w:history="1">
        <w:r>
          <w:rPr>
            <w:rFonts w:ascii="Times New Roman" w:hAnsi="Times New Roman"/>
            <w:sz w:val="23"/>
            <w:szCs w:val="23"/>
          </w:rPr>
          <w:t xml:space="preserve">23 статьи 95</w:t>
        </w:r>
      </w:hyperlink>
      <w:r>
        <w:rPr>
          <w:rFonts w:ascii="Times New Roman" w:hAnsi="Times New Roman"/>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3"/>
          <w:szCs w:val="23"/>
        </w:rPr>
      </w:r>
    </w:p>
    <w:p>
      <w:pPr>
        <w:pStyle w:val="1008"/>
        <w:pBdr/>
        <w:spacing/>
        <w:ind w:firstLine="540"/>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p>
    <w:p>
      <w:pPr>
        <w:pBdr/>
        <w:tabs>
          <w:tab w:val="left" w:leader="none" w:pos="709"/>
          <w:tab w:val="left" w:leader="none" w:pos="916"/>
          <w:tab w:val="left" w:leader="none" w:pos="1832"/>
          <w:tab w:val="left" w:leader="none" w:pos="2748"/>
          <w:tab w:val="left" w:leader="none" w:pos="3664"/>
          <w:tab w:val="left" w:leader="none" w:pos="4580"/>
          <w:tab w:val="left" w:leader="none" w:pos="5496"/>
          <w:tab w:val="left" w:leader="none" w:pos="9160"/>
          <w:tab w:val="left" w:leader="none" w:pos="9360"/>
          <w:tab w:val="left" w:leader="none" w:pos="10076"/>
          <w:tab w:val="left" w:leader="none" w:pos="10992"/>
          <w:tab w:val="left" w:leader="none" w:pos="11908"/>
          <w:tab w:val="left" w:leader="none" w:pos="12824"/>
          <w:tab w:val="left" w:leader="none" w:pos="13740"/>
          <w:tab w:val="left" w:leader="none" w:pos="14656"/>
        </w:tabs>
        <w:spacing/>
        <w:ind w:firstLine="567"/>
        <w:jc w:val="center"/>
        <w:rPr>
          <w:b/>
          <w:color w:val="000000"/>
          <w:sz w:val="23"/>
          <w:szCs w:val="23"/>
        </w:rPr>
      </w:pPr>
      <w:r>
        <w:rPr>
          <w:b/>
          <w:sz w:val="23"/>
          <w:szCs w:val="23"/>
        </w:rPr>
        <w:t xml:space="preserve">XII</w:t>
      </w:r>
      <w:r>
        <w:rPr>
          <w:b/>
          <w:sz w:val="23"/>
          <w:szCs w:val="23"/>
          <w:lang w:val="en-US"/>
        </w:rPr>
        <w:t xml:space="preserve">I</w:t>
      </w:r>
      <w:r>
        <w:rPr>
          <w:b/>
          <w:sz w:val="23"/>
          <w:szCs w:val="23"/>
        </w:rPr>
        <w:t xml:space="preserve">.</w:t>
      </w:r>
      <w:r>
        <w:rPr>
          <w:b/>
          <w:color w:val="000000"/>
          <w:sz w:val="23"/>
          <w:szCs w:val="23"/>
        </w:rPr>
        <w:t xml:space="preserve"> ПРОЧИЕ ПОЛОЖЕНИЯ</w:t>
      </w:r>
      <w:r>
        <w:rPr>
          <w:b/>
          <w:color w:val="000000"/>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13.1. Во всем, что не предусмотрено Контрактом, Стороны руководствуются законодательством Российской Федерации.</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w:t>
      </w:r>
      <w:r>
        <w:rPr>
          <w:rFonts w:ascii="Times New Roman" w:hAnsi="Times New Roman"/>
          <w:sz w:val="23"/>
          <w:szCs w:val="23"/>
        </w:rPr>
        <w:t xml:space="preserve">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13.4. Изменение условий Контракта при его исполнении не допускается, за исключением случаев, предусмотренных </w:t>
      </w:r>
      <w:hyperlink r:id="rId14" w:tooltip="consultantplus://offline/ref=782E9CC4CCC6932545801925E3B536176E50B53C1FD70BD7655CABC93DB89C271041D8CD019EE696393B294E112BD805805FEF4CF4B5672237V6P" w:history="1">
        <w:r>
          <w:rPr>
            <w:rFonts w:ascii="Times New Roman" w:hAnsi="Times New Roman"/>
            <w:sz w:val="23"/>
            <w:szCs w:val="23"/>
          </w:rPr>
          <w:t xml:space="preserve">статьей 95</w:t>
        </w:r>
      </w:hyperlink>
      <w:r>
        <w:rPr>
          <w:rFonts w:ascii="Times New Roman" w:hAnsi="Times New Roman"/>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13.6.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Times New Roman" w:hAnsi="Times New Roman"/>
          <w:sz w:val="23"/>
          <w:szCs w:val="23"/>
        </w:rPr>
      </w:r>
    </w:p>
    <w:p>
      <w:pPr>
        <w:pStyle w:val="1008"/>
        <w:pBdr/>
        <w:spacing/>
        <w:ind w:firstLine="567"/>
        <w:jc w:val="both"/>
        <w:rPr>
          <w:rFonts w:ascii="Times New Roman" w:hAnsi="Times New Roman"/>
          <w:sz w:val="23"/>
          <w:szCs w:val="23"/>
        </w:rPr>
      </w:pPr>
      <w:r/>
      <w:bookmarkStart w:id="25" w:name="P1633"/>
      <w:r/>
      <w:bookmarkEnd w:id="25"/>
      <w:r>
        <w:rPr>
          <w:rFonts w:ascii="Times New Roman" w:hAnsi="Times New Roman"/>
          <w:sz w:val="23"/>
          <w:szCs w:val="23"/>
        </w:rPr>
        <w:t xml:space="preserve">13.7. Контракт составлен </w:t>
      </w:r>
      <w:r>
        <w:rPr>
          <w:rFonts w:ascii="Times New Roman" w:hAnsi="Times New Roman"/>
          <w:sz w:val="23"/>
          <w:szCs w:val="23"/>
        </w:rPr>
        <w:t xml:space="preserve">в </w:t>
      </w:r>
      <w:bookmarkStart w:id="26" w:name="_GoBack"/>
      <w:r/>
      <w:bookmarkEnd w:id="26"/>
      <w:r>
        <w:rPr>
          <w:rFonts w:ascii="Times New Roman" w:hAnsi="Times New Roman"/>
          <w:sz w:val="23"/>
          <w:szCs w:val="23"/>
        </w:rPr>
        <w:t xml:space="preserve">2 (</w:t>
      </w:r>
      <w:r>
        <w:rPr>
          <w:rFonts w:ascii="Times New Roman" w:hAnsi="Times New Roman"/>
          <w:sz w:val="23"/>
          <w:szCs w:val="23"/>
        </w:rPr>
        <w:t xml:space="preserve">двух) экземплярах, идентичных по содержанию и имеющих одинаковую юридическую силу, один из которых передан Поставщику, один находятся у Заказчика.</w:t>
      </w:r>
      <w:r>
        <w:rPr>
          <w:rFonts w:ascii="Times New Roman" w:hAnsi="Times New Roman"/>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p>
    <w:p>
      <w:pPr>
        <w:pStyle w:val="1008"/>
        <w:pBdr/>
        <w:spacing/>
        <w:ind w:firstLine="567"/>
        <w:jc w:val="center"/>
        <w:outlineLvl w:val="1"/>
        <w:rPr>
          <w:rFonts w:ascii="Times New Roman" w:hAnsi="Times New Roman"/>
          <w:b/>
          <w:sz w:val="23"/>
          <w:szCs w:val="23"/>
        </w:rPr>
      </w:pPr>
      <w:r>
        <w:rPr>
          <w:rFonts w:ascii="Times New Roman" w:hAnsi="Times New Roman"/>
          <w:b/>
          <w:sz w:val="23"/>
          <w:szCs w:val="23"/>
        </w:rPr>
        <w:t xml:space="preserve">X</w:t>
      </w:r>
      <w:r>
        <w:rPr>
          <w:rFonts w:ascii="Times New Roman" w:hAnsi="Times New Roman"/>
          <w:b/>
          <w:sz w:val="23"/>
          <w:szCs w:val="23"/>
          <w:lang w:val="en-US"/>
        </w:rPr>
        <w:t xml:space="preserve">IV</w:t>
      </w:r>
      <w:r>
        <w:rPr>
          <w:rFonts w:ascii="Times New Roman" w:hAnsi="Times New Roman"/>
          <w:b/>
          <w:sz w:val="23"/>
          <w:szCs w:val="23"/>
        </w:rPr>
        <w:t xml:space="preserve">. Перечень приложений</w:t>
      </w:r>
      <w:r>
        <w:rPr>
          <w:rFonts w:ascii="Times New Roman" w:hAnsi="Times New Roman"/>
          <w:b/>
          <w:sz w:val="23"/>
          <w:szCs w:val="23"/>
        </w:rPr>
      </w:r>
    </w:p>
    <w:p>
      <w:pPr>
        <w:pStyle w:val="1008"/>
        <w:pBdr/>
        <w:spacing/>
        <w:ind w:firstLine="567"/>
        <w:jc w:val="both"/>
        <w:rPr>
          <w:rFonts w:ascii="Times New Roman" w:hAnsi="Times New Roman"/>
          <w:sz w:val="23"/>
          <w:szCs w:val="23"/>
        </w:rPr>
      </w:pPr>
      <w:r>
        <w:rPr>
          <w:rFonts w:ascii="Times New Roman" w:hAnsi="Times New Roman"/>
          <w:sz w:val="23"/>
          <w:szCs w:val="23"/>
        </w:rPr>
        <w:t xml:space="preserve">14.1. Неотъемлемой частью Контракта является следующее приложение:</w:t>
      </w:r>
      <w:r>
        <w:rPr>
          <w:rFonts w:ascii="Times New Roman" w:hAnsi="Times New Roman"/>
          <w:sz w:val="23"/>
          <w:szCs w:val="23"/>
        </w:rPr>
      </w:r>
    </w:p>
    <w:p>
      <w:pPr>
        <w:pBdr/>
        <w:tabs>
          <w:tab w:val="left" w:leader="none" w:pos="709"/>
        </w:tabs>
        <w:spacing/>
        <w:ind w:firstLine="567"/>
        <w:jc w:val="both"/>
        <w:rPr>
          <w:color w:val="000000"/>
          <w:sz w:val="23"/>
          <w:szCs w:val="23"/>
        </w:rPr>
      </w:pPr>
      <w:r>
        <w:rPr>
          <w:color w:val="000000"/>
          <w:sz w:val="23"/>
          <w:szCs w:val="23"/>
        </w:rPr>
        <w:t xml:space="preserve">Спецификация (приложение №1). </w:t>
      </w:r>
      <w:r>
        <w:rPr>
          <w:color w:val="000000"/>
          <w:sz w:val="23"/>
          <w:szCs w:val="23"/>
        </w:rPr>
      </w:r>
    </w:p>
    <w:p>
      <w:pPr>
        <w:pStyle w:val="1008"/>
        <w:pBdr/>
        <w:spacing/>
        <w:ind/>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p>
    <w:p>
      <w:pPr>
        <w:pBdr/>
        <w:spacing/>
        <w:ind/>
        <w:contextualSpacing w:val="true"/>
        <w:jc w:val="center"/>
        <w:rPr>
          <w:b/>
          <w:sz w:val="23"/>
          <w:szCs w:val="23"/>
        </w:rPr>
      </w:pPr>
      <w:r>
        <w:rPr>
          <w:b/>
          <w:sz w:val="23"/>
          <w:szCs w:val="23"/>
        </w:rPr>
      </w:r>
      <w:r>
        <w:rPr>
          <w:b/>
          <w:sz w:val="23"/>
          <w:szCs w:val="23"/>
        </w:rPr>
      </w:r>
    </w:p>
    <w:p>
      <w:pPr>
        <w:pBdr/>
        <w:spacing/>
        <w:ind/>
        <w:contextualSpacing w:val="true"/>
        <w:jc w:val="center"/>
        <w:rPr>
          <w:b/>
          <w:sz w:val="23"/>
          <w:szCs w:val="23"/>
        </w:rPr>
      </w:pPr>
      <w:r>
        <w:rPr>
          <w:b/>
          <w:sz w:val="23"/>
          <w:szCs w:val="23"/>
        </w:rPr>
        <w:t xml:space="preserve">X</w:t>
      </w:r>
      <w:r>
        <w:rPr>
          <w:b/>
          <w:sz w:val="23"/>
          <w:szCs w:val="23"/>
          <w:lang w:val="en-US"/>
        </w:rPr>
        <w:t xml:space="preserve">V</w:t>
      </w:r>
      <w:r>
        <w:rPr>
          <w:b/>
          <w:sz w:val="23"/>
          <w:szCs w:val="23"/>
        </w:rPr>
        <w:t xml:space="preserve">. Банковские реквизиты и подписи сторон</w:t>
      </w:r>
      <w:r>
        <w:rPr>
          <w:b/>
          <w:sz w:val="23"/>
          <w:szCs w:val="23"/>
        </w:rPr>
      </w:r>
    </w:p>
    <w:tbl>
      <w:tblPr>
        <w:tblW w:w="487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920"/>
        <w:gridCol w:w="5245"/>
      </w:tblGrid>
      <w:tr>
        <w:trPr/>
        <w:tc>
          <w:tcPr>
            <w:tcBorders>
              <w:top w:val="single" w:color="auto" w:sz="4" w:space="0"/>
              <w:left w:val="single" w:color="auto" w:sz="4" w:space="0"/>
              <w:bottom w:val="single" w:color="auto" w:sz="4" w:space="0"/>
              <w:right w:val="single" w:color="auto" w:sz="4" w:space="0"/>
            </w:tcBorders>
            <w:tcW w:w="4785" w:type="dxa"/>
            <w:textDirection w:val="lrTb"/>
            <w:noWrap w:val="false"/>
          </w:tcPr>
          <w:p>
            <w:pPr>
              <w:pBdr/>
              <w:spacing/>
              <w:ind/>
              <w:rPr>
                <w:b/>
                <w:sz w:val="23"/>
                <w:szCs w:val="23"/>
              </w:rPr>
            </w:pPr>
            <w:r>
              <w:rPr>
                <w:b/>
                <w:sz w:val="23"/>
                <w:szCs w:val="23"/>
              </w:rPr>
              <w:t xml:space="preserve">Заказчик:</w:t>
            </w:r>
            <w:r>
              <w:rPr>
                <w:b/>
                <w:sz w:val="23"/>
                <w:szCs w:val="23"/>
              </w:rPr>
            </w:r>
          </w:p>
          <w:p>
            <w:pPr>
              <w:pBdr/>
              <w:spacing/>
              <w:ind/>
              <w:rPr>
                <w:b/>
                <w:sz w:val="23"/>
                <w:szCs w:val="23"/>
                <w:lang w:eastAsia="ar-SA"/>
              </w:rPr>
            </w:pPr>
            <w:r>
              <w:rPr>
                <w:b/>
                <w:sz w:val="23"/>
                <w:szCs w:val="23"/>
                <w:lang w:eastAsia="ar-SA"/>
              </w:rPr>
              <w:t xml:space="preserve">ФГБОУ ВО ДВГМУ Минздрава России </w:t>
            </w:r>
            <w:r>
              <w:rPr>
                <w:b/>
                <w:sz w:val="23"/>
                <w:szCs w:val="23"/>
                <w:lang w:eastAsia="ar-SA"/>
              </w:rPr>
            </w:r>
          </w:p>
          <w:p>
            <w:pPr>
              <w:pBdr/>
              <w:spacing/>
              <w:ind/>
              <w:rPr>
                <w:sz w:val="23"/>
                <w:szCs w:val="23"/>
                <w:lang w:eastAsia="ar-SA"/>
              </w:rPr>
            </w:pPr>
            <w:r>
              <w:rPr>
                <w:sz w:val="23"/>
                <w:szCs w:val="23"/>
                <w:lang w:eastAsia="ar-SA"/>
              </w:rPr>
              <w:t xml:space="preserve">Юридический/почтовый адрес: </w:t>
            </w:r>
            <w:r>
              <w:rPr>
                <w:sz w:val="23"/>
                <w:szCs w:val="23"/>
                <w:lang w:eastAsia="ar-SA"/>
              </w:rPr>
            </w:r>
          </w:p>
          <w:p>
            <w:pPr>
              <w:pBdr/>
              <w:spacing/>
              <w:ind/>
              <w:rPr>
                <w:sz w:val="23"/>
                <w:szCs w:val="23"/>
                <w:lang w:eastAsia="ar-SA"/>
              </w:rPr>
            </w:pPr>
            <w:r>
              <w:rPr>
                <w:sz w:val="23"/>
                <w:szCs w:val="23"/>
                <w:lang w:eastAsia="ar-SA"/>
              </w:rPr>
              <w:t xml:space="preserve">680000, Хабаровский край, г. Хабаровск, </w:t>
            </w:r>
            <w:r>
              <w:rPr>
                <w:sz w:val="23"/>
                <w:szCs w:val="23"/>
                <w:lang w:eastAsia="ar-SA"/>
              </w:rPr>
            </w:r>
          </w:p>
          <w:p>
            <w:pPr>
              <w:pBdr/>
              <w:spacing/>
              <w:ind/>
              <w:rPr>
                <w:sz w:val="23"/>
                <w:szCs w:val="23"/>
                <w:lang w:eastAsia="ar-SA"/>
              </w:rPr>
            </w:pPr>
            <w:r>
              <w:rPr>
                <w:sz w:val="23"/>
                <w:szCs w:val="23"/>
                <w:lang w:eastAsia="ar-SA"/>
              </w:rPr>
              <w:t xml:space="preserve">ул.  Муравьева-Амурского, д. 35</w:t>
            </w:r>
            <w:r>
              <w:rPr>
                <w:sz w:val="23"/>
                <w:szCs w:val="23"/>
                <w:lang w:eastAsia="ar-SA"/>
              </w:rPr>
            </w:r>
          </w:p>
          <w:p>
            <w:pPr>
              <w:pBdr/>
              <w:spacing/>
              <w:ind/>
              <w:rPr>
                <w:sz w:val="23"/>
                <w:szCs w:val="23"/>
                <w:lang w:eastAsia="ar-SA"/>
              </w:rPr>
            </w:pPr>
            <w:r>
              <w:rPr>
                <w:sz w:val="23"/>
                <w:szCs w:val="23"/>
                <w:lang w:eastAsia="ar-SA"/>
              </w:rPr>
              <w:t xml:space="preserve">Тел./факс (4212) 70-37-71</w:t>
            </w:r>
            <w:r>
              <w:rPr>
                <w:sz w:val="23"/>
                <w:szCs w:val="23"/>
                <w:lang w:eastAsia="ar-SA"/>
              </w:rPr>
            </w:r>
          </w:p>
          <w:p>
            <w:pPr>
              <w:pBdr/>
              <w:spacing/>
              <w:ind/>
              <w:rPr>
                <w:sz w:val="23"/>
                <w:szCs w:val="23"/>
                <w:lang w:val="en-US" w:eastAsia="ar-SA"/>
              </w:rPr>
            </w:pPr>
            <w:r>
              <w:rPr>
                <w:sz w:val="23"/>
                <w:szCs w:val="23"/>
                <w:lang w:eastAsia="ar-SA"/>
              </w:rPr>
              <w:t xml:space="preserve">Е</w:t>
            </w:r>
            <w:r>
              <w:rPr>
                <w:sz w:val="23"/>
                <w:szCs w:val="23"/>
                <w:lang w:val="en-US" w:eastAsia="ar-SA"/>
              </w:rPr>
              <w:t xml:space="preserve">-mail: snab@m</w:t>
            </w:r>
            <w:r>
              <w:rPr>
                <w:sz w:val="23"/>
                <w:szCs w:val="23"/>
                <w:lang w:eastAsia="ar-SA"/>
              </w:rPr>
              <w:t xml:space="preserve">а</w:t>
            </w:r>
            <w:r>
              <w:rPr>
                <w:sz w:val="23"/>
                <w:szCs w:val="23"/>
                <w:lang w:val="en-US" w:eastAsia="ar-SA"/>
              </w:rPr>
              <w:t xml:space="preserve">il.fesmu.ru </w:t>
            </w:r>
            <w:r>
              <w:rPr>
                <w:sz w:val="23"/>
                <w:szCs w:val="23"/>
                <w:lang w:val="en-US" w:eastAsia="ar-SA"/>
              </w:rPr>
            </w:r>
          </w:p>
          <w:p>
            <w:pPr>
              <w:pBdr/>
              <w:spacing/>
              <w:ind/>
              <w:rPr>
                <w:bCs/>
                <w:sz w:val="23"/>
                <w:szCs w:val="23"/>
              </w:rPr>
            </w:pPr>
            <w:r>
              <w:rPr>
                <w:bCs/>
                <w:sz w:val="23"/>
                <w:szCs w:val="23"/>
              </w:rPr>
              <w:t xml:space="preserve">ИНН 2721020896 КПП 272101001</w:t>
            </w:r>
            <w:r>
              <w:rPr>
                <w:bCs/>
                <w:sz w:val="23"/>
                <w:szCs w:val="23"/>
              </w:rPr>
            </w:r>
          </w:p>
          <w:p>
            <w:pPr>
              <w:pBdr/>
              <w:spacing/>
              <w:ind w:hanging="1"/>
              <w:rPr/>
            </w:pPr>
            <w:r>
              <w:rPr>
                <w:sz w:val="22"/>
                <w:szCs w:val="22"/>
              </w:rPr>
              <w:t xml:space="preserve">УФК по Приморскому краю (ФГБОУ ВО </w:t>
            </w:r>
            <w:r/>
          </w:p>
          <w:p>
            <w:pPr>
              <w:pBdr/>
              <w:spacing/>
              <w:ind w:hanging="1"/>
              <w:rPr>
                <w:sz w:val="22"/>
                <w:szCs w:val="22"/>
              </w:rPr>
            </w:pPr>
            <w:r>
              <w:rPr>
                <w:sz w:val="22"/>
                <w:szCs w:val="22"/>
              </w:rPr>
              <w:t xml:space="preserve">ДВГМУ Минздрава России ЛС </w:t>
            </w:r>
            <w:r>
              <w:rPr>
                <w:sz w:val="22"/>
                <w:szCs w:val="22"/>
              </w:rPr>
            </w:r>
          </w:p>
          <w:p>
            <w:pPr>
              <w:pBdr/>
              <w:spacing/>
              <w:ind w:hanging="1"/>
              <w:rPr/>
            </w:pPr>
            <w:r>
              <w:rPr>
                <w:sz w:val="22"/>
                <w:szCs w:val="22"/>
              </w:rPr>
              <w:t xml:space="preserve">20226Х51140)</w:t>
            </w:r>
            <w:r/>
          </w:p>
          <w:p>
            <w:pPr>
              <w:pBdr/>
              <w:spacing/>
              <w:ind w:hanging="1"/>
              <w:rPr/>
            </w:pPr>
            <w:r>
              <w:rPr>
                <w:sz w:val="22"/>
                <w:szCs w:val="22"/>
              </w:rPr>
              <w:t xml:space="preserve">ОКЦ №1 ДГУ Банка России//УФК по Приморскому краю г. Владивосток</w:t>
            </w:r>
            <w:r/>
          </w:p>
          <w:p>
            <w:pPr>
              <w:pBdr/>
              <w:spacing/>
              <w:ind w:hanging="1"/>
              <w:rPr/>
            </w:pPr>
            <w:r>
              <w:rPr>
                <w:sz w:val="22"/>
                <w:szCs w:val="22"/>
              </w:rPr>
              <w:t xml:space="preserve">БИК 010507002</w:t>
            </w:r>
            <w:r/>
          </w:p>
          <w:p>
            <w:pPr>
              <w:pBdr/>
              <w:spacing/>
              <w:ind w:hanging="1"/>
              <w:rPr/>
            </w:pPr>
            <w:r>
              <w:rPr>
                <w:sz w:val="22"/>
                <w:szCs w:val="22"/>
              </w:rPr>
              <w:t xml:space="preserve">Номер счета банка получателя</w:t>
            </w:r>
            <w:r/>
          </w:p>
          <w:p>
            <w:pPr>
              <w:pBdr/>
              <w:spacing/>
              <w:ind w:hanging="1"/>
              <w:rPr/>
            </w:pPr>
            <w:r>
              <w:rPr>
                <w:sz w:val="22"/>
                <w:szCs w:val="22"/>
              </w:rPr>
              <w:t xml:space="preserve">(Единый казначейский счет) 40102810545370000012</w:t>
            </w:r>
            <w:r/>
          </w:p>
          <w:p>
            <w:pPr>
              <w:pBdr/>
              <w:spacing/>
              <w:ind w:hanging="1"/>
              <w:rPr>
                <w:highlight w:val="white"/>
              </w:rPr>
            </w:pPr>
            <w:r>
              <w:rPr>
                <w:sz w:val="22"/>
                <w:szCs w:val="22"/>
                <w:highlight w:val="white"/>
              </w:rPr>
              <w:t xml:space="preserve">Номер счета получателя</w:t>
            </w:r>
            <w:r>
              <w:rPr>
                <w:highlight w:val="white"/>
              </w:rPr>
            </w:r>
          </w:p>
          <w:p>
            <w:pPr>
              <w:pBdr/>
              <w:spacing/>
              <w:ind w:hanging="1"/>
              <w:rPr>
                <w:highlight w:val="white"/>
              </w:rPr>
            </w:pPr>
            <w:r>
              <w:rPr>
                <w:sz w:val="22"/>
                <w:szCs w:val="22"/>
                <w:highlight w:val="white"/>
              </w:rPr>
              <w:t xml:space="preserve">(казначейский счет) 03214643000000012006</w:t>
            </w:r>
            <w:r>
              <w:rPr>
                <w:highlight w:val="white"/>
              </w:rPr>
            </w:r>
          </w:p>
          <w:p>
            <w:pPr>
              <w:pBdr/>
              <w:spacing/>
              <w:ind w:hanging="1"/>
              <w:rPr>
                <w:highlight w:val="white"/>
              </w:rPr>
            </w:pPr>
            <w:r>
              <w:rPr>
                <w:sz w:val="22"/>
                <w:szCs w:val="22"/>
                <w:highlight w:val="white"/>
              </w:rPr>
              <w:t xml:space="preserve">ОКТМО 08701000</w:t>
            </w:r>
            <w:r>
              <w:rPr>
                <w:highlight w:val="white"/>
              </w:rPr>
            </w:r>
          </w:p>
          <w:p>
            <w:pPr>
              <w:pBdr/>
              <w:spacing/>
              <w:ind w:hanging="1"/>
              <w:contextualSpacing w:val="true"/>
              <w:rPr>
                <w:sz w:val="23"/>
                <w:szCs w:val="23"/>
              </w:rPr>
            </w:pPr>
            <w:r>
              <w:rPr>
                <w:sz w:val="22"/>
                <w:szCs w:val="22"/>
                <w:highlight w:val="white"/>
              </w:rPr>
              <w:t xml:space="preserve">ОКПО 01962959 ОГРН 1032700296078</w:t>
            </w:r>
            <w:r>
              <w:rPr>
                <w:sz w:val="23"/>
                <w:szCs w:val="23"/>
              </w:rPr>
            </w:r>
          </w:p>
        </w:tc>
        <w:tc>
          <w:tcPr>
            <w:tcBorders>
              <w:top w:val="single" w:color="auto" w:sz="4" w:space="0"/>
              <w:left w:val="single" w:color="auto" w:sz="4" w:space="0"/>
              <w:bottom w:val="single" w:color="auto" w:sz="4" w:space="0"/>
              <w:right w:val="single" w:color="auto" w:sz="4" w:space="0"/>
            </w:tcBorders>
            <w:tcW w:w="5102" w:type="dxa"/>
            <w:textDirection w:val="lrTb"/>
            <w:noWrap w:val="false"/>
          </w:tcPr>
          <w:p>
            <w:pPr>
              <w:pBdr/>
              <w:spacing/>
              <w:ind/>
              <w:rPr>
                <w:b/>
                <w:sz w:val="22"/>
                <w:szCs w:val="22"/>
              </w:rPr>
            </w:pPr>
            <w:r>
              <w:rPr>
                <w:b/>
                <w:sz w:val="22"/>
                <w:szCs w:val="22"/>
              </w:rPr>
              <w:t xml:space="preserve">Поставщик:</w:t>
            </w:r>
            <w:r>
              <w:rPr>
                <w:b/>
                <w:sz w:val="22"/>
                <w:szCs w:val="22"/>
              </w:rPr>
            </w:r>
          </w:p>
          <w:p>
            <w:pPr>
              <w:pBdr/>
              <w:spacing/>
              <w:ind/>
              <w:contextualSpacing w:val="true"/>
              <w:rPr>
                <w:sz w:val="23"/>
                <w:szCs w:val="23"/>
                <w:lang w:val="en-US" w:eastAsia="ar-SA"/>
              </w:rPr>
            </w:pPr>
            <w:r>
              <w:rPr>
                <w:sz w:val="23"/>
                <w:szCs w:val="23"/>
                <w:lang w:val="en-US" w:eastAsia="ar-SA"/>
              </w:rPr>
            </w:r>
            <w:r>
              <w:rPr>
                <w:sz w:val="23"/>
                <w:szCs w:val="23"/>
                <w:lang w:val="en-US" w:eastAsia="ar-SA"/>
              </w:rPr>
            </w:r>
          </w:p>
        </w:tc>
      </w:tr>
    </w:tbl>
    <w:p>
      <w:pPr>
        <w:pBdr/>
        <w:spacing/>
        <w:ind/>
        <w:jc w:val="both"/>
        <w:outlineLvl w:val="2"/>
        <w:rPr>
          <w:sz w:val="23"/>
          <w:szCs w:val="23"/>
          <w:lang w:val="en-US"/>
        </w:rPr>
      </w:pPr>
      <w:r>
        <w:rPr>
          <w:sz w:val="23"/>
          <w:szCs w:val="23"/>
          <w:lang w:val="en-US"/>
        </w:rPr>
      </w:r>
      <w:r>
        <w:rPr>
          <w:sz w:val="23"/>
          <w:szCs w:val="23"/>
          <w:lang w:val="en-US"/>
        </w:rPr>
      </w:r>
    </w:p>
    <w:tbl>
      <w:tblPr>
        <w:tblW w:w="5000" w:type="pct"/>
        <w:tblBorders/>
        <w:tblpPr w:horzAnchor="margin" w:tblpXSpec="left" w:vertAnchor="text" w:tblpY="445" w:leftFromText="180" w:topFromText="0" w:rightFromText="180" w:bottomFromText="0"/>
        <w:tblLook w:val="01E0" w:firstRow="1" w:lastRow="1" w:firstColumn="1" w:lastColumn="1" w:noHBand="0" w:noVBand="0"/>
      </w:tblPr>
      <w:tblGrid>
        <w:gridCol w:w="5669"/>
        <w:gridCol w:w="4752"/>
      </w:tblGrid>
      <w:tr>
        <w:trPr>
          <w:trHeight w:val="1279"/>
        </w:trPr>
        <w:tc>
          <w:tcPr>
            <w:tcBorders/>
            <w:tcW w:w="2720" w:type="pct"/>
            <w:textDirection w:val="lrTb"/>
            <w:noWrap w:val="false"/>
          </w:tcPr>
          <w:p>
            <w:pPr>
              <w:pBdr/>
              <w:spacing/>
              <w:ind/>
              <w:rPr>
                <w:b/>
                <w:sz w:val="23"/>
                <w:szCs w:val="23"/>
              </w:rPr>
            </w:pPr>
            <w:r>
              <w:rPr>
                <w:b/>
                <w:sz w:val="23"/>
                <w:szCs w:val="23"/>
              </w:rPr>
              <w:t xml:space="preserve">Заказчик</w:t>
            </w:r>
            <w:r>
              <w:rPr>
                <w:b/>
                <w:sz w:val="23"/>
                <w:szCs w:val="23"/>
              </w:rPr>
            </w:r>
          </w:p>
          <w:p>
            <w:pPr>
              <w:pBdr/>
              <w:spacing/>
              <w:ind/>
              <w:rPr>
                <w:b/>
                <w:sz w:val="23"/>
                <w:szCs w:val="23"/>
              </w:rPr>
            </w:pPr>
            <w:r>
              <w:rPr>
                <w:b/>
                <w:sz w:val="23"/>
                <w:szCs w:val="23"/>
              </w:rPr>
              <w:t xml:space="preserve">Должность</w:t>
            </w:r>
            <w:r>
              <w:rPr>
                <w:b/>
                <w:sz w:val="23"/>
                <w:szCs w:val="23"/>
              </w:rPr>
            </w:r>
          </w:p>
          <w:p>
            <w:pPr>
              <w:pBdr/>
              <w:spacing/>
              <w:ind/>
              <w:rPr>
                <w:b/>
                <w:sz w:val="23"/>
                <w:szCs w:val="23"/>
              </w:rPr>
            </w:pPr>
            <w:r>
              <w:rPr>
                <w:b/>
                <w:sz w:val="23"/>
                <w:szCs w:val="23"/>
              </w:rPr>
            </w:r>
            <w:r>
              <w:rPr>
                <w:b/>
                <w:sz w:val="23"/>
                <w:szCs w:val="23"/>
              </w:rPr>
            </w:r>
          </w:p>
          <w:p>
            <w:pPr>
              <w:pBdr/>
              <w:spacing/>
              <w:ind/>
              <w:rPr>
                <w:b/>
                <w:sz w:val="23"/>
                <w:szCs w:val="23"/>
              </w:rPr>
            </w:pPr>
            <w:r>
              <w:rPr>
                <w:b/>
                <w:sz w:val="23"/>
                <w:szCs w:val="23"/>
              </w:rPr>
            </w:r>
            <w:r>
              <w:rPr>
                <w:b/>
                <w:sz w:val="23"/>
                <w:szCs w:val="23"/>
              </w:rPr>
            </w:r>
          </w:p>
          <w:p>
            <w:pPr>
              <w:pBdr/>
              <w:spacing/>
              <w:ind/>
              <w:jc w:val="both"/>
              <w:rPr>
                <w:rFonts w:eastAsia="Calibri"/>
                <w:sz w:val="23"/>
                <w:szCs w:val="23"/>
              </w:rPr>
            </w:pPr>
            <w:r>
              <w:rPr>
                <w:rFonts w:eastAsia="Calibri"/>
                <w:sz w:val="23"/>
                <w:szCs w:val="23"/>
              </w:rPr>
              <w:t xml:space="preserve">_________________ </w:t>
            </w:r>
            <w:r>
              <w:rPr>
                <w:sz w:val="23"/>
                <w:szCs w:val="23"/>
                <w:u w:val="single"/>
              </w:rPr>
              <w:t xml:space="preserve">/</w:t>
            </w:r>
            <w:r>
              <w:rPr>
                <w:rFonts w:eastAsia="Calibri"/>
                <w:sz w:val="23"/>
                <w:szCs w:val="23"/>
              </w:rPr>
              <w:t xml:space="preserve">_________________/</w:t>
            </w:r>
            <w:r>
              <w:rPr>
                <w:rFonts w:eastAsia="Calibri"/>
                <w:sz w:val="23"/>
                <w:szCs w:val="23"/>
              </w:rPr>
            </w:r>
          </w:p>
          <w:p>
            <w:pPr>
              <w:pBdr/>
              <w:spacing/>
              <w:ind/>
              <w:jc w:val="both"/>
              <w:rPr>
                <w:sz w:val="23"/>
                <w:szCs w:val="23"/>
              </w:rPr>
            </w:pPr>
            <w:r>
              <w:rPr>
                <w:sz w:val="23"/>
                <w:szCs w:val="23"/>
              </w:rPr>
              <w:t xml:space="preserve">Подпись, печать</w:t>
            </w:r>
            <w:r>
              <w:rPr>
                <w:sz w:val="23"/>
                <w:szCs w:val="23"/>
              </w:rPr>
            </w:r>
          </w:p>
        </w:tc>
        <w:tc>
          <w:tcPr>
            <w:tcBorders/>
            <w:tcW w:w="2280" w:type="pct"/>
            <w:textDirection w:val="lrTb"/>
            <w:noWrap w:val="false"/>
          </w:tcPr>
          <w:p>
            <w:pPr>
              <w:pBdr/>
              <w:spacing/>
              <w:ind w:hanging="108"/>
              <w:rPr>
                <w:b/>
                <w:sz w:val="23"/>
                <w:szCs w:val="23"/>
              </w:rPr>
            </w:pPr>
            <w:r>
              <w:rPr>
                <w:sz w:val="23"/>
                <w:szCs w:val="23"/>
              </w:rPr>
              <w:t xml:space="preserve">  </w:t>
            </w:r>
            <w:r>
              <w:rPr>
                <w:b/>
                <w:sz w:val="23"/>
                <w:szCs w:val="23"/>
              </w:rPr>
              <w:t xml:space="preserve">Поставщик:</w:t>
            </w:r>
            <w:r>
              <w:rPr>
                <w:b/>
                <w:sz w:val="23"/>
                <w:szCs w:val="23"/>
              </w:rPr>
            </w:r>
          </w:p>
          <w:p>
            <w:pPr>
              <w:pBdr/>
              <w:spacing/>
              <w:ind/>
              <w:rPr>
                <w:b/>
                <w:sz w:val="23"/>
                <w:szCs w:val="23"/>
                <w:lang w:eastAsia="ar-SA"/>
              </w:rPr>
            </w:pPr>
            <w:r>
              <w:rPr>
                <w:b/>
                <w:sz w:val="23"/>
                <w:szCs w:val="23"/>
                <w:lang w:eastAsia="ar-SA"/>
              </w:rPr>
              <w:t xml:space="preserve">Должность</w:t>
            </w:r>
            <w:r>
              <w:rPr>
                <w:b/>
                <w:sz w:val="23"/>
                <w:szCs w:val="23"/>
                <w:lang w:eastAsia="ar-SA"/>
              </w:rPr>
            </w:r>
          </w:p>
          <w:p>
            <w:pPr>
              <w:pBdr/>
              <w:spacing/>
              <w:ind/>
              <w:rPr>
                <w:b/>
                <w:sz w:val="23"/>
                <w:szCs w:val="23"/>
                <w:lang w:eastAsia="ar-SA"/>
              </w:rPr>
            </w:pPr>
            <w:r>
              <w:rPr>
                <w:b/>
                <w:sz w:val="23"/>
                <w:szCs w:val="23"/>
                <w:lang w:eastAsia="ar-SA"/>
              </w:rPr>
            </w:r>
            <w:r>
              <w:rPr>
                <w:b/>
                <w:sz w:val="23"/>
                <w:szCs w:val="23"/>
                <w:lang w:eastAsia="ar-SA"/>
              </w:rPr>
            </w:r>
          </w:p>
          <w:p>
            <w:pPr>
              <w:pBdr/>
              <w:spacing/>
              <w:ind/>
              <w:rPr>
                <w:b/>
                <w:sz w:val="23"/>
                <w:szCs w:val="23"/>
                <w:lang w:eastAsia="ar-SA"/>
              </w:rPr>
            </w:pPr>
            <w:r>
              <w:rPr>
                <w:b/>
                <w:sz w:val="23"/>
                <w:szCs w:val="23"/>
                <w:lang w:eastAsia="ar-SA"/>
              </w:rPr>
            </w:r>
            <w:r>
              <w:rPr>
                <w:b/>
                <w:sz w:val="23"/>
                <w:szCs w:val="23"/>
                <w:lang w:eastAsia="ar-SA"/>
              </w:rPr>
            </w:r>
          </w:p>
          <w:p>
            <w:pPr>
              <w:pBdr/>
              <w:spacing/>
              <w:ind/>
              <w:jc w:val="both"/>
              <w:rPr>
                <w:rFonts w:eastAsia="Calibri"/>
                <w:sz w:val="23"/>
                <w:szCs w:val="23"/>
              </w:rPr>
            </w:pPr>
            <w:r>
              <w:rPr>
                <w:rFonts w:eastAsia="Calibri"/>
                <w:sz w:val="23"/>
                <w:szCs w:val="23"/>
              </w:rPr>
              <w:t xml:space="preserve">________________ </w:t>
            </w:r>
            <w:r>
              <w:rPr>
                <w:sz w:val="23"/>
                <w:szCs w:val="23"/>
              </w:rPr>
              <w:t xml:space="preserve">/______________ /</w:t>
            </w:r>
            <w:r>
              <w:rPr>
                <w:rFonts w:eastAsia="Calibri"/>
                <w:sz w:val="23"/>
                <w:szCs w:val="23"/>
              </w:rPr>
            </w:r>
          </w:p>
          <w:p>
            <w:pPr>
              <w:pBdr/>
              <w:spacing/>
              <w:ind w:hanging="108"/>
              <w:jc w:val="both"/>
              <w:rPr>
                <w:rFonts w:eastAsia="Calibri"/>
                <w:sz w:val="23"/>
                <w:szCs w:val="23"/>
              </w:rPr>
            </w:pPr>
            <w:r>
              <w:rPr>
                <w:rFonts w:eastAsia="Calibri"/>
                <w:sz w:val="23"/>
                <w:szCs w:val="23"/>
              </w:rPr>
              <w:t xml:space="preserve">  Подпись, печать</w:t>
            </w:r>
            <w:r>
              <w:rPr>
                <w:rFonts w:eastAsia="Calibri"/>
                <w:sz w:val="23"/>
                <w:szCs w:val="23"/>
              </w:rPr>
            </w:r>
          </w:p>
        </w:tc>
      </w:tr>
    </w:tbl>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pPr>
      <w:r/>
      <w:r/>
    </w:p>
    <w:p>
      <w:pPr>
        <w:widowControl w:val="false"/>
        <w:pBdr/>
        <w:spacing/>
        <w:ind/>
        <w:jc w:val="right"/>
        <w:rPr>
          <w:sz w:val="20"/>
          <w:szCs w:val="20"/>
        </w:rPr>
      </w:pPr>
      <w:r>
        <w:rPr>
          <w:sz w:val="20"/>
          <w:szCs w:val="20"/>
        </w:rPr>
        <w:t xml:space="preserve">Приложение № 1</w:t>
      </w:r>
      <w:r>
        <w:rPr>
          <w:sz w:val="20"/>
          <w:szCs w:val="20"/>
        </w:rPr>
      </w:r>
    </w:p>
    <w:p>
      <w:pPr>
        <w:widowControl w:val="false"/>
        <w:pBdr/>
        <w:spacing/>
        <w:ind/>
        <w:jc w:val="center"/>
        <w:rPr>
          <w:sz w:val="20"/>
          <w:szCs w:val="20"/>
        </w:rPr>
      </w:pPr>
      <w:r>
        <w:rPr>
          <w:sz w:val="20"/>
          <w:szCs w:val="20"/>
        </w:rPr>
        <w:t xml:space="preserve">                                                                                                                                    к Контракту от «     »               2026  № </w:t>
      </w:r>
      <w:r>
        <w:rPr>
          <w:sz w:val="20"/>
          <w:szCs w:val="20"/>
        </w:rPr>
      </w:r>
    </w:p>
    <w:p>
      <w:pPr>
        <w:widowControl w:val="false"/>
        <w:pBdr/>
        <w:spacing/>
        <w:ind/>
        <w:rPr>
          <w:b/>
        </w:rPr>
      </w:pPr>
      <w:r>
        <w:rPr>
          <w:b/>
        </w:rPr>
      </w:r>
      <w:r>
        <w:rPr>
          <w:b/>
        </w:rPr>
      </w:r>
    </w:p>
    <w:p>
      <w:pPr>
        <w:widowControl w:val="false"/>
        <w:pBdr/>
        <w:spacing/>
        <w:ind/>
        <w:jc w:val="center"/>
        <w:rPr>
          <w:b/>
          <w:sz w:val="22"/>
          <w:szCs w:val="22"/>
        </w:rPr>
      </w:pPr>
      <w:r>
        <w:rPr>
          <w:b/>
          <w:sz w:val="22"/>
          <w:szCs w:val="22"/>
        </w:rPr>
        <w:t xml:space="preserve">Спецификация</w:t>
      </w:r>
      <w:r>
        <w:rPr>
          <w:b/>
          <w:sz w:val="22"/>
          <w:szCs w:val="22"/>
        </w:rPr>
      </w:r>
    </w:p>
    <w:p>
      <w:pPr>
        <w:widowControl w:val="false"/>
        <w:pBdr/>
        <w:spacing/>
        <w:ind/>
        <w:jc w:val="center"/>
        <w:rPr>
          <w:b/>
          <w:sz w:val="22"/>
          <w:szCs w:val="22"/>
        </w:rPr>
      </w:pPr>
      <w:r>
        <w:rPr>
          <w:b/>
          <w:sz w:val="22"/>
          <w:szCs w:val="22"/>
        </w:rPr>
      </w:r>
      <w:r>
        <w:rPr>
          <w:b/>
          <w:sz w:val="22"/>
          <w:szCs w:val="22"/>
        </w:rPr>
      </w:r>
    </w:p>
    <w:p>
      <w:pPr>
        <w:pBdr/>
        <w:spacing/>
        <w:ind w:left="284"/>
        <w:jc w:val="center"/>
        <w:rPr>
          <w:sz w:val="22"/>
          <w:szCs w:val="22"/>
        </w:rPr>
      </w:pPr>
      <w:r>
        <w:rPr>
          <w:bCs/>
          <w:sz w:val="22"/>
          <w:szCs w:val="22"/>
        </w:rPr>
        <w:t xml:space="preserve">на поставку</w:t>
      </w:r>
      <w:r>
        <w:rPr>
          <w:sz w:val="22"/>
          <w:szCs w:val="22"/>
        </w:rPr>
        <w:t xml:space="preserve"> </w:t>
      </w:r>
      <w:r>
        <w:rPr>
          <w:sz w:val="22"/>
          <w:szCs w:val="22"/>
        </w:rPr>
        <w:t xml:space="preserve">кабелей</w:t>
      </w:r>
      <w:r>
        <w:rPr>
          <w:sz w:val="22"/>
          <w:szCs w:val="22"/>
        </w:rPr>
        <w:t xml:space="preserve"> и арматуру кабельную: кабели связи симметричные для цифровых систем передачи, лоток кабельный пластиковый</w:t>
      </w:r>
      <w:r>
        <w:rPr>
          <w:sz w:val="22"/>
          <w:szCs w:val="22"/>
        </w:rPr>
      </w:r>
    </w:p>
    <w:tbl>
      <w:tblPr>
        <w:tblInd w:w="-176" w:type="dxa"/>
        <w:tblW w:w="10632" w:type="dxa"/>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567"/>
        <w:gridCol w:w="2127"/>
        <w:gridCol w:w="1417"/>
        <w:gridCol w:w="992"/>
        <w:gridCol w:w="709"/>
        <w:gridCol w:w="850"/>
        <w:gridCol w:w="992"/>
        <w:gridCol w:w="1276"/>
        <w:gridCol w:w="1702"/>
      </w:tblGrid>
      <w:tr>
        <w:trPr>
          <w:trHeight w:val="275"/>
        </w:trPr>
        <w:tc>
          <w:tcPr>
            <w:tcBorders>
              <w:top w:val="single" w:color="auto" w:sz="6" w:space="0"/>
              <w:left w:val="single" w:color="auto" w:sz="6" w:space="0"/>
              <w:bottom w:val="single" w:color="auto" w:sz="4" w:space="0"/>
              <w:right w:val="single" w:color="auto" w:sz="6" w:space="0"/>
            </w:tcBorders>
            <w:tcW w:w="567" w:type="dxa"/>
            <w:vAlign w:val="center"/>
            <w:textDirection w:val="lrTb"/>
            <w:noWrap w:val="false"/>
          </w:tcPr>
          <w:p>
            <w:pPr>
              <w:pBdr/>
              <w:spacing/>
              <w:ind/>
              <w:jc w:val="center"/>
              <w:rPr>
                <w:sz w:val="22"/>
                <w:szCs w:val="22"/>
              </w:rPr>
            </w:pPr>
            <w:r>
              <w:rPr>
                <w:sz w:val="22"/>
                <w:szCs w:val="22"/>
              </w:rPr>
              <w:t xml:space="preserve">№</w:t>
            </w:r>
            <w:r>
              <w:rPr>
                <w:sz w:val="22"/>
                <w:szCs w:val="22"/>
              </w:rPr>
            </w:r>
          </w:p>
          <w:p>
            <w:pPr>
              <w:pBdr/>
              <w:spacing/>
              <w:ind/>
              <w:jc w:val="center"/>
              <w:rPr>
                <w:sz w:val="22"/>
                <w:szCs w:val="22"/>
              </w:rPr>
            </w:pPr>
            <w:r>
              <w:rPr>
                <w:sz w:val="22"/>
                <w:szCs w:val="22"/>
              </w:rPr>
              <w:t xml:space="preserve">п/п</w:t>
            </w:r>
            <w:r>
              <w:rPr>
                <w:sz w:val="22"/>
                <w:szCs w:val="22"/>
              </w:rPr>
            </w:r>
          </w:p>
        </w:tc>
        <w:tc>
          <w:tcPr>
            <w:tcBorders>
              <w:top w:val="single" w:color="auto" w:sz="6" w:space="0"/>
              <w:left w:val="single" w:color="auto" w:sz="6" w:space="0"/>
              <w:bottom w:val="single" w:color="auto" w:sz="4" w:space="0"/>
              <w:right w:val="single" w:color="auto" w:sz="6" w:space="0"/>
            </w:tcBorders>
            <w:tcW w:w="2127" w:type="dxa"/>
            <w:vAlign w:val="center"/>
            <w:textDirection w:val="lrTb"/>
            <w:noWrap w:val="false"/>
          </w:tcPr>
          <w:p>
            <w:pPr>
              <w:pBdr/>
              <w:spacing/>
              <w:ind/>
              <w:jc w:val="center"/>
              <w:rPr>
                <w:sz w:val="22"/>
                <w:szCs w:val="22"/>
              </w:rPr>
            </w:pPr>
            <w:r>
              <w:rPr>
                <w:sz w:val="22"/>
                <w:szCs w:val="22"/>
              </w:rPr>
              <w:t xml:space="preserve">Наименование</w:t>
            </w:r>
            <w:r>
              <w:rPr>
                <w:sz w:val="22"/>
                <w:szCs w:val="22"/>
              </w:rPr>
            </w:r>
          </w:p>
          <w:p>
            <w:pPr>
              <w:pBdr/>
              <w:spacing/>
              <w:ind/>
              <w:jc w:val="center"/>
              <w:rPr>
                <w:sz w:val="22"/>
                <w:szCs w:val="22"/>
              </w:rPr>
            </w:pPr>
            <w:r>
              <w:rPr>
                <w:sz w:val="22"/>
                <w:szCs w:val="22"/>
              </w:rPr>
              <w:t xml:space="preserve">Товара</w:t>
            </w:r>
            <w:r>
              <w:rPr>
                <w:sz w:val="22"/>
                <w:szCs w:val="22"/>
              </w:rPr>
            </w:r>
          </w:p>
        </w:tc>
        <w:tc>
          <w:tcPr>
            <w:tcBorders>
              <w:top w:val="single" w:color="auto" w:sz="6" w:space="0"/>
              <w:left w:val="single" w:color="auto" w:sz="6" w:space="0"/>
              <w:bottom w:val="single" w:color="auto" w:sz="4" w:space="0"/>
              <w:right w:val="single" w:color="auto" w:sz="6" w:space="0"/>
            </w:tcBorders>
            <w:tcW w:w="1417" w:type="dxa"/>
            <w:vAlign w:val="center"/>
            <w:textDirection w:val="lrTb"/>
            <w:noWrap w:val="false"/>
          </w:tcPr>
          <w:p>
            <w:pPr>
              <w:widowControl w:val="false"/>
              <w:pBdr/>
              <w:spacing/>
              <w:ind/>
              <w:jc w:val="center"/>
              <w:rPr>
                <w:color w:val="000000"/>
                <w:sz w:val="22"/>
                <w:szCs w:val="22"/>
              </w:rPr>
            </w:pPr>
            <w:r>
              <w:rPr>
                <w:color w:val="000000"/>
                <w:sz w:val="22"/>
                <w:szCs w:val="22"/>
              </w:rPr>
              <w:t xml:space="preserve">ОКПД2</w:t>
            </w:r>
            <w:r>
              <w:rPr>
                <w:color w:val="000000"/>
                <w:sz w:val="22"/>
                <w:szCs w:val="22"/>
              </w:rPr>
            </w:r>
          </w:p>
        </w:tc>
        <w:tc>
          <w:tcPr>
            <w:tcBorders>
              <w:top w:val="single" w:color="auto" w:sz="6" w:space="0"/>
              <w:left w:val="single" w:color="auto" w:sz="6" w:space="0"/>
              <w:bottom w:val="single" w:color="auto" w:sz="4" w:space="0"/>
              <w:right w:val="single" w:color="auto" w:sz="6" w:space="0"/>
            </w:tcBorders>
            <w:tcW w:w="992" w:type="dxa"/>
            <w:vAlign w:val="center"/>
            <w:textDirection w:val="lrTb"/>
            <w:noWrap w:val="false"/>
          </w:tcPr>
          <w:p>
            <w:pPr>
              <w:pBdr/>
              <w:spacing/>
              <w:ind/>
              <w:jc w:val="center"/>
              <w:rPr>
                <w:sz w:val="22"/>
                <w:szCs w:val="22"/>
              </w:rPr>
            </w:pPr>
            <w:r>
              <w:rPr>
                <w:sz w:val="22"/>
                <w:szCs w:val="22"/>
              </w:rPr>
              <w:t xml:space="preserve">Страна происхождения товара</w:t>
            </w:r>
            <w:r>
              <w:rPr>
                <w:sz w:val="22"/>
                <w:szCs w:val="22"/>
              </w:rPr>
            </w:r>
          </w:p>
        </w:tc>
        <w:tc>
          <w:tcPr>
            <w:tcBorders>
              <w:top w:val="single" w:color="auto" w:sz="6" w:space="0"/>
              <w:left w:val="single" w:color="auto" w:sz="6" w:space="0"/>
              <w:bottom w:val="single" w:color="auto" w:sz="4" w:space="0"/>
              <w:right w:val="single" w:color="auto" w:sz="6" w:space="0"/>
            </w:tcBorders>
            <w:tcW w:w="709" w:type="dxa"/>
            <w:vAlign w:val="center"/>
            <w:textDirection w:val="lrTb"/>
            <w:noWrap w:val="false"/>
          </w:tcPr>
          <w:p>
            <w:pPr>
              <w:pBdr/>
              <w:spacing/>
              <w:ind/>
              <w:jc w:val="center"/>
              <w:rPr>
                <w:sz w:val="22"/>
                <w:szCs w:val="22"/>
              </w:rPr>
            </w:pPr>
            <w:r>
              <w:rPr>
                <w:sz w:val="22"/>
                <w:szCs w:val="22"/>
              </w:rPr>
              <w:t xml:space="preserve">Ед. изм. </w:t>
            </w:r>
            <w:r>
              <w:rPr>
                <w:sz w:val="22"/>
                <w:szCs w:val="22"/>
              </w:rPr>
            </w:r>
          </w:p>
        </w:tc>
        <w:tc>
          <w:tcPr>
            <w:tcBorders>
              <w:top w:val="single" w:color="auto" w:sz="6" w:space="0"/>
              <w:left w:val="single" w:color="auto" w:sz="6" w:space="0"/>
              <w:bottom w:val="single" w:color="auto" w:sz="4" w:space="0"/>
              <w:right w:val="single" w:color="auto" w:sz="6" w:space="0"/>
            </w:tcBorders>
            <w:tcW w:w="850" w:type="dxa"/>
            <w:vAlign w:val="center"/>
            <w:textDirection w:val="lrTb"/>
            <w:noWrap w:val="false"/>
          </w:tcPr>
          <w:p>
            <w:pPr>
              <w:pBdr/>
              <w:spacing/>
              <w:ind/>
              <w:jc w:val="center"/>
              <w:rPr>
                <w:sz w:val="22"/>
                <w:szCs w:val="22"/>
              </w:rPr>
            </w:pPr>
            <w:r>
              <w:rPr>
                <w:sz w:val="22"/>
                <w:szCs w:val="22"/>
              </w:rPr>
              <w:t xml:space="preserve">Кол-во </w:t>
            </w:r>
            <w:r>
              <w:rPr>
                <w:sz w:val="22"/>
                <w:szCs w:val="22"/>
              </w:rPr>
            </w:r>
          </w:p>
        </w:tc>
        <w:tc>
          <w:tcPr>
            <w:tcBorders>
              <w:top w:val="single" w:color="auto" w:sz="6" w:space="0"/>
              <w:left w:val="single" w:color="auto" w:sz="6" w:space="0"/>
              <w:bottom w:val="single" w:color="auto" w:sz="4" w:space="0"/>
              <w:right w:val="single" w:color="auto" w:sz="6" w:space="0"/>
            </w:tcBorders>
            <w:tcW w:w="992" w:type="dxa"/>
            <w:vAlign w:val="center"/>
            <w:textDirection w:val="lrTb"/>
            <w:noWrap w:val="false"/>
          </w:tcPr>
          <w:p>
            <w:pPr>
              <w:pBdr/>
              <w:spacing/>
              <w:ind/>
              <w:jc w:val="center"/>
              <w:rPr>
                <w:sz w:val="22"/>
                <w:szCs w:val="22"/>
              </w:rPr>
            </w:pPr>
            <w:r>
              <w:rPr>
                <w:sz w:val="22"/>
                <w:szCs w:val="22"/>
              </w:rPr>
              <w:t xml:space="preserve">Цена за единицу с НДС, в руб.</w:t>
            </w:r>
            <w:r>
              <w:rPr>
                <w:sz w:val="22"/>
                <w:szCs w:val="22"/>
              </w:rPr>
            </w:r>
          </w:p>
        </w:tc>
        <w:tc>
          <w:tcPr>
            <w:tcBorders>
              <w:top w:val="single" w:color="auto" w:sz="6" w:space="0"/>
              <w:left w:val="single" w:color="auto" w:sz="6" w:space="0"/>
              <w:bottom w:val="single" w:color="auto" w:sz="4" w:space="0"/>
              <w:right w:val="single" w:color="auto" w:sz="6" w:space="0"/>
            </w:tcBorders>
            <w:tcW w:w="1276" w:type="dxa"/>
            <w:vAlign w:val="center"/>
            <w:textDirection w:val="lrTb"/>
            <w:noWrap w:val="false"/>
          </w:tcPr>
          <w:p>
            <w:pPr>
              <w:pBdr/>
              <w:spacing/>
              <w:ind/>
              <w:jc w:val="center"/>
              <w:rPr>
                <w:sz w:val="22"/>
                <w:szCs w:val="22"/>
              </w:rPr>
            </w:pPr>
            <w:r>
              <w:rPr>
                <w:sz w:val="22"/>
                <w:szCs w:val="22"/>
              </w:rPr>
              <w:t xml:space="preserve">Сумма НДС в руб.</w:t>
            </w:r>
            <w:r>
              <w:rPr>
                <w:sz w:val="22"/>
                <w:szCs w:val="22"/>
              </w:rPr>
            </w:r>
          </w:p>
        </w:tc>
        <w:tc>
          <w:tcPr>
            <w:tcBorders>
              <w:top w:val="single" w:color="auto" w:sz="6" w:space="0"/>
              <w:left w:val="single" w:color="auto" w:sz="6" w:space="0"/>
              <w:bottom w:val="single" w:color="auto" w:sz="4" w:space="0"/>
              <w:right w:val="single" w:color="auto" w:sz="6" w:space="0"/>
            </w:tcBorders>
            <w:tcW w:w="1702" w:type="dxa"/>
            <w:vAlign w:val="center"/>
            <w:textDirection w:val="lrTb"/>
            <w:noWrap w:val="false"/>
          </w:tcPr>
          <w:p>
            <w:pPr>
              <w:pBdr/>
              <w:spacing/>
              <w:ind/>
              <w:jc w:val="center"/>
              <w:rPr>
                <w:sz w:val="22"/>
                <w:szCs w:val="22"/>
              </w:rPr>
            </w:pPr>
            <w:r>
              <w:rPr>
                <w:sz w:val="22"/>
                <w:szCs w:val="22"/>
              </w:rPr>
              <w:t xml:space="preserve">Стоимость с НДС в руб.</w:t>
            </w:r>
            <w:r>
              <w:rPr>
                <w:sz w:val="22"/>
                <w:szCs w:val="22"/>
              </w:rPr>
            </w:r>
          </w:p>
        </w:tc>
      </w:tr>
      <w:tr>
        <w:trPr>
          <w:trHeight w:val="618"/>
        </w:trPr>
        <w:tc>
          <w:tcPr>
            <w:tcBorders>
              <w:top w:val="single" w:color="auto" w:sz="6" w:space="0"/>
              <w:left w:val="single" w:color="auto" w:sz="6" w:space="0"/>
              <w:bottom w:val="single" w:color="auto" w:sz="4" w:space="0"/>
              <w:right w:val="single" w:color="auto" w:sz="6" w:space="0"/>
            </w:tcBorders>
            <w:tcW w:w="567" w:type="dxa"/>
            <w:vAlign w:val="center"/>
            <w:textDirection w:val="lrTb"/>
            <w:noWrap w:val="false"/>
          </w:tcPr>
          <w:p>
            <w:pPr>
              <w:pBdr/>
              <w:spacing/>
              <w:ind/>
              <w:jc w:val="center"/>
              <w:rPr>
                <w:sz w:val="22"/>
                <w:szCs w:val="22"/>
              </w:rPr>
            </w:pPr>
            <w:r/>
            <w:bookmarkStart w:id="27" w:name="OLE_LINK1"/>
            <w:r/>
            <w:bookmarkStart w:id="28" w:name="OLE_LINK2"/>
            <w:r/>
            <w:bookmarkStart w:id="29" w:name="OLE_LINK3"/>
            <w:r/>
            <w:bookmarkStart w:id="30" w:name="OLE_LINK4"/>
            <w:r/>
            <w:bookmarkStart w:id="31" w:name="OLE_LINK5"/>
            <w:r>
              <w:rPr>
                <w:sz w:val="22"/>
                <w:szCs w:val="22"/>
              </w:rPr>
              <w:t xml:space="preserve">1</w:t>
            </w:r>
            <w:r>
              <w:rPr>
                <w:sz w:val="22"/>
                <w:szCs w:val="22"/>
              </w:rPr>
            </w:r>
          </w:p>
        </w:tc>
        <w:tc>
          <w:tcPr>
            <w:tcBorders>
              <w:top w:val="single" w:color="auto" w:sz="6" w:space="0"/>
              <w:left w:val="single" w:color="auto" w:sz="6" w:space="0"/>
              <w:bottom w:val="single" w:color="auto" w:sz="4" w:space="0"/>
              <w:right w:val="single" w:color="auto" w:sz="6" w:space="0"/>
            </w:tcBorders>
            <w:tcW w:w="2127" w:type="dxa"/>
            <w:vAlign w:val="center"/>
            <w:textDirection w:val="lrTb"/>
            <w:noWrap w:val="false"/>
          </w:tcPr>
          <w:p>
            <w:pPr>
              <w:pBdr/>
              <w:spacing/>
              <w:ind/>
              <w:rPr/>
            </w:pPr>
            <w:r/>
            <w:r/>
          </w:p>
        </w:tc>
        <w:tc>
          <w:tcPr>
            <w:tcBorders>
              <w:top w:val="single" w:color="auto" w:sz="6" w:space="0"/>
              <w:left w:val="single" w:color="auto" w:sz="6" w:space="0"/>
              <w:bottom w:val="single" w:color="auto" w:sz="4" w:space="0"/>
              <w:right w:val="single" w:color="auto" w:sz="6" w:space="0"/>
            </w:tcBorders>
            <w:tcW w:w="1417" w:type="dxa"/>
            <w:vAlign w:val="center"/>
            <w:textDirection w:val="lrTb"/>
            <w:noWrap w:val="false"/>
          </w:tcPr>
          <w:p>
            <w:pPr>
              <w:pBdr/>
              <w:spacing/>
              <w:ind/>
              <w:rPr>
                <w:sz w:val="22"/>
                <w:szCs w:val="22"/>
              </w:rPr>
            </w:pPr>
            <w:r>
              <w:rPr>
                <w:sz w:val="22"/>
                <w:szCs w:val="22"/>
              </w:rPr>
              <w:t xml:space="preserve">27.32.13.159</w:t>
            </w:r>
            <w:r>
              <w:rPr>
                <w:sz w:val="22"/>
                <w:szCs w:val="22"/>
              </w:rPr>
            </w:r>
          </w:p>
        </w:tc>
        <w:tc>
          <w:tcPr>
            <w:tcBorders>
              <w:top w:val="single" w:color="auto" w:sz="6" w:space="0"/>
              <w:left w:val="single" w:color="auto" w:sz="6" w:space="0"/>
              <w:bottom w:val="single" w:color="auto" w:sz="4" w:space="0"/>
              <w:right w:val="single" w:color="auto" w:sz="6" w:space="0"/>
            </w:tcBorders>
            <w:tcW w:w="992" w:type="dxa"/>
            <w:vAlign w:val="center"/>
            <w:textDirection w:val="lrTb"/>
            <w:noWrap w:val="false"/>
          </w:tcPr>
          <w:p>
            <w:pPr>
              <w:pBdr/>
              <w:spacing/>
              <w:ind/>
              <w:rPr/>
            </w:pPr>
            <w:r/>
            <w:r/>
          </w:p>
        </w:tc>
        <w:tc>
          <w:tcPr>
            <w:tcBorders>
              <w:top w:val="single" w:color="auto" w:sz="6" w:space="0"/>
              <w:left w:val="single" w:color="auto" w:sz="6" w:space="0"/>
              <w:bottom w:val="single" w:color="auto" w:sz="4" w:space="0"/>
              <w:right w:val="single" w:color="auto" w:sz="6" w:space="0"/>
            </w:tcBorders>
            <w:tcW w:w="709" w:type="dxa"/>
            <w:vAlign w:val="center"/>
            <w:textDirection w:val="lrTb"/>
            <w:noWrap w:val="false"/>
          </w:tcPr>
          <w:p>
            <w:pPr>
              <w:pBdr/>
              <w:spacing/>
              <w:ind/>
              <w:jc w:val="center"/>
              <w:rPr/>
            </w:pPr>
            <w:r>
              <w:t xml:space="preserve">метр</w:t>
            </w:r>
            <w:r/>
          </w:p>
        </w:tc>
        <w:tc>
          <w:tcPr>
            <w:tcBorders>
              <w:top w:val="single" w:color="auto" w:sz="6" w:space="0"/>
              <w:left w:val="single" w:color="auto" w:sz="6" w:space="0"/>
              <w:bottom w:val="single" w:color="auto" w:sz="4" w:space="0"/>
              <w:right w:val="single" w:color="auto" w:sz="6" w:space="0"/>
            </w:tcBorders>
            <w:tcW w:w="850" w:type="dxa"/>
            <w:vAlign w:val="center"/>
            <w:textDirection w:val="lrTb"/>
            <w:noWrap w:val="false"/>
          </w:tcPr>
          <w:p>
            <w:pPr>
              <w:pBdr/>
              <w:spacing/>
              <w:ind/>
              <w:jc w:val="center"/>
              <w:rPr/>
            </w:pPr>
            <w:r>
              <w:t xml:space="preserve">2440</w:t>
            </w:r>
            <w:r/>
          </w:p>
        </w:tc>
        <w:tc>
          <w:tcPr>
            <w:tcBorders>
              <w:top w:val="single" w:color="auto" w:sz="6" w:space="0"/>
              <w:left w:val="single" w:color="auto" w:sz="6" w:space="0"/>
              <w:bottom w:val="single" w:color="auto" w:sz="4" w:space="0"/>
              <w:right w:val="single" w:color="auto" w:sz="6" w:space="0"/>
            </w:tcBorders>
            <w:tcW w:w="992" w:type="dxa"/>
            <w:vAlign w:val="center"/>
            <w:textDirection w:val="lrTb"/>
            <w:noWrap w:val="false"/>
          </w:tcPr>
          <w:p>
            <w:pPr>
              <w:pBdr/>
              <w:spacing/>
              <w:ind/>
              <w:jc w:val="center"/>
              <w:rPr/>
            </w:pPr>
            <w:r/>
            <w:r/>
          </w:p>
        </w:tc>
        <w:tc>
          <w:tcPr>
            <w:tcBorders>
              <w:top w:val="single" w:color="auto" w:sz="6" w:space="0"/>
              <w:left w:val="single" w:color="auto" w:sz="6" w:space="0"/>
              <w:bottom w:val="single" w:color="auto" w:sz="4" w:space="0"/>
              <w:right w:val="single" w:color="auto" w:sz="6" w:space="0"/>
            </w:tcBorders>
            <w:tcW w:w="1276" w:type="dxa"/>
            <w:vAlign w:val="center"/>
            <w:textDirection w:val="lrTb"/>
            <w:noWrap w:val="false"/>
          </w:tcPr>
          <w:p>
            <w:pPr>
              <w:pBdr/>
              <w:spacing/>
              <w:ind/>
              <w:jc w:val="center"/>
              <w:rPr/>
            </w:pPr>
            <w:r/>
            <w:bookmarkEnd w:id="27"/>
            <w:r/>
          </w:p>
        </w:tc>
        <w:tc>
          <w:tcPr>
            <w:tcBorders>
              <w:top w:val="single" w:color="auto" w:sz="6" w:space="0"/>
              <w:left w:val="single" w:color="auto" w:sz="6" w:space="0"/>
              <w:bottom w:val="single" w:color="auto" w:sz="4" w:space="0"/>
              <w:right w:val="single" w:color="auto" w:sz="6" w:space="0"/>
            </w:tcBorders>
            <w:tcW w:w="1702" w:type="dxa"/>
            <w:vAlign w:val="center"/>
            <w:textDirection w:val="lrTb"/>
            <w:noWrap w:val="false"/>
          </w:tcPr>
          <w:p>
            <w:pPr>
              <w:pBdr/>
              <w:spacing/>
              <w:ind/>
              <w:jc w:val="center"/>
              <w:rPr/>
            </w:pPr>
            <w:r/>
            <w:r/>
          </w:p>
        </w:tc>
      </w:tr>
      <w:tr>
        <w:trPr>
          <w:trHeight w:val="618"/>
        </w:trPr>
        <w:tc>
          <w:tcPr>
            <w:tcBorders>
              <w:top w:val="single" w:color="auto" w:sz="6" w:space="0"/>
              <w:left w:val="single" w:color="auto" w:sz="6" w:space="0"/>
              <w:bottom w:val="single" w:color="auto" w:sz="4" w:space="0"/>
              <w:right w:val="single" w:color="auto" w:sz="6" w:space="0"/>
            </w:tcBorders>
            <w:tcW w:w="567" w:type="dxa"/>
            <w:vAlign w:val="center"/>
            <w:textDirection w:val="lrTb"/>
            <w:noWrap w:val="false"/>
          </w:tcPr>
          <w:p>
            <w:pPr>
              <w:pBdr/>
              <w:spacing/>
              <w:ind/>
              <w:jc w:val="center"/>
              <w:rPr>
                <w:sz w:val="22"/>
                <w:szCs w:val="22"/>
              </w:rPr>
            </w:pPr>
            <w:r>
              <w:rPr>
                <w:sz w:val="22"/>
                <w:szCs w:val="22"/>
              </w:rPr>
              <w:t xml:space="preserve">2</w:t>
            </w:r>
            <w:r>
              <w:rPr>
                <w:sz w:val="22"/>
                <w:szCs w:val="22"/>
              </w:rPr>
            </w:r>
          </w:p>
        </w:tc>
        <w:tc>
          <w:tcPr>
            <w:tcBorders>
              <w:top w:val="single" w:color="auto" w:sz="6" w:space="0"/>
              <w:left w:val="single" w:color="auto" w:sz="6" w:space="0"/>
              <w:bottom w:val="single" w:color="auto" w:sz="4" w:space="0"/>
              <w:right w:val="single" w:color="auto" w:sz="6" w:space="0"/>
            </w:tcBorders>
            <w:tcW w:w="2127" w:type="dxa"/>
            <w:vAlign w:val="center"/>
            <w:textDirection w:val="lrTb"/>
            <w:noWrap w:val="false"/>
          </w:tcPr>
          <w:p>
            <w:pPr>
              <w:pBdr/>
              <w:spacing/>
              <w:ind/>
              <w:rPr/>
            </w:pPr>
            <w:r/>
            <w:r/>
          </w:p>
        </w:tc>
        <w:tc>
          <w:tcPr>
            <w:tcBorders>
              <w:top w:val="single" w:color="auto" w:sz="6" w:space="0"/>
              <w:left w:val="single" w:color="auto" w:sz="6" w:space="0"/>
              <w:bottom w:val="single" w:color="auto" w:sz="4" w:space="0"/>
              <w:right w:val="single" w:color="auto" w:sz="6" w:space="0"/>
            </w:tcBorders>
            <w:tcW w:w="1417" w:type="dxa"/>
            <w:vAlign w:val="center"/>
            <w:textDirection w:val="lrTb"/>
            <w:noWrap w:val="false"/>
          </w:tcPr>
          <w:p>
            <w:pPr>
              <w:pBdr/>
              <w:spacing/>
              <w:ind/>
              <w:rPr>
                <w:sz w:val="22"/>
                <w:szCs w:val="22"/>
              </w:rPr>
            </w:pPr>
            <w:r>
              <w:rPr>
                <w:sz w:val="22"/>
                <w:szCs w:val="22"/>
              </w:rPr>
              <w:t xml:space="preserve">22.29.29.190</w:t>
            </w:r>
            <w:r>
              <w:rPr>
                <w:sz w:val="22"/>
                <w:szCs w:val="22"/>
              </w:rPr>
            </w:r>
          </w:p>
        </w:tc>
        <w:tc>
          <w:tcPr>
            <w:tcBorders>
              <w:top w:val="single" w:color="auto" w:sz="6" w:space="0"/>
              <w:left w:val="single" w:color="auto" w:sz="6" w:space="0"/>
              <w:bottom w:val="single" w:color="auto" w:sz="4" w:space="0"/>
              <w:right w:val="single" w:color="auto" w:sz="6" w:space="0"/>
            </w:tcBorders>
            <w:tcW w:w="992" w:type="dxa"/>
            <w:vAlign w:val="center"/>
            <w:textDirection w:val="lrTb"/>
            <w:noWrap w:val="false"/>
          </w:tcPr>
          <w:p>
            <w:pPr>
              <w:pBdr/>
              <w:spacing/>
              <w:ind/>
              <w:rPr/>
            </w:pPr>
            <w:r/>
            <w:r/>
          </w:p>
        </w:tc>
        <w:tc>
          <w:tcPr>
            <w:tcBorders>
              <w:top w:val="single" w:color="auto" w:sz="6" w:space="0"/>
              <w:left w:val="single" w:color="auto" w:sz="6" w:space="0"/>
              <w:bottom w:val="single" w:color="auto" w:sz="4" w:space="0"/>
              <w:right w:val="single" w:color="auto" w:sz="6" w:space="0"/>
            </w:tcBorders>
            <w:tcW w:w="709" w:type="dxa"/>
            <w:vAlign w:val="center"/>
            <w:textDirection w:val="lrTb"/>
            <w:noWrap w:val="false"/>
          </w:tcPr>
          <w:p>
            <w:pPr>
              <w:pBdr/>
              <w:spacing/>
              <w:ind/>
              <w:jc w:val="center"/>
              <w:rPr/>
            </w:pPr>
            <w:r>
              <w:t xml:space="preserve">штука</w:t>
            </w:r>
            <w:r/>
          </w:p>
        </w:tc>
        <w:tc>
          <w:tcPr>
            <w:tcBorders>
              <w:top w:val="single" w:color="auto" w:sz="6" w:space="0"/>
              <w:left w:val="single" w:color="auto" w:sz="6" w:space="0"/>
              <w:bottom w:val="single" w:color="auto" w:sz="4" w:space="0"/>
              <w:right w:val="single" w:color="auto" w:sz="6" w:space="0"/>
            </w:tcBorders>
            <w:tcW w:w="850" w:type="dxa"/>
            <w:vAlign w:val="center"/>
            <w:textDirection w:val="lrTb"/>
            <w:noWrap w:val="false"/>
          </w:tcPr>
          <w:p>
            <w:pPr>
              <w:pBdr/>
              <w:spacing/>
              <w:ind/>
              <w:jc w:val="center"/>
              <w:rPr/>
            </w:pPr>
            <w:r>
              <w:t xml:space="preserve">50</w:t>
            </w:r>
            <w:r/>
          </w:p>
        </w:tc>
        <w:tc>
          <w:tcPr>
            <w:tcBorders>
              <w:top w:val="single" w:color="auto" w:sz="6" w:space="0"/>
              <w:left w:val="single" w:color="auto" w:sz="6" w:space="0"/>
              <w:bottom w:val="single" w:color="auto" w:sz="4" w:space="0"/>
              <w:right w:val="single" w:color="auto" w:sz="6" w:space="0"/>
            </w:tcBorders>
            <w:tcW w:w="992" w:type="dxa"/>
            <w:vAlign w:val="center"/>
            <w:textDirection w:val="lrTb"/>
            <w:noWrap w:val="false"/>
          </w:tcPr>
          <w:p>
            <w:pPr>
              <w:pBdr/>
              <w:spacing/>
              <w:ind/>
              <w:jc w:val="center"/>
              <w:rPr/>
            </w:pPr>
            <w:r/>
            <w:r/>
          </w:p>
        </w:tc>
        <w:tc>
          <w:tcPr>
            <w:tcBorders>
              <w:top w:val="single" w:color="auto" w:sz="6" w:space="0"/>
              <w:left w:val="single" w:color="auto" w:sz="6" w:space="0"/>
              <w:bottom w:val="single" w:color="auto" w:sz="4" w:space="0"/>
              <w:right w:val="single" w:color="auto" w:sz="6" w:space="0"/>
            </w:tcBorders>
            <w:tcW w:w="1276" w:type="dxa"/>
            <w:vAlign w:val="center"/>
            <w:textDirection w:val="lrTb"/>
            <w:noWrap w:val="false"/>
          </w:tcPr>
          <w:p>
            <w:pPr>
              <w:pBdr/>
              <w:spacing/>
              <w:ind/>
              <w:jc w:val="center"/>
              <w:rPr/>
            </w:pPr>
            <w:r/>
            <w:bookmarkEnd w:id="28"/>
            <w:bookmarkEnd w:id="29"/>
            <w:bookmarkEnd w:id="30"/>
            <w:bookmarkEnd w:id="31"/>
            <w:r/>
          </w:p>
        </w:tc>
        <w:tc>
          <w:tcPr>
            <w:tcBorders>
              <w:top w:val="single" w:color="auto" w:sz="6" w:space="0"/>
              <w:left w:val="single" w:color="auto" w:sz="6" w:space="0"/>
              <w:bottom w:val="single" w:color="auto" w:sz="4" w:space="0"/>
              <w:right w:val="single" w:color="auto" w:sz="6" w:space="0"/>
            </w:tcBorders>
            <w:tcW w:w="1702" w:type="dxa"/>
            <w:vAlign w:val="center"/>
            <w:textDirection w:val="lrTb"/>
            <w:noWrap w:val="false"/>
          </w:tcPr>
          <w:p>
            <w:pPr>
              <w:pBdr/>
              <w:spacing/>
              <w:ind/>
              <w:jc w:val="center"/>
              <w:rPr/>
            </w:pPr>
            <w:r/>
            <w:r/>
          </w:p>
        </w:tc>
      </w:tr>
      <w:tr>
        <w:trPr>
          <w:trHeight w:val="276"/>
        </w:trPr>
        <w:tc>
          <w:tcPr>
            <w:tcBorders>
              <w:top w:val="single" w:color="auto" w:sz="6" w:space="0"/>
              <w:left w:val="single" w:color="auto" w:sz="6" w:space="0"/>
              <w:bottom w:val="single" w:color="auto" w:sz="4" w:space="0"/>
              <w:right w:val="single" w:color="auto" w:sz="6" w:space="0"/>
            </w:tcBorders>
            <w:tcW w:w="567" w:type="dxa"/>
            <w:textDirection w:val="lrTb"/>
            <w:noWrap w:val="false"/>
          </w:tcPr>
          <w:p>
            <w:pPr>
              <w:pBdr/>
              <w:spacing/>
              <w:ind/>
              <w:jc w:val="center"/>
              <w:rPr>
                <w:b/>
                <w:sz w:val="22"/>
                <w:szCs w:val="22"/>
              </w:rPr>
            </w:pPr>
            <w:r>
              <w:rPr>
                <w:b/>
                <w:sz w:val="22"/>
                <w:szCs w:val="22"/>
              </w:rPr>
            </w:r>
            <w:r>
              <w:rPr>
                <w:b/>
                <w:sz w:val="22"/>
                <w:szCs w:val="22"/>
              </w:rPr>
            </w:r>
          </w:p>
        </w:tc>
        <w:tc>
          <w:tcPr>
            <w:tcBorders>
              <w:top w:val="single" w:color="auto" w:sz="6" w:space="0"/>
              <w:left w:val="single" w:color="auto" w:sz="6" w:space="0"/>
              <w:bottom w:val="single" w:color="auto" w:sz="4" w:space="0"/>
              <w:right w:val="single" w:color="auto" w:sz="6" w:space="0"/>
            </w:tcBorders>
            <w:tcW w:w="2127" w:type="dxa"/>
            <w:textDirection w:val="lrTb"/>
            <w:noWrap w:val="false"/>
          </w:tcPr>
          <w:p>
            <w:pPr>
              <w:pBdr/>
              <w:spacing/>
              <w:ind/>
              <w:rPr>
                <w:sz w:val="22"/>
                <w:szCs w:val="22"/>
              </w:rPr>
            </w:pPr>
            <w:r>
              <w:rPr>
                <w:sz w:val="22"/>
                <w:szCs w:val="22"/>
              </w:rPr>
              <w:t xml:space="preserve">ИТОГО </w:t>
            </w:r>
            <w:r>
              <w:rPr>
                <w:sz w:val="22"/>
                <w:szCs w:val="22"/>
              </w:rPr>
            </w:r>
          </w:p>
        </w:tc>
        <w:tc>
          <w:tcPr>
            <w:tcBorders>
              <w:top w:val="single" w:color="auto" w:sz="6" w:space="0"/>
              <w:left w:val="single" w:color="auto" w:sz="6" w:space="0"/>
              <w:bottom w:val="single" w:color="auto" w:sz="4" w:space="0"/>
              <w:right w:val="single" w:color="auto" w:sz="6" w:space="0"/>
            </w:tcBorders>
            <w:tcW w:w="1417" w:type="dxa"/>
            <w:textDirection w:val="lrTb"/>
            <w:noWrap w:val="false"/>
          </w:tcPr>
          <w:p>
            <w:pPr>
              <w:pBdr/>
              <w:spacing/>
              <w:ind/>
              <w:rPr/>
            </w:pPr>
            <w:r/>
            <w:r/>
          </w:p>
        </w:tc>
        <w:tc>
          <w:tcPr>
            <w:tcBorders>
              <w:top w:val="single" w:color="auto" w:sz="6" w:space="0"/>
              <w:left w:val="single" w:color="auto" w:sz="6" w:space="0"/>
              <w:bottom w:val="single" w:color="auto" w:sz="4" w:space="0"/>
              <w:right w:val="single" w:color="auto" w:sz="6" w:space="0"/>
            </w:tcBorders>
            <w:tcW w:w="992" w:type="dxa"/>
            <w:textDirection w:val="lrTb"/>
            <w:noWrap w:val="false"/>
          </w:tcPr>
          <w:p>
            <w:pPr>
              <w:pBdr/>
              <w:spacing/>
              <w:ind/>
              <w:rPr>
                <w:sz w:val="22"/>
                <w:szCs w:val="22"/>
              </w:rPr>
            </w:pPr>
            <w:r>
              <w:rPr>
                <w:sz w:val="22"/>
                <w:szCs w:val="22"/>
              </w:rPr>
            </w:r>
            <w:r>
              <w:rPr>
                <w:sz w:val="22"/>
                <w:szCs w:val="22"/>
              </w:rPr>
            </w:r>
          </w:p>
        </w:tc>
        <w:tc>
          <w:tcPr>
            <w:tcBorders>
              <w:top w:val="single" w:color="auto" w:sz="6" w:space="0"/>
              <w:left w:val="single" w:color="auto" w:sz="6" w:space="0"/>
              <w:bottom w:val="single" w:color="auto" w:sz="4" w:space="0"/>
              <w:right w:val="single" w:color="auto" w:sz="6" w:space="0"/>
            </w:tcBorders>
            <w:tcW w:w="709" w:type="dxa"/>
            <w:textDirection w:val="lrTb"/>
            <w:noWrap w:val="false"/>
          </w:tcPr>
          <w:p>
            <w:pPr>
              <w:pBdr/>
              <w:spacing/>
              <w:ind/>
              <w:jc w:val="center"/>
              <w:rPr>
                <w:sz w:val="22"/>
                <w:szCs w:val="22"/>
              </w:rPr>
            </w:pPr>
            <w:r>
              <w:rPr>
                <w:sz w:val="22"/>
                <w:szCs w:val="22"/>
              </w:rPr>
            </w:r>
            <w:r>
              <w:rPr>
                <w:sz w:val="22"/>
                <w:szCs w:val="22"/>
              </w:rPr>
            </w:r>
          </w:p>
        </w:tc>
        <w:tc>
          <w:tcPr>
            <w:tcBorders>
              <w:top w:val="single" w:color="auto" w:sz="6" w:space="0"/>
              <w:left w:val="single" w:color="auto" w:sz="6" w:space="0"/>
              <w:bottom w:val="single" w:color="auto" w:sz="4" w:space="0"/>
              <w:right w:val="single" w:color="auto" w:sz="6" w:space="0"/>
            </w:tcBorders>
            <w:tcW w:w="850" w:type="dxa"/>
            <w:textDirection w:val="lrTb"/>
            <w:noWrap w:val="false"/>
          </w:tcPr>
          <w:p>
            <w:pPr>
              <w:pBdr/>
              <w:spacing/>
              <w:ind/>
              <w:jc w:val="center"/>
              <w:rPr>
                <w:sz w:val="22"/>
                <w:szCs w:val="22"/>
              </w:rPr>
            </w:pPr>
            <w:r>
              <w:rPr>
                <w:sz w:val="22"/>
                <w:szCs w:val="22"/>
              </w:rPr>
            </w:r>
            <w:r>
              <w:rPr>
                <w:sz w:val="22"/>
                <w:szCs w:val="22"/>
              </w:rPr>
            </w:r>
          </w:p>
        </w:tc>
        <w:tc>
          <w:tcPr>
            <w:tcBorders>
              <w:top w:val="single" w:color="auto" w:sz="6" w:space="0"/>
              <w:left w:val="single" w:color="auto" w:sz="6" w:space="0"/>
              <w:bottom w:val="single" w:color="auto" w:sz="4" w:space="0"/>
              <w:right w:val="single" w:color="auto" w:sz="6" w:space="0"/>
            </w:tcBorders>
            <w:tcW w:w="992" w:type="dxa"/>
            <w:textDirection w:val="lrTb"/>
            <w:noWrap w:val="false"/>
          </w:tcPr>
          <w:p>
            <w:pPr>
              <w:pBdr/>
              <w:spacing/>
              <w:ind/>
              <w:jc w:val="center"/>
              <w:rPr>
                <w:sz w:val="22"/>
                <w:szCs w:val="22"/>
              </w:rPr>
            </w:pPr>
            <w:r>
              <w:rPr>
                <w:sz w:val="22"/>
                <w:szCs w:val="22"/>
              </w:rPr>
            </w:r>
            <w:r>
              <w:rPr>
                <w:sz w:val="22"/>
                <w:szCs w:val="22"/>
              </w:rPr>
            </w:r>
          </w:p>
        </w:tc>
        <w:tc>
          <w:tcPr>
            <w:tcBorders>
              <w:top w:val="single" w:color="auto" w:sz="6" w:space="0"/>
              <w:left w:val="single" w:color="auto" w:sz="6" w:space="0"/>
              <w:bottom w:val="single" w:color="auto" w:sz="4" w:space="0"/>
              <w:right w:val="single" w:color="auto" w:sz="6" w:space="0"/>
            </w:tcBorders>
            <w:tcW w:w="1276" w:type="dxa"/>
            <w:textDirection w:val="lrTb"/>
            <w:noWrap w:val="false"/>
          </w:tcPr>
          <w:p>
            <w:pPr>
              <w:pBdr/>
              <w:spacing/>
              <w:ind/>
              <w:jc w:val="center"/>
              <w:rPr/>
            </w:pPr>
            <w:r/>
            <w:r/>
          </w:p>
        </w:tc>
        <w:tc>
          <w:tcPr>
            <w:tcBorders>
              <w:top w:val="single" w:color="auto" w:sz="6" w:space="0"/>
              <w:left w:val="single" w:color="auto" w:sz="6" w:space="0"/>
              <w:bottom w:val="single" w:color="auto" w:sz="4" w:space="0"/>
              <w:right w:val="single" w:color="auto" w:sz="6" w:space="0"/>
            </w:tcBorders>
            <w:tcW w:w="1702" w:type="dxa"/>
            <w:textDirection w:val="lrTb"/>
            <w:noWrap w:val="false"/>
          </w:tcPr>
          <w:p>
            <w:pPr>
              <w:pBdr/>
              <w:spacing/>
              <w:ind/>
              <w:jc w:val="center"/>
              <w:rPr>
                <w:b/>
                <w:bCs/>
              </w:rPr>
            </w:pPr>
            <w:r>
              <w:rPr>
                <w:b/>
                <w:bCs/>
              </w:rPr>
            </w:r>
            <w:r>
              <w:rPr>
                <w:b/>
                <w:bCs/>
              </w:rPr>
            </w:r>
          </w:p>
        </w:tc>
      </w:tr>
    </w:tbl>
    <w:p>
      <w:pPr>
        <w:pBdr/>
        <w:spacing/>
        <w:ind/>
        <w:jc w:val="center"/>
        <w:rPr>
          <w:sz w:val="22"/>
          <w:szCs w:val="22"/>
        </w:rPr>
      </w:pPr>
      <w:r>
        <w:rPr>
          <w:sz w:val="22"/>
          <w:szCs w:val="22"/>
        </w:rPr>
      </w:r>
      <w:r>
        <w:rPr>
          <w:sz w:val="22"/>
          <w:szCs w:val="22"/>
        </w:rPr>
      </w:r>
    </w:p>
    <w:p>
      <w:pPr>
        <w:pStyle w:val="1008"/>
        <w:pBdr/>
        <w:spacing/>
        <w:ind/>
        <w:jc w:val="both"/>
        <w:rPr>
          <w:rFonts w:ascii="Times New Roman" w:hAnsi="Times New Roman"/>
          <w:b/>
          <w:bCs/>
          <w:sz w:val="22"/>
          <w:szCs w:val="22"/>
        </w:rPr>
      </w:pPr>
      <w:r>
        <w:rPr>
          <w:rFonts w:ascii="Times New Roman" w:hAnsi="Times New Roman"/>
          <w:sz w:val="22"/>
          <w:szCs w:val="22"/>
        </w:rPr>
        <w:t xml:space="preserve">Цена Контракта составляет _______________________________________________________</w:t>
      </w:r>
      <w:r>
        <w:rPr>
          <w:rFonts w:ascii="Times New Roman" w:hAnsi="Times New Roman"/>
          <w:b/>
          <w:bCs/>
          <w:sz w:val="22"/>
          <w:szCs w:val="22"/>
        </w:rPr>
      </w:r>
    </w:p>
    <w:p>
      <w:pPr>
        <w:pBdr/>
        <w:tabs>
          <w:tab w:val="left" w:leader="none" w:pos="708"/>
        </w:tabs>
        <w:spacing/>
        <w:ind w:firstLine="567"/>
        <w:jc w:val="both"/>
        <w:rPr>
          <w:b/>
          <w:sz w:val="22"/>
          <w:szCs w:val="22"/>
        </w:rPr>
      </w:pPr>
      <w:r>
        <w:rPr>
          <w:b/>
          <w:sz w:val="22"/>
          <w:szCs w:val="22"/>
        </w:rPr>
      </w:r>
      <w:r>
        <w:rPr>
          <w:b/>
          <w:sz w:val="22"/>
          <w:szCs w:val="22"/>
        </w:rPr>
      </w:r>
    </w:p>
    <w:p>
      <w:pPr>
        <w:pBdr/>
        <w:tabs>
          <w:tab w:val="left" w:leader="none" w:pos="708"/>
        </w:tabs>
        <w:spacing/>
        <w:ind w:firstLine="567"/>
        <w:jc w:val="both"/>
        <w:rPr>
          <w:b/>
          <w:sz w:val="22"/>
          <w:szCs w:val="22"/>
        </w:rPr>
      </w:pPr>
      <w:r>
        <w:rPr>
          <w:b/>
          <w:sz w:val="22"/>
          <w:szCs w:val="22"/>
        </w:rPr>
        <w:t xml:space="preserve">Функциональные, технические и качественные характеристики, эксплуатационные характеристики Товара</w:t>
      </w:r>
      <w:r>
        <w:rPr>
          <w:b/>
          <w:sz w:val="22"/>
          <w:szCs w:val="22"/>
        </w:rPr>
      </w:r>
    </w:p>
    <w:p>
      <w:pPr>
        <w:widowControl w:val="false"/>
        <w:pBdr/>
        <w:spacing/>
        <w:ind/>
        <w:jc w:val="right"/>
        <w:rPr>
          <w:b/>
          <w:sz w:val="22"/>
          <w:szCs w:val="22"/>
        </w:rPr>
      </w:pPr>
      <w:r>
        <w:rPr>
          <w:b/>
          <w:sz w:val="22"/>
          <w:szCs w:val="22"/>
        </w:rPr>
      </w:r>
      <w:r>
        <w:rPr>
          <w:b/>
          <w:sz w:val="22"/>
          <w:szCs w:val="22"/>
        </w:rPr>
      </w:r>
    </w:p>
    <w:p>
      <w:pPr>
        <w:pBdr/>
        <w:spacing/>
        <w:ind/>
        <w:jc w:val="center"/>
        <w:rPr>
          <w:b/>
          <w:sz w:val="22"/>
          <w:szCs w:val="22"/>
        </w:rPr>
      </w:pPr>
      <w:r>
        <w:rPr>
          <w:b/>
          <w:sz w:val="22"/>
          <w:szCs w:val="22"/>
        </w:rPr>
        <w:t xml:space="preserve">ТЕХНИЧЕСКИЕ ХАРАКТЕРИСТИКИ</w:t>
      </w:r>
      <w:r>
        <w:rPr>
          <w:b/>
          <w:sz w:val="22"/>
          <w:szCs w:val="22"/>
        </w:rPr>
      </w:r>
    </w:p>
    <w:p>
      <w:pPr>
        <w:pBdr/>
        <w:spacing/>
        <w:ind w:firstLine="709"/>
        <w:contextualSpacing w:val="true"/>
        <w:jc w:val="both"/>
        <w:rPr>
          <w:sz w:val="22"/>
          <w:szCs w:val="22"/>
        </w:rPr>
      </w:pPr>
      <w:r>
        <w:rPr>
          <w:sz w:val="22"/>
          <w:szCs w:val="22"/>
        </w:rPr>
      </w:r>
      <w:r>
        <w:rPr>
          <w:sz w:val="22"/>
          <w:szCs w:val="22"/>
        </w:rPr>
      </w:r>
    </w:p>
    <w:p>
      <w:pPr>
        <w:pBdr/>
        <w:spacing/>
        <w:ind w:firstLine="709"/>
        <w:contextualSpacing w:val="true"/>
        <w:jc w:val="both"/>
        <w:rPr>
          <w:sz w:val="22"/>
          <w:szCs w:val="22"/>
        </w:rPr>
      </w:pPr>
      <w:r>
        <w:rPr>
          <w:sz w:val="22"/>
          <w:szCs w:val="22"/>
        </w:rPr>
        <w:t xml:space="preserve">1. Общие требования к условиям закупки: поставляемый товар должен соответствовать техническим требованиям настоящей части. В этих случаях товар считается соответствующий требованиям:</w:t>
      </w:r>
      <w:r>
        <w:rPr>
          <w:sz w:val="22"/>
          <w:szCs w:val="22"/>
        </w:rPr>
      </w:r>
    </w:p>
    <w:p>
      <w:pPr>
        <w:pBdr/>
        <w:spacing/>
        <w:ind w:firstLine="709"/>
        <w:contextualSpacing w:val="true"/>
        <w:jc w:val="both"/>
        <w:rPr>
          <w:sz w:val="22"/>
          <w:szCs w:val="22"/>
        </w:rPr>
      </w:pPr>
      <w:r>
        <w:rPr>
          <w:sz w:val="22"/>
          <w:szCs w:val="22"/>
        </w:rPr>
        <w:t xml:space="preserve">1.1. Товар, поставка которого предусмотрена требованиям настоящей технической части, должен быть разрешен к применению на территории Российской Федерации.</w:t>
      </w:r>
      <w:r>
        <w:rPr>
          <w:sz w:val="22"/>
          <w:szCs w:val="22"/>
        </w:rPr>
      </w:r>
    </w:p>
    <w:p>
      <w:pPr>
        <w:pBdr/>
        <w:spacing/>
        <w:ind w:firstLine="709"/>
        <w:contextualSpacing w:val="true"/>
        <w:jc w:val="both"/>
        <w:rPr>
          <w:sz w:val="22"/>
          <w:szCs w:val="22"/>
        </w:rPr>
      </w:pPr>
      <w:r>
        <w:rPr>
          <w:sz w:val="22"/>
          <w:szCs w:val="22"/>
        </w:rPr>
        <w:t xml:space="preserve">1.2. Поставляемый товар должен быть новым, ранее не использованным, не подвергнутый восстановлению, в том числе в качестве выставочного образца и свободным от прав третьих лиц.</w:t>
      </w:r>
      <w:r>
        <w:rPr>
          <w:sz w:val="22"/>
          <w:szCs w:val="22"/>
        </w:rPr>
      </w:r>
    </w:p>
    <w:p>
      <w:pPr>
        <w:pBdr/>
        <w:spacing/>
        <w:ind w:firstLine="709"/>
        <w:contextualSpacing w:val="true"/>
        <w:jc w:val="both"/>
        <w:rPr>
          <w:sz w:val="22"/>
          <w:szCs w:val="22"/>
        </w:rPr>
      </w:pPr>
      <w:r>
        <w:rPr>
          <w:sz w:val="22"/>
          <w:szCs w:val="22"/>
        </w:rPr>
        <w:t xml:space="preserve">1.3. Поставляемый товар должен быть упакован в заводских условиях. Упаковка каждой единицы товара должна быть</w:t>
      </w:r>
      <w:r>
        <w:rPr>
          <w:sz w:val="22"/>
          <w:szCs w:val="22"/>
        </w:rPr>
        <w:t xml:space="preserve"> выполнена в соответствии с техническими условиями производителя и соответствовать требованиям ГОСТ. Упаковка товара должна иметь информацию об изделии, фирме изготовителе, стране происхождения (производства), каталожный номер (если предусмотрен производит</w:t>
      </w:r>
      <w:r>
        <w:rPr>
          <w:sz w:val="22"/>
          <w:szCs w:val="22"/>
        </w:rPr>
        <w:t xml:space="preserve">елем), номер и серию партии, дату изготовления и срок годности. Информация о продукции, содержащаяся на упаковке должна быть на русском языке, либо содержать перевод на русский язык. Если это предусмотрено нормативами и стандартами, принятыми для соответст</w:t>
      </w:r>
      <w:r>
        <w:rPr>
          <w:sz w:val="22"/>
          <w:szCs w:val="22"/>
        </w:rPr>
        <w:t xml:space="preserve">вующего вида продукции на территории Российской Федерации, упаковка такой продукции должна содержать инструкцию по эксплуатации (применению, использованию) на русском языке. Товар должен поставляться в не нарушенной (не поврежденной) упаковке изготовителя.</w:t>
      </w:r>
      <w:r>
        <w:rPr>
          <w:sz w:val="22"/>
          <w:szCs w:val="22"/>
        </w:rPr>
      </w:r>
    </w:p>
    <w:p>
      <w:pPr>
        <w:pBdr/>
        <w:spacing/>
        <w:ind w:firstLine="709"/>
        <w:contextualSpacing w:val="true"/>
        <w:jc w:val="both"/>
        <w:rPr>
          <w:sz w:val="22"/>
          <w:szCs w:val="22"/>
        </w:rPr>
      </w:pPr>
      <w:r>
        <w:rPr>
          <w:sz w:val="22"/>
          <w:szCs w:val="22"/>
        </w:rPr>
        <w:t xml:space="preserve">1.4. Товар должен соответствовать современным нормам качества и функциональности. Участник обязан гарантировать качество и </w:t>
      </w:r>
      <w:r>
        <w:rPr>
          <w:sz w:val="22"/>
          <w:szCs w:val="22"/>
        </w:rPr>
        <w:t xml:space="preserve">годность продукции к эксплуатации, при использовании, в целях, для которых предназначен данный товар. Остаточный гарантийный срок хранения (срок годности Товара), гарантии каждого вида товара должны соответствовать, указанным в настоящей технической части.</w:t>
      </w:r>
      <w:r>
        <w:rPr>
          <w:sz w:val="22"/>
          <w:szCs w:val="22"/>
        </w:rPr>
      </w:r>
    </w:p>
    <w:p>
      <w:pPr>
        <w:pBdr/>
        <w:spacing/>
        <w:ind w:firstLine="709"/>
        <w:contextualSpacing w:val="true"/>
        <w:jc w:val="both"/>
        <w:rPr>
          <w:sz w:val="22"/>
          <w:szCs w:val="22"/>
        </w:rPr>
      </w:pPr>
      <w:r>
        <w:rPr>
          <w:sz w:val="22"/>
          <w:szCs w:val="22"/>
        </w:rPr>
        <w:t xml:space="preserve">1.5. Товар должен соответствовать его функциональному назначению. Внешний вид товара, его целостность, дизайн, стиль, производственное исполнение должны удовлетворять эстетические потребности человека. </w:t>
      </w:r>
      <w:r>
        <w:rPr>
          <w:sz w:val="22"/>
          <w:szCs w:val="22"/>
        </w:rPr>
      </w:r>
    </w:p>
    <w:p>
      <w:pPr>
        <w:pBdr/>
        <w:spacing/>
        <w:ind w:firstLine="709"/>
        <w:contextualSpacing w:val="true"/>
        <w:jc w:val="both"/>
        <w:rPr>
          <w:sz w:val="22"/>
          <w:szCs w:val="22"/>
        </w:rPr>
      </w:pPr>
      <w:r>
        <w:rPr>
          <w:sz w:val="22"/>
          <w:szCs w:val="22"/>
        </w:rPr>
        <w:t xml:space="preserve">1.6. Товар должен быть безопасными для окружающей среды и человека. Гигиенические характеристик</w:t>
      </w:r>
      <w:r>
        <w:rPr>
          <w:sz w:val="22"/>
          <w:szCs w:val="22"/>
        </w:rPr>
        <w:t xml:space="preserve">и товара могут быть подтверждено по желанию Участника при поставке товара копиями документов: сертификатами качества товара, декларациями соответствия, отказными письмами или иными документами на усмотрение участника (документы не являются обязательными). </w:t>
      </w:r>
      <w:r>
        <w:rPr>
          <w:sz w:val="22"/>
          <w:szCs w:val="22"/>
        </w:rPr>
      </w:r>
    </w:p>
    <w:p>
      <w:pPr>
        <w:pBdr/>
        <w:spacing/>
        <w:ind w:firstLine="709"/>
        <w:contextualSpacing w:val="true"/>
        <w:jc w:val="both"/>
        <w:rPr>
          <w:sz w:val="22"/>
          <w:szCs w:val="22"/>
        </w:rPr>
      </w:pPr>
      <w:r>
        <w:rPr>
          <w:sz w:val="22"/>
          <w:szCs w:val="22"/>
        </w:rPr>
        <w:t xml:space="preserve">1.7. На поверхностях товара недопустимо наличие сколов, трещин, вмятин.</w:t>
      </w:r>
      <w:r>
        <w:rPr>
          <w:sz w:val="22"/>
          <w:szCs w:val="22"/>
        </w:rPr>
      </w:r>
    </w:p>
    <w:p>
      <w:pPr>
        <w:pBdr/>
        <w:spacing/>
        <w:ind w:firstLine="709"/>
        <w:contextualSpacing w:val="true"/>
        <w:jc w:val="both"/>
        <w:rPr>
          <w:sz w:val="22"/>
          <w:szCs w:val="22"/>
        </w:rPr>
      </w:pPr>
      <w:r>
        <w:rPr>
          <w:sz w:val="22"/>
          <w:szCs w:val="22"/>
        </w:rPr>
        <w:t xml:space="preserve">1.8. Требования к функциональным, техническим, качественным и эксплуатационным характеристикам, требования к безопасности товаров и их количество предусмотрены настоящей технической частью.</w:t>
      </w:r>
      <w:r>
        <w:rPr>
          <w:sz w:val="22"/>
          <w:szCs w:val="22"/>
        </w:rPr>
      </w:r>
    </w:p>
    <w:p>
      <w:pPr>
        <w:pBdr/>
        <w:spacing/>
        <w:ind w:firstLine="709"/>
        <w:contextualSpacing w:val="true"/>
        <w:jc w:val="both"/>
        <w:rPr>
          <w:sz w:val="22"/>
          <w:szCs w:val="22"/>
        </w:rPr>
      </w:pPr>
      <w:r>
        <w:rPr>
          <w:sz w:val="22"/>
          <w:szCs w:val="22"/>
        </w:rPr>
        <w:t xml:space="preserve">Поставщик должен поставить товар в соответствии с положениями настоящей технической частью. </w:t>
      </w:r>
      <w:r>
        <w:rPr>
          <w:sz w:val="22"/>
          <w:szCs w:val="22"/>
        </w:rPr>
      </w:r>
    </w:p>
    <w:p>
      <w:pPr>
        <w:pBdr/>
        <w:spacing/>
        <w:ind/>
        <w:jc w:val="both"/>
        <w:rPr>
          <w:sz w:val="22"/>
          <w:szCs w:val="22"/>
        </w:rPr>
      </w:pPr>
      <w:r>
        <w:rPr>
          <w:sz w:val="22"/>
          <w:szCs w:val="22"/>
        </w:rPr>
        <w:t xml:space="preserve">Частичная поставка не допускается.</w:t>
      </w:r>
      <w:r>
        <w:rPr>
          <w:sz w:val="22"/>
          <w:szCs w:val="22"/>
        </w:rPr>
      </w:r>
    </w:p>
    <w:p>
      <w:pPr>
        <w:pBdr/>
        <w:spacing/>
        <w:ind w:firstLine="709"/>
        <w:jc w:val="both"/>
        <w:rPr>
          <w:sz w:val="22"/>
          <w:szCs w:val="22"/>
        </w:rPr>
      </w:pPr>
      <w:r>
        <w:rPr>
          <w:b/>
          <w:sz w:val="22"/>
          <w:szCs w:val="22"/>
        </w:rPr>
        <w:t xml:space="preserve">Место поставки: </w:t>
      </w:r>
      <w:r>
        <w:rPr>
          <w:sz w:val="22"/>
          <w:szCs w:val="22"/>
        </w:rPr>
        <w:t xml:space="preserve">г. Хабаровск, ул. Муравьева-Амурского, д.35</w:t>
      </w:r>
      <w:r>
        <w:rPr>
          <w:sz w:val="22"/>
          <w:szCs w:val="22"/>
        </w:rPr>
      </w:r>
    </w:p>
    <w:p>
      <w:pPr>
        <w:pBdr/>
        <w:spacing/>
        <w:ind/>
        <w:contextualSpacing w:val="true"/>
        <w:jc w:val="both"/>
        <w:rPr>
          <w:bCs/>
          <w:sz w:val="22"/>
          <w:szCs w:val="22"/>
        </w:rPr>
      </w:pPr>
      <w:r>
        <w:rPr>
          <w:b/>
          <w:sz w:val="22"/>
          <w:szCs w:val="22"/>
        </w:rPr>
        <w:t xml:space="preserve">Срок поставки: </w:t>
      </w:r>
      <w:r>
        <w:rPr>
          <w:sz w:val="22"/>
          <w:szCs w:val="22"/>
        </w:rPr>
        <w:t xml:space="preserve">в течение 5 (пяти) дней после заключения контр</w:t>
      </w:r>
      <w:r>
        <w:rPr>
          <w:bCs/>
          <w:sz w:val="22"/>
          <w:szCs w:val="22"/>
        </w:rPr>
      </w:r>
    </w:p>
    <w:p>
      <w:pPr>
        <w:pBdr/>
        <w:spacing/>
        <w:ind w:left="765"/>
        <w:contextualSpacing w:val="true"/>
        <w:jc w:val="center"/>
        <w:rPr>
          <w:b/>
          <w:bCs/>
          <w:sz w:val="22"/>
          <w:szCs w:val="22"/>
        </w:rPr>
      </w:pPr>
      <w:r>
        <w:rPr>
          <w:b/>
          <w:bCs/>
          <w:sz w:val="22"/>
          <w:szCs w:val="22"/>
        </w:rPr>
      </w:r>
      <w:r>
        <w:rPr>
          <w:b/>
          <w:bCs/>
          <w:sz w:val="22"/>
          <w:szCs w:val="22"/>
        </w:rPr>
      </w:r>
    </w:p>
    <w:p>
      <w:pPr>
        <w:pBdr/>
        <w:spacing/>
        <w:ind w:left="765"/>
        <w:contextualSpacing w:val="true"/>
        <w:jc w:val="center"/>
        <w:rPr>
          <w:b/>
          <w:bCs/>
          <w:sz w:val="22"/>
          <w:szCs w:val="22"/>
        </w:rPr>
      </w:pPr>
      <w:r>
        <w:rPr>
          <w:b/>
          <w:sz w:val="22"/>
          <w:szCs w:val="22"/>
        </w:rPr>
        <w:t xml:space="preserve">Спецификация на поставляемый товар</w:t>
      </w:r>
      <w:r>
        <w:rPr>
          <w:b/>
          <w:bCs/>
          <w:sz w:val="22"/>
          <w:szCs w:val="22"/>
        </w:rPr>
      </w:r>
    </w:p>
    <w:tbl>
      <w:tblPr>
        <w:tblInd w:w="108" w:type="dxa"/>
        <w:tblW w:w="10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3969"/>
        <w:gridCol w:w="992"/>
        <w:gridCol w:w="851"/>
        <w:gridCol w:w="1559"/>
        <w:gridCol w:w="2126"/>
      </w:tblGrid>
      <w:tr>
        <w:trPr/>
        <w:tc>
          <w:tcPr>
            <w:tcBorders>
              <w:top w:val="single" w:color="auto" w:sz="4" w:space="0"/>
              <w:left w:val="single" w:color="auto" w:sz="4" w:space="0"/>
              <w:bottom w:val="single" w:color="auto" w:sz="4" w:space="0"/>
              <w:right w:val="single" w:color="auto" w:sz="4" w:space="0"/>
            </w:tcBorders>
            <w:tcW w:w="709" w:type="dxa"/>
            <w:textDirection w:val="lrTb"/>
            <w:noWrap w:val="false"/>
          </w:tcPr>
          <w:p>
            <w:pPr>
              <w:pBdr/>
              <w:spacing/>
              <w:ind/>
              <w:jc w:val="center"/>
              <w:rPr>
                <w:b/>
                <w:sz w:val="22"/>
                <w:szCs w:val="22"/>
              </w:rPr>
            </w:pPr>
            <w:r>
              <w:rPr>
                <w:b/>
                <w:sz w:val="22"/>
                <w:szCs w:val="22"/>
              </w:rPr>
              <w:t xml:space="preserve">№ пп</w:t>
            </w:r>
            <w:r>
              <w:rPr>
                <w:b/>
                <w:sz w:val="22"/>
                <w:szCs w:val="22"/>
              </w:rPr>
            </w:r>
          </w:p>
        </w:tc>
        <w:tc>
          <w:tcPr>
            <w:tcBorders>
              <w:top w:val="single" w:color="auto" w:sz="4" w:space="0"/>
              <w:left w:val="single" w:color="auto" w:sz="4" w:space="0"/>
              <w:bottom w:val="single" w:color="auto" w:sz="4" w:space="0"/>
              <w:right w:val="single" w:color="auto" w:sz="4" w:space="0"/>
            </w:tcBorders>
            <w:tcW w:w="3969" w:type="dxa"/>
            <w:vAlign w:val="center"/>
            <w:textDirection w:val="lrTb"/>
            <w:noWrap w:val="false"/>
          </w:tcPr>
          <w:p>
            <w:pPr>
              <w:pBdr/>
              <w:spacing/>
              <w:ind/>
              <w:jc w:val="center"/>
              <w:rPr>
                <w:b/>
                <w:sz w:val="22"/>
                <w:szCs w:val="22"/>
              </w:rPr>
            </w:pPr>
            <w:r>
              <w:rPr>
                <w:b/>
                <w:sz w:val="22"/>
                <w:szCs w:val="22"/>
              </w:rPr>
              <w:t xml:space="preserve">Наименование товара</w:t>
            </w:r>
            <w:r>
              <w:rPr>
                <w:b/>
                <w:sz w:val="22"/>
                <w:szCs w:val="22"/>
              </w:rPr>
            </w:r>
          </w:p>
        </w:tc>
        <w:tc>
          <w:tcPr>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ind/>
              <w:jc w:val="center"/>
              <w:rPr>
                <w:b/>
                <w:sz w:val="22"/>
                <w:szCs w:val="22"/>
              </w:rPr>
            </w:pPr>
            <w:r>
              <w:rPr>
                <w:b/>
                <w:sz w:val="22"/>
                <w:szCs w:val="22"/>
              </w:rPr>
              <w:t xml:space="preserve">Ед. изм.</w:t>
            </w:r>
            <w:r>
              <w:rPr>
                <w:b/>
                <w:sz w:val="22"/>
                <w:szCs w:val="22"/>
              </w:rPr>
            </w:r>
          </w:p>
        </w:tc>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pBdr/>
              <w:spacing/>
              <w:ind/>
              <w:jc w:val="center"/>
              <w:rPr>
                <w:b/>
                <w:sz w:val="22"/>
                <w:szCs w:val="22"/>
              </w:rPr>
            </w:pPr>
            <w:r>
              <w:rPr>
                <w:b/>
                <w:sz w:val="22"/>
                <w:szCs w:val="22"/>
              </w:rPr>
              <w:t xml:space="preserve">Кол-во</w:t>
            </w:r>
            <w:r>
              <w:rPr>
                <w:b/>
                <w:sz w:val="22"/>
                <w:szCs w:val="22"/>
              </w:rP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pBdr/>
              <w:spacing/>
              <w:ind/>
              <w:jc w:val="center"/>
              <w:rPr>
                <w:b/>
                <w:sz w:val="22"/>
                <w:szCs w:val="22"/>
              </w:rPr>
            </w:pPr>
            <w:r>
              <w:rPr>
                <w:b/>
                <w:sz w:val="22"/>
                <w:szCs w:val="22"/>
              </w:rPr>
              <w:t xml:space="preserve">ОКПД 2</w:t>
            </w:r>
            <w:r>
              <w:rPr>
                <w:b/>
                <w:sz w:val="22"/>
                <w:szCs w:val="22"/>
              </w:rPr>
            </w:r>
          </w:p>
        </w:tc>
        <w:tc>
          <w:tcPr>
            <w:tcBorders>
              <w:top w:val="single" w:color="auto" w:sz="4" w:space="0"/>
              <w:left w:val="single" w:color="auto" w:sz="4" w:space="0"/>
              <w:bottom w:val="single" w:color="auto" w:sz="4" w:space="0"/>
              <w:right w:val="single" w:color="auto" w:sz="4" w:space="0"/>
            </w:tcBorders>
            <w:tcW w:w="2126" w:type="dxa"/>
            <w:vAlign w:val="center"/>
            <w:textDirection w:val="lrTb"/>
            <w:noWrap w:val="false"/>
          </w:tcPr>
          <w:p>
            <w:pPr>
              <w:pBdr/>
              <w:spacing/>
              <w:ind/>
              <w:jc w:val="center"/>
              <w:rPr>
                <w:b/>
                <w:sz w:val="22"/>
                <w:szCs w:val="22"/>
              </w:rPr>
            </w:pPr>
            <w:r>
              <w:rPr>
                <w:b/>
                <w:sz w:val="22"/>
                <w:szCs w:val="22"/>
              </w:rPr>
              <w:t xml:space="preserve">КТРУ</w:t>
            </w:r>
            <w:r>
              <w:rPr>
                <w:b/>
                <w:sz w:val="22"/>
                <w:szCs w:val="22"/>
              </w:rPr>
            </w:r>
          </w:p>
        </w:tc>
      </w:tr>
      <w:tr>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pBdr/>
              <w:spacing/>
              <w:ind/>
              <w:jc w:val="center"/>
              <w:rPr>
                <w:sz w:val="22"/>
                <w:szCs w:val="22"/>
              </w:rPr>
            </w:pPr>
            <w:r>
              <w:rPr>
                <w:sz w:val="22"/>
                <w:szCs w:val="22"/>
              </w:rPr>
              <w:t xml:space="preserve">1</w:t>
            </w:r>
            <w:r>
              <w:rPr>
                <w:sz w:val="22"/>
                <w:szCs w:val="22"/>
              </w:rPr>
            </w:r>
          </w:p>
        </w:tc>
        <w:tc>
          <w:tcPr>
            <w:tcBorders>
              <w:top w:val="single" w:color="auto" w:sz="4" w:space="0"/>
              <w:left w:val="single" w:color="auto" w:sz="4" w:space="0"/>
              <w:bottom w:val="single" w:color="auto" w:sz="4" w:space="0"/>
              <w:right w:val="single" w:color="auto" w:sz="4" w:space="0"/>
            </w:tcBorders>
            <w:tcW w:w="3969" w:type="dxa"/>
            <w:vAlign w:val="center"/>
            <w:textDirection w:val="lrTb"/>
            <w:noWrap w:val="false"/>
          </w:tcPr>
          <w:p>
            <w:pPr>
              <w:pBdr/>
              <w:spacing/>
              <w:ind/>
              <w:rPr>
                <w:sz w:val="22"/>
                <w:szCs w:val="22"/>
              </w:rPr>
            </w:pP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ind/>
              <w:jc w:val="center"/>
              <w:rPr>
                <w:sz w:val="22"/>
                <w:szCs w:val="22"/>
              </w:rPr>
            </w:pPr>
            <w:r>
              <w:rPr>
                <w:sz w:val="22"/>
                <w:szCs w:val="22"/>
              </w:rPr>
              <w:t xml:space="preserve">метр</w:t>
            </w:r>
            <w:r>
              <w:rPr>
                <w:sz w:val="22"/>
                <w:szCs w:val="22"/>
              </w:rPr>
            </w:r>
          </w:p>
        </w:tc>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pBdr/>
              <w:spacing/>
              <w:ind/>
              <w:jc w:val="center"/>
              <w:rPr>
                <w:sz w:val="22"/>
                <w:szCs w:val="22"/>
              </w:rPr>
            </w:pPr>
            <w:r>
              <w:rPr>
                <w:sz w:val="22"/>
                <w:szCs w:val="22"/>
              </w:rPr>
              <w:t xml:space="preserve">2440</w:t>
            </w:r>
            <w:r>
              <w:rPr>
                <w:sz w:val="22"/>
                <w:szCs w:val="22"/>
              </w:rP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pBdr/>
              <w:spacing/>
              <w:ind/>
              <w:rPr>
                <w:sz w:val="22"/>
                <w:szCs w:val="22"/>
              </w:rPr>
            </w:pPr>
            <w:r>
              <w:rPr>
                <w:sz w:val="22"/>
                <w:szCs w:val="22"/>
              </w:rPr>
              <w:t xml:space="preserve">27.32.13.159</w:t>
            </w:r>
            <w:r>
              <w:rPr>
                <w:sz w:val="22"/>
                <w:szCs w:val="22"/>
              </w:rPr>
            </w:r>
          </w:p>
        </w:tc>
        <w:tc>
          <w:tcPr>
            <w:tcBorders>
              <w:top w:val="single" w:color="auto" w:sz="4" w:space="0"/>
              <w:left w:val="single" w:color="auto" w:sz="4" w:space="0"/>
              <w:bottom w:val="single" w:color="auto" w:sz="4" w:space="0"/>
              <w:right w:val="single" w:color="auto" w:sz="4" w:space="0"/>
            </w:tcBorders>
            <w:tcW w:w="2126" w:type="dxa"/>
            <w:vAlign w:val="center"/>
            <w:textDirection w:val="lrTb"/>
            <w:noWrap w:val="false"/>
          </w:tcPr>
          <w:p>
            <w:pPr>
              <w:pBdr/>
              <w:spacing/>
              <w:ind/>
              <w:rPr>
                <w:sz w:val="22"/>
                <w:szCs w:val="22"/>
              </w:rPr>
            </w:pPr>
            <w:r>
              <w:rPr>
                <w:sz w:val="22"/>
                <w:szCs w:val="22"/>
              </w:rPr>
              <w:t xml:space="preserve">              -</w:t>
            </w:r>
            <w:r>
              <w:rPr>
                <w:sz w:val="22"/>
                <w:szCs w:val="22"/>
              </w:rPr>
            </w:r>
          </w:p>
        </w:tc>
      </w:tr>
      <w:tr>
        <w:trPr/>
        <w:tc>
          <w:tcPr>
            <w:tcBorders>
              <w:top w:val="single" w:color="auto" w:sz="4" w:space="0"/>
              <w:left w:val="single" w:color="auto" w:sz="4" w:space="0"/>
              <w:bottom w:val="single" w:color="auto" w:sz="4" w:space="0"/>
              <w:right w:val="single" w:color="auto" w:sz="4" w:space="0"/>
            </w:tcBorders>
            <w:tcW w:w="709" w:type="dxa"/>
            <w:vAlign w:val="center"/>
            <w:textDirection w:val="lrTb"/>
            <w:noWrap w:val="false"/>
          </w:tcPr>
          <w:p>
            <w:pPr>
              <w:pBdr/>
              <w:spacing/>
              <w:ind/>
              <w:jc w:val="center"/>
              <w:rPr>
                <w:sz w:val="22"/>
                <w:szCs w:val="22"/>
              </w:rPr>
            </w:pPr>
            <w:r>
              <w:rPr>
                <w:sz w:val="22"/>
                <w:szCs w:val="22"/>
              </w:rPr>
              <w:t xml:space="preserve">2</w:t>
            </w:r>
            <w:r>
              <w:rPr>
                <w:sz w:val="22"/>
                <w:szCs w:val="22"/>
              </w:rPr>
            </w:r>
          </w:p>
        </w:tc>
        <w:tc>
          <w:tcPr>
            <w:tcBorders>
              <w:top w:val="single" w:color="auto" w:sz="4" w:space="0"/>
              <w:left w:val="single" w:color="auto" w:sz="4" w:space="0"/>
              <w:bottom w:val="single" w:color="auto" w:sz="4" w:space="0"/>
              <w:right w:val="single" w:color="auto" w:sz="4" w:space="0"/>
            </w:tcBorders>
            <w:tcW w:w="3969" w:type="dxa"/>
            <w:vAlign w:val="center"/>
            <w:textDirection w:val="lrTb"/>
            <w:noWrap w:val="false"/>
          </w:tcPr>
          <w:p>
            <w:pPr>
              <w:pBdr/>
              <w:spacing/>
              <w:ind/>
              <w:rPr>
                <w:sz w:val="22"/>
                <w:szCs w:val="22"/>
              </w:rPr>
            </w:pP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ind/>
              <w:jc w:val="center"/>
              <w:rPr>
                <w:sz w:val="22"/>
                <w:szCs w:val="22"/>
              </w:rPr>
            </w:pPr>
            <w:r>
              <w:rPr>
                <w:sz w:val="22"/>
                <w:szCs w:val="22"/>
              </w:rPr>
              <w:t xml:space="preserve">штука</w:t>
            </w:r>
            <w:r>
              <w:rPr>
                <w:sz w:val="22"/>
                <w:szCs w:val="22"/>
              </w:rPr>
            </w:r>
          </w:p>
        </w:tc>
        <w:tc>
          <w:tcPr>
            <w:tcBorders>
              <w:top w:val="single" w:color="auto" w:sz="4" w:space="0"/>
              <w:left w:val="single" w:color="auto" w:sz="4" w:space="0"/>
              <w:bottom w:val="single" w:color="auto" w:sz="4" w:space="0"/>
              <w:right w:val="single" w:color="auto" w:sz="4" w:space="0"/>
            </w:tcBorders>
            <w:tcW w:w="851" w:type="dxa"/>
            <w:vAlign w:val="center"/>
            <w:textDirection w:val="lrTb"/>
            <w:noWrap w:val="false"/>
          </w:tcPr>
          <w:p>
            <w:pPr>
              <w:pBdr/>
              <w:spacing/>
              <w:ind/>
              <w:jc w:val="center"/>
              <w:rPr>
                <w:sz w:val="22"/>
                <w:szCs w:val="22"/>
              </w:rPr>
            </w:pPr>
            <w:r>
              <w:rPr>
                <w:sz w:val="22"/>
                <w:szCs w:val="22"/>
              </w:rPr>
              <w:t xml:space="preserve">50</w:t>
            </w:r>
            <w:r>
              <w:rPr>
                <w:sz w:val="22"/>
                <w:szCs w:val="22"/>
              </w:rPr>
            </w:r>
          </w:p>
        </w:tc>
        <w:tc>
          <w:tcPr>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pBdr/>
              <w:spacing/>
              <w:ind/>
              <w:rPr>
                <w:sz w:val="22"/>
                <w:szCs w:val="22"/>
              </w:rPr>
            </w:pPr>
            <w:r>
              <w:rPr>
                <w:sz w:val="22"/>
                <w:szCs w:val="22"/>
              </w:rPr>
              <w:t xml:space="preserve">22.29.29.190</w:t>
            </w:r>
            <w:r>
              <w:rPr>
                <w:sz w:val="22"/>
                <w:szCs w:val="22"/>
              </w:rPr>
            </w:r>
          </w:p>
        </w:tc>
        <w:tc>
          <w:tcPr>
            <w:tcBorders>
              <w:top w:val="single" w:color="auto" w:sz="4" w:space="0"/>
              <w:left w:val="single" w:color="auto" w:sz="4" w:space="0"/>
              <w:bottom w:val="single" w:color="auto" w:sz="4" w:space="0"/>
              <w:right w:val="single" w:color="auto" w:sz="4" w:space="0"/>
            </w:tcBorders>
            <w:tcW w:w="2126" w:type="dxa"/>
            <w:vAlign w:val="center"/>
            <w:textDirection w:val="lrTb"/>
            <w:noWrap w:val="false"/>
          </w:tcPr>
          <w:p>
            <w:pPr>
              <w:pBdr/>
              <w:spacing/>
              <w:ind/>
              <w:rPr>
                <w:sz w:val="22"/>
                <w:szCs w:val="22"/>
              </w:rPr>
            </w:pPr>
            <w:r>
              <w:rPr>
                <w:sz w:val="22"/>
                <w:szCs w:val="22"/>
              </w:rPr>
              <w:t xml:space="preserve">22.29.29.190-00000060</w:t>
            </w:r>
            <w:r>
              <w:rPr>
                <w:sz w:val="22"/>
                <w:szCs w:val="22"/>
              </w:rPr>
            </w:r>
          </w:p>
        </w:tc>
      </w:tr>
    </w:tbl>
    <w:p>
      <w:pPr>
        <w:pBdr/>
        <w:spacing/>
        <w:ind/>
        <w:contextualSpacing w:val="true"/>
        <w:rPr>
          <w:sz w:val="22"/>
          <w:szCs w:val="22"/>
        </w:rPr>
      </w:pPr>
      <w:r>
        <w:rPr>
          <w:sz w:val="22"/>
          <w:szCs w:val="22"/>
        </w:rPr>
      </w:r>
      <w:r>
        <w:rPr>
          <w:sz w:val="22"/>
          <w:szCs w:val="22"/>
        </w:rPr>
      </w:r>
    </w:p>
    <w:p>
      <w:pPr>
        <w:pBdr/>
        <w:spacing/>
        <w:ind/>
        <w:contextualSpacing w:val="true"/>
        <w:jc w:val="center"/>
        <w:rPr>
          <w:b/>
          <w:bCs/>
          <w:sz w:val="22"/>
          <w:szCs w:val="22"/>
        </w:rPr>
      </w:pPr>
      <w:r>
        <w:rPr>
          <w:b/>
          <w:bCs/>
          <w:sz w:val="22"/>
          <w:szCs w:val="22"/>
        </w:rPr>
        <w:t xml:space="preserve">Функциональные, технические и качественные характеристи</w:t>
      </w:r>
      <w:r>
        <w:rPr>
          <w:b/>
          <w:bCs/>
          <w:sz w:val="22"/>
          <w:szCs w:val="22"/>
        </w:rPr>
        <w:t xml:space="preserve">ки, 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r>
        <w:rPr>
          <w:b/>
          <w:bCs/>
          <w:sz w:val="22"/>
          <w:szCs w:val="22"/>
        </w:rPr>
      </w:r>
    </w:p>
    <w:tbl>
      <w:tblPr>
        <w:tblStyle w:val="823"/>
        <w:tblW w:w="10443" w:type="dxa"/>
        <w:tblBorders/>
        <w:tblLayout w:type="fixed"/>
        <w:tblLook w:val="04A0" w:firstRow="1" w:lastRow="0" w:firstColumn="1" w:lastColumn="0" w:noHBand="0" w:noVBand="1"/>
      </w:tblPr>
      <w:tblGrid>
        <w:gridCol w:w="522"/>
        <w:gridCol w:w="3471"/>
        <w:gridCol w:w="3332"/>
        <w:gridCol w:w="3118"/>
      </w:tblGrid>
      <w:tr>
        <w:trPr/>
        <w:tc>
          <w:tcPr>
            <w:tcBorders/>
            <w:tcW w:w="522"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                 п/п</w:t>
            </w:r>
            <w:r>
              <w:rPr>
                <w:rFonts w:ascii="Times New Roman" w:hAnsi="Times New Roman"/>
                <w:b/>
                <w:sz w:val="22"/>
                <w:szCs w:val="22"/>
              </w:rPr>
            </w:r>
          </w:p>
        </w:tc>
        <w:tc>
          <w:tcPr>
            <w:tcBorders/>
            <w:tcW w:w="3471"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Наименование, характеристики, параметры товара</w:t>
            </w:r>
            <w:r>
              <w:rPr>
                <w:rFonts w:ascii="Times New Roman" w:hAnsi="Times New Roman"/>
                <w:b/>
                <w:sz w:val="22"/>
                <w:szCs w:val="22"/>
              </w:rPr>
            </w:r>
          </w:p>
        </w:tc>
        <w:tc>
          <w:tcPr>
            <w:tcBorders/>
            <w:tcW w:w="3332" w:type="dxa"/>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Требуемое значение, величина параметра</w:t>
            </w:r>
            <w:r>
              <w:rPr>
                <w:rFonts w:ascii="Times New Roman" w:hAnsi="Times New Roman"/>
                <w:b/>
                <w:sz w:val="22"/>
                <w:szCs w:val="22"/>
              </w:rPr>
            </w:r>
          </w:p>
        </w:tc>
        <w:tc>
          <w:tcPr>
            <w:tcBorders/>
            <w:tcW w:w="3118" w:type="dxa"/>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Обоснование включение дополнительной информации и сведений о товаре</w:t>
            </w:r>
            <w:r>
              <w:rPr>
                <w:rFonts w:ascii="Times New Roman" w:hAnsi="Times New Roman"/>
                <w:b/>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
                <w:bCs/>
                <w:sz w:val="22"/>
                <w:szCs w:val="22"/>
              </w:rPr>
            </w:pPr>
            <w:r>
              <w:rPr>
                <w:rFonts w:ascii="Times New Roman" w:hAnsi="Times New Roman" w:eastAsia="Times New Roman"/>
                <w:b/>
                <w:bCs/>
                <w:sz w:val="22"/>
                <w:szCs w:val="22"/>
              </w:rPr>
              <w:t xml:space="preserve">1</w:t>
            </w:r>
            <w:r>
              <w:rPr>
                <w:rFonts w:ascii="Times New Roman" w:hAnsi="Times New Roman" w:eastAsia="Times New Roman"/>
                <w:b/>
                <w:bCs/>
                <w:sz w:val="22"/>
                <w:szCs w:val="22"/>
              </w:rPr>
            </w:r>
          </w:p>
        </w:tc>
        <w:tc>
          <w:tcPr>
            <w:tcBorders/>
            <w:tcW w:w="3471" w:type="dxa"/>
            <w:textDirection w:val="lrTb"/>
            <w:noWrap w:val="false"/>
          </w:tcPr>
          <w:p>
            <w:pPr>
              <w:pBdr/>
              <w:spacing/>
              <w:ind/>
              <w:rPr>
                <w:rFonts w:ascii="Times New Roman" w:hAnsi="Times New Roman"/>
                <w:b/>
                <w:bCs/>
                <w:sz w:val="22"/>
                <w:szCs w:val="22"/>
              </w:rPr>
            </w:pPr>
            <w:r>
              <w:rPr>
                <w:rFonts w:ascii="Times New Roman" w:hAnsi="Times New Roman"/>
                <w:b/>
                <w:bCs/>
                <w:sz w:val="22"/>
                <w:szCs w:val="22"/>
              </w:rPr>
              <w:t xml:space="preserve">Кабели связи симметричные для цифровых систем передачи</w:t>
            </w:r>
            <w:r>
              <w:rPr>
                <w:rFonts w:ascii="Times New Roman" w:hAnsi="Times New Roman"/>
                <w:b/>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c>
          <w:tcPr>
            <w:tcBorders/>
            <w:tcW w:w="3118" w:type="dxa"/>
            <w:vAlign w:val="center"/>
            <w:textDirection w:val="lrTb"/>
            <w:noWrap w:val="false"/>
          </w:tcPr>
          <w:p>
            <w:pPr>
              <w:pBdr/>
              <w:spacing/>
              <w:ind/>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471" w:type="dxa"/>
            <w:textDirection w:val="lrTb"/>
            <w:noWrap w:val="false"/>
          </w:tcPr>
          <w:p>
            <w:pPr>
              <w:pBdr/>
              <w:spacing/>
              <w:ind/>
              <w:contextualSpacing w:val="true"/>
              <w:rPr>
                <w:rFonts w:ascii="Times New Roman" w:hAnsi="Times New Roman" w:eastAsia="Times New Roman"/>
                <w:b/>
                <w:bCs/>
                <w:sz w:val="22"/>
                <w:szCs w:val="22"/>
              </w:rPr>
            </w:pPr>
            <w:r>
              <w:rPr>
                <w:rFonts w:ascii="Times New Roman" w:hAnsi="Times New Roman" w:eastAsia="Times New Roman"/>
                <w:b/>
                <w:bCs/>
                <w:sz w:val="22"/>
                <w:szCs w:val="22"/>
              </w:rPr>
              <w:t xml:space="preserve">Общие сведения:</w:t>
            </w:r>
            <w:r>
              <w:rPr>
                <w:rFonts w:ascii="Times New Roman" w:hAnsi="Times New Roman" w:eastAsia="Times New Roman"/>
                <w:b/>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118" w:type="dxa"/>
            <w:vAlign w:val="center"/>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1</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Наименование в соответствии с техническим паспортом и/или руководством по эксплуатации и/или этикеткой производителя</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2</w:t>
            </w:r>
            <w:r>
              <w:rPr>
                <w:rFonts w:ascii="Times New Roman" w:hAnsi="Times New Roman" w:eastAsia="Times New Roman"/>
                <w:bCs/>
                <w:sz w:val="22"/>
                <w:szCs w:val="22"/>
              </w:rPr>
            </w:r>
          </w:p>
        </w:tc>
        <w:tc>
          <w:tcPr>
            <w:tcBorders/>
            <w:tcW w:w="3471"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t xml:space="preserve">Товарный знак</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highlight w:val="yellow"/>
              </w:rPr>
            </w:pPr>
            <w:r>
              <w:rPr>
                <w:rFonts w:ascii="Times New Roman" w:hAnsi="Times New Roman"/>
                <w:sz w:val="22"/>
                <w:szCs w:val="22"/>
                <w:highlight w:val="yellow"/>
              </w:rPr>
            </w:r>
            <w:r>
              <w:rPr>
                <w:rFonts w:ascii="Times New Roman" w:hAnsi="Times New Roman"/>
                <w:sz w:val="22"/>
                <w:szCs w:val="22"/>
                <w:highlight w:val="yellow"/>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3</w:t>
            </w:r>
            <w:r>
              <w:rPr>
                <w:rFonts w:ascii="Times New Roman" w:hAnsi="Times New Roman" w:eastAsia="Times New Roman"/>
                <w:bCs/>
                <w:sz w:val="22"/>
                <w:szCs w:val="22"/>
              </w:rPr>
            </w:r>
          </w:p>
        </w:tc>
        <w:tc>
          <w:tcPr>
            <w:tcBorders/>
            <w:tcW w:w="3471"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t xml:space="preserve">Область применения</w:t>
            </w:r>
            <w:r>
              <w:rPr>
                <w:rFonts w:ascii="Times New Roman" w:hAnsi="Times New Roman"/>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в структурированных кабельных системах</w:t>
            </w:r>
            <w:r>
              <w:rPr>
                <w:rFonts w:ascii="Times New Roman" w:hAnsi="Times New Roman" w:eastAsia="Times New Roman"/>
                <w:bCs/>
                <w:sz w:val="22"/>
                <w:szCs w:val="22"/>
              </w:rPr>
            </w:r>
          </w:p>
        </w:tc>
        <w:tc>
          <w:tcPr>
            <w:tcBorders/>
            <w:tcW w:w="3118" w:type="dxa"/>
            <w:vAlign w:val="center"/>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rHeight w:val="292"/>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4</w:t>
            </w:r>
            <w:r>
              <w:rPr>
                <w:rFonts w:ascii="Times New Roman" w:hAnsi="Times New Roman" w:eastAsia="Times New Roman"/>
                <w:bCs/>
                <w:sz w:val="22"/>
                <w:szCs w:val="22"/>
              </w:rPr>
            </w:r>
          </w:p>
        </w:tc>
        <w:tc>
          <w:tcPr>
            <w:tcBorders/>
            <w:tcW w:w="3471"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t xml:space="preserve">Страна происхождения:</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highlight w:val="white"/>
              </w:rPr>
            </w:pPr>
            <w:r>
              <w:rPr>
                <w:rFonts w:ascii="Times New Roman" w:hAnsi="Times New Roman"/>
                <w:sz w:val="22"/>
                <w:szCs w:val="22"/>
                <w:highlight w:val="white"/>
              </w:rPr>
            </w:r>
            <w:r>
              <w:rPr>
                <w:rFonts w:ascii="Times New Roman" w:hAnsi="Times New Roman"/>
                <w:sz w:val="22"/>
                <w:szCs w:val="22"/>
                <w:highlight w:val="white"/>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b/>
                <w:sz w:val="22"/>
                <w:szCs w:val="22"/>
              </w:rPr>
            </w:pPr>
            <w:r>
              <w:rPr>
                <w:rFonts w:ascii="Times New Roman" w:hAnsi="Times New Roman"/>
                <w:b/>
                <w:sz w:val="22"/>
                <w:szCs w:val="22"/>
              </w:rPr>
              <w:t xml:space="preserve">Технические характеристики:</w:t>
            </w:r>
            <w:r>
              <w:rPr>
                <w:rFonts w:ascii="Times New Roman" w:hAnsi="Times New Roman"/>
                <w:b/>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c>
          <w:tcPr>
            <w:tcBorders/>
            <w:tcW w:w="3118" w:type="dxa"/>
            <w:vAlign w:val="center"/>
            <w:textDirection w:val="lrTb"/>
            <w:noWrap w:val="false"/>
          </w:tcPr>
          <w:p>
            <w:pPr>
              <w:pBdr/>
              <w:spacing/>
              <w:ind/>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5</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Тип скрутки элементов </w:t>
            </w:r>
            <w:r>
              <w:rPr>
                <w:rFonts w:ascii="Times New Roman" w:hAnsi="Times New Roman" w:eastAsia="Times New Roman"/>
                <w:bCs/>
                <w:sz w:val="22"/>
                <w:szCs w:val="22"/>
              </w:rPr>
              <w:t xml:space="preserve">(согласно ГОСТ Р 54429-2011 «Кабели связи симметричные для цифровых систем передачи»)</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парная скрутка (</w:t>
            </w:r>
            <w:r>
              <w:rPr>
                <w:rFonts w:ascii="Times New Roman" w:hAnsi="Times New Roman"/>
                <w:sz w:val="22"/>
                <w:szCs w:val="22"/>
                <w:lang w:val="en-US"/>
              </w:rPr>
              <w:t xml:space="preserve">UTP</w:t>
            </w:r>
            <w:r>
              <w:rPr>
                <w:rFonts w:ascii="Times New Roman" w:hAnsi="Times New Roman"/>
                <w:sz w:val="22"/>
                <w:szCs w:val="22"/>
              </w:rPr>
              <w:t xml:space="preserve">)</w:t>
            </w:r>
            <w:r>
              <w:rPr>
                <w:rFonts w:ascii="Times New Roman" w:hAnsi="Times New Roman"/>
                <w:sz w:val="22"/>
                <w:szCs w:val="22"/>
              </w:rPr>
            </w:r>
          </w:p>
        </w:tc>
        <w:tc>
          <w:tcPr>
            <w:tcBorders/>
            <w:tcW w:w="3118" w:type="dxa"/>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6</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Категория </w:t>
            </w:r>
            <w:r>
              <w:rPr>
                <w:rFonts w:ascii="Times New Roman" w:hAnsi="Times New Roman" w:eastAsia="Times New Roman"/>
                <w:bCs/>
                <w:sz w:val="22"/>
                <w:szCs w:val="22"/>
              </w:rPr>
              <w:t xml:space="preserve">(согласно ГОСТ Р 54429-2011 «Кабели связи симметричные для цифровых систем передачи»)</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5е</w:t>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rHeight w:val="276"/>
        </w:trPr>
        <w:tc>
          <w:tcPr>
            <w:tcBorders/>
            <w:tcW w:w="522" w:type="dxa"/>
            <w:vAlign w:val="center"/>
            <w:vMerge w:val="restart"/>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7</w:t>
            </w:r>
            <w:r>
              <w:rPr>
                <w:rFonts w:ascii="Times New Roman" w:hAnsi="Times New Roman" w:eastAsia="Times New Roman"/>
                <w:bCs/>
                <w:sz w:val="22"/>
                <w:szCs w:val="22"/>
              </w:rPr>
            </w:r>
          </w:p>
        </w:tc>
        <w:tc>
          <w:tcPr>
            <w:tcBorders/>
            <w:tcW w:w="3471" w:type="dxa"/>
            <w:vMerge w:val="restart"/>
            <w:textDirection w:val="lrTb"/>
            <w:noWrap w:val="false"/>
          </w:tcPr>
          <w:p>
            <w:pPr>
              <w:pBdr/>
              <w:spacing/>
              <w:ind/>
              <w:rPr>
                <w:rFonts w:ascii="Times New Roman" w:hAnsi="Times New Roman"/>
                <w:sz w:val="22"/>
                <w:szCs w:val="22"/>
              </w:rPr>
            </w:pPr>
            <w:r>
              <w:rPr>
                <w:rFonts w:ascii="Times New Roman" w:hAnsi="Times New Roman"/>
                <w:sz w:val="22"/>
                <w:szCs w:val="22"/>
              </w:rPr>
              <w:t xml:space="preserve">Число пар </w:t>
            </w:r>
            <w:r>
              <w:rPr>
                <w:rFonts w:ascii="Times New Roman" w:hAnsi="Times New Roman" w:eastAsia="Times New Roman"/>
                <w:bCs/>
                <w:sz w:val="22"/>
                <w:szCs w:val="22"/>
              </w:rPr>
              <w:t xml:space="preserve">(согласно ГОСТ Р 54429-2011 «Кабели связи симметричные для цифровых систем передачи»)</w:t>
            </w:r>
            <w:r>
              <w:rPr>
                <w:rFonts w:ascii="Times New Roman" w:hAnsi="Times New Roman"/>
                <w:sz w:val="22"/>
                <w:szCs w:val="22"/>
              </w:rPr>
            </w:r>
          </w:p>
        </w:tc>
        <w:tc>
          <w:tcPr>
            <w:tcBorders/>
            <w:tcW w:w="3332" w:type="dxa"/>
            <w:vAlign w:val="center"/>
            <w:vMerge w:val="restart"/>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4</w:t>
            </w:r>
            <w:r>
              <w:rPr>
                <w:rFonts w:ascii="Times New Roman" w:hAnsi="Times New Roman"/>
                <w:sz w:val="22"/>
                <w:szCs w:val="22"/>
              </w:rPr>
            </w:r>
          </w:p>
        </w:tc>
        <w:tc>
          <w:tcPr>
            <w:tcBorders/>
            <w:tcW w:w="3118" w:type="dxa"/>
            <w:vAlign w:val="center"/>
            <w:vMerge w:val="restart"/>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8</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Количество жил </w:t>
            </w:r>
            <w:r>
              <w:rPr>
                <w:rFonts w:ascii="Times New Roman" w:hAnsi="Times New Roman" w:eastAsia="Times New Roman"/>
                <w:bCs/>
                <w:sz w:val="22"/>
                <w:szCs w:val="22"/>
              </w:rPr>
              <w:t xml:space="preserve">(согласно ГОСТ Р 54429-2011 «Кабели связи симметричные для цифровых систем передачи»)</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8</w:t>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9</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Материал проводника </w:t>
            </w:r>
            <w:r>
              <w:rPr>
                <w:rFonts w:ascii="Times New Roman" w:hAnsi="Times New Roman" w:eastAsia="Times New Roman"/>
                <w:bCs/>
                <w:sz w:val="22"/>
                <w:szCs w:val="22"/>
              </w:rPr>
              <w:t xml:space="preserve">(согласно ГОСТ Р 54429-2011 «Кабели связи симметричные для цифровых систем передачи»)</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Медь</w:t>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10</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Толщина сечения жилы </w:t>
            </w:r>
            <w:r>
              <w:rPr>
                <w:rFonts w:ascii="Times New Roman" w:hAnsi="Times New Roman" w:eastAsia="Times New Roman"/>
                <w:bCs/>
                <w:sz w:val="22"/>
                <w:szCs w:val="22"/>
              </w:rPr>
              <w:t xml:space="preserve">(согласно ГОСТ Р 54429-2011 «Кабели связи симметричные для цифровых систем передачи»), миллиметр</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b/>
                <w:bCs/>
                <w:sz w:val="22"/>
                <w:szCs w:val="22"/>
              </w:rPr>
            </w:pPr>
            <w:r>
              <w:rPr>
                <w:rFonts w:ascii="Times New Roman" w:hAnsi="Times New Roman"/>
                <w:b/>
                <w:bCs/>
                <w:sz w:val="22"/>
                <w:szCs w:val="22"/>
              </w:rPr>
            </w:r>
            <w:r>
              <w:rPr>
                <w:rFonts w:ascii="Times New Roman" w:hAnsi="Times New Roman"/>
                <w:b/>
                <w:bCs/>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11</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Материал диэлектрика </w:t>
            </w:r>
            <w:r>
              <w:rPr>
                <w:rFonts w:ascii="Times New Roman" w:hAnsi="Times New Roman" w:eastAsia="Times New Roman"/>
                <w:bCs/>
                <w:sz w:val="22"/>
                <w:szCs w:val="22"/>
              </w:rPr>
              <w:t xml:space="preserve">(согласно ГОСТ Р 54429-2011 «Кабели связи симметричные для цифровых систем передачи»)</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lang w:val="en-US"/>
              </w:rPr>
              <w:t xml:space="preserve">PVC</w:t>
            </w:r>
            <w:r>
              <w:rPr>
                <w:rFonts w:ascii="Times New Roman" w:hAnsi="Times New Roman"/>
                <w:sz w:val="22"/>
                <w:szCs w:val="22"/>
              </w:rPr>
            </w:r>
          </w:p>
        </w:tc>
        <w:tc>
          <w:tcPr>
            <w:tcBorders/>
            <w:tcW w:w="3118" w:type="dxa"/>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12</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Длина кабеля в единице упаковки, метр</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c>
          <w:tcPr>
            <w:tcBorders/>
            <w:tcW w:w="3118" w:type="dxa"/>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13</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Упаковка</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бухта</w:t>
            </w:r>
            <w:r>
              <w:rPr>
                <w:rFonts w:ascii="Times New Roman" w:hAnsi="Times New Roman"/>
                <w:sz w:val="22"/>
                <w:szCs w:val="22"/>
              </w:rPr>
            </w:r>
          </w:p>
        </w:tc>
        <w:tc>
          <w:tcPr>
            <w:tcBorders/>
            <w:tcW w:w="3118" w:type="dxa"/>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
                <w:bCs/>
                <w:sz w:val="22"/>
                <w:szCs w:val="22"/>
              </w:rPr>
            </w:pPr>
            <w:r>
              <w:rPr>
                <w:rFonts w:ascii="Times New Roman" w:hAnsi="Times New Roman" w:eastAsia="Times New Roman"/>
                <w:b/>
                <w:bCs/>
                <w:sz w:val="22"/>
                <w:szCs w:val="22"/>
              </w:rPr>
              <w:t xml:space="preserve">2</w:t>
            </w:r>
            <w:r>
              <w:rPr>
                <w:rFonts w:ascii="Times New Roman" w:hAnsi="Times New Roman" w:eastAsia="Times New Roman"/>
                <w:b/>
                <w:bCs/>
                <w:sz w:val="22"/>
                <w:szCs w:val="22"/>
              </w:rPr>
            </w:r>
          </w:p>
        </w:tc>
        <w:tc>
          <w:tcPr>
            <w:tcBorders/>
            <w:tcW w:w="3471" w:type="dxa"/>
            <w:textDirection w:val="lrTb"/>
            <w:noWrap w:val="false"/>
          </w:tcPr>
          <w:p>
            <w:pPr>
              <w:pBdr/>
              <w:spacing/>
              <w:ind/>
              <w:contextualSpacing w:val="true"/>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c>
          <w:tcPr>
            <w:tcBorders/>
            <w:tcW w:w="3118" w:type="dxa"/>
            <w:vAlign w:val="center"/>
            <w:textDirection w:val="lrTb"/>
            <w:noWrap w:val="false"/>
          </w:tcPr>
          <w:p>
            <w:pPr>
              <w:pBdr/>
              <w:spacing/>
              <w:ind/>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471" w:type="dxa"/>
            <w:textDirection w:val="lrTb"/>
            <w:noWrap w:val="false"/>
          </w:tcPr>
          <w:p>
            <w:pPr>
              <w:pBdr/>
              <w:spacing/>
              <w:ind/>
              <w:contextualSpacing w:val="true"/>
              <w:rPr>
                <w:rFonts w:ascii="Times New Roman" w:hAnsi="Times New Roman" w:eastAsia="Times New Roman"/>
                <w:b/>
                <w:bCs/>
                <w:sz w:val="22"/>
                <w:szCs w:val="22"/>
              </w:rPr>
            </w:pPr>
            <w:r>
              <w:rPr>
                <w:rFonts w:ascii="Times New Roman" w:hAnsi="Times New Roman" w:eastAsia="Times New Roman"/>
                <w:b/>
                <w:bCs/>
                <w:sz w:val="22"/>
                <w:szCs w:val="22"/>
              </w:rPr>
              <w:t xml:space="preserve">Общие сведения:</w:t>
            </w:r>
            <w:r>
              <w:rPr>
                <w:rFonts w:ascii="Times New Roman" w:hAnsi="Times New Roman" w:eastAsia="Times New Roman"/>
                <w:b/>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118" w:type="dxa"/>
            <w:vAlign w:val="center"/>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1</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Наименование в соответствии с техническим паспортом и/или руководством по эксплуатации и/или этикеткой производителя</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2</w:t>
            </w:r>
            <w:r>
              <w:rPr>
                <w:rFonts w:ascii="Times New Roman" w:hAnsi="Times New Roman" w:eastAsia="Times New Roman"/>
                <w:bCs/>
                <w:sz w:val="22"/>
                <w:szCs w:val="22"/>
              </w:rPr>
            </w:r>
          </w:p>
        </w:tc>
        <w:tc>
          <w:tcPr>
            <w:tcBorders/>
            <w:tcW w:w="3471"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t xml:space="preserve">Товарный знак</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3</w:t>
            </w:r>
            <w:r>
              <w:rPr>
                <w:rFonts w:ascii="Times New Roman" w:hAnsi="Times New Roman" w:eastAsia="Times New Roman"/>
                <w:bCs/>
                <w:sz w:val="22"/>
                <w:szCs w:val="22"/>
              </w:rPr>
            </w:r>
          </w:p>
        </w:tc>
        <w:tc>
          <w:tcPr>
            <w:tcBorders/>
            <w:tcW w:w="3471"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Назначение</w:t>
            </w:r>
            <w:r>
              <w:rPr>
                <w:rFonts w:ascii="Times New Roman" w:hAnsi="Times New Roman"/>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для монтажа на архитектурную поверхность (стену, пол, потолок) и заключения в своём объёме проводов и кабелей</w:t>
            </w:r>
            <w:r>
              <w:rPr>
                <w:rFonts w:ascii="Times New Roman" w:hAnsi="Times New Roman" w:eastAsia="Times New Roman"/>
                <w:bCs/>
                <w:sz w:val="22"/>
                <w:szCs w:val="22"/>
              </w:rPr>
            </w:r>
          </w:p>
        </w:tc>
        <w:tc>
          <w:tcPr>
            <w:tcBorders/>
            <w:tcW w:w="3118" w:type="dxa"/>
            <w:vAlign w:val="center"/>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4</w:t>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Страна происхождения</w:t>
            </w:r>
            <w:r>
              <w:rPr>
                <w:rFonts w:ascii="Times New Roman" w:hAnsi="Times New Roman"/>
                <w:sz w:val="22"/>
                <w:szCs w:val="22"/>
              </w:rPr>
            </w:r>
          </w:p>
        </w:tc>
        <w:tc>
          <w:tcPr>
            <w:tcBorders/>
            <w:tcW w:w="3332" w:type="dxa"/>
            <w:vAlign w:val="center"/>
            <w:textDirection w:val="lrTb"/>
            <w:noWrap w:val="false"/>
          </w:tcPr>
          <w:p>
            <w:pPr>
              <w:pBdr/>
              <w:spacing/>
              <w:ind/>
              <w:jc w:val="center"/>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c>
          <w:tcPr>
            <w:tcBorders/>
            <w:tcW w:w="3118" w:type="dxa"/>
            <w:vAlign w:val="center"/>
            <w:textDirection w:val="lrTb"/>
            <w:noWrap w:val="false"/>
          </w:tcPr>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471" w:type="dxa"/>
            <w:textDirection w:val="lrTb"/>
            <w:noWrap w:val="false"/>
          </w:tcPr>
          <w:p>
            <w:pPr>
              <w:pBdr/>
              <w:spacing/>
              <w:ind/>
              <w:rPr>
                <w:rFonts w:ascii="Times New Roman" w:hAnsi="Times New Roman"/>
                <w:b/>
                <w:sz w:val="22"/>
                <w:szCs w:val="22"/>
              </w:rPr>
            </w:pPr>
            <w:r>
              <w:rPr>
                <w:rFonts w:ascii="Times New Roman" w:hAnsi="Times New Roman"/>
                <w:b/>
                <w:sz w:val="22"/>
                <w:szCs w:val="22"/>
              </w:rPr>
              <w:t xml:space="preserve">Технические характеристики:</w:t>
            </w:r>
            <w:r>
              <w:rPr>
                <w:rFonts w:ascii="Times New Roman" w:hAnsi="Times New Roman"/>
                <w:b/>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c>
          <w:tcPr>
            <w:tcBorders/>
            <w:tcW w:w="3118" w:type="dxa"/>
            <w:vAlign w:val="center"/>
            <w:textDirection w:val="lrTb"/>
            <w:noWrap w:val="false"/>
          </w:tcPr>
          <w:p>
            <w:pPr>
              <w:pBdr/>
              <w:spacing/>
              <w:ind/>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5</w:t>
            </w:r>
            <w:r>
              <w:rPr>
                <w:rFonts w:ascii="Times New Roman" w:hAnsi="Times New Roman" w:eastAsia="Times New Roman"/>
                <w:bCs/>
                <w:sz w:val="22"/>
                <w:szCs w:val="22"/>
              </w:rPr>
            </w:r>
          </w:p>
        </w:tc>
        <w:tc>
          <w:tcPr>
            <w:tcBorders/>
            <w:tcW w:w="3471" w:type="dxa"/>
            <w:textDirection w:val="lrTb"/>
            <w:noWrap w:val="false"/>
          </w:tcPr>
          <w:p>
            <w:pPr>
              <w:pBdr/>
              <w:spacing/>
              <w:ind/>
              <w:contextualSpacing w:val="true"/>
              <w:rPr>
                <w:rFonts w:ascii="Times New Roman" w:hAnsi="Times New Roman" w:eastAsia="Times New Roman"/>
                <w:bCs/>
                <w:sz w:val="22"/>
                <w:szCs w:val="22"/>
              </w:rPr>
            </w:pPr>
            <w:r>
              <w:rPr>
                <w:rFonts w:ascii="Times New Roman" w:hAnsi="Times New Roman" w:eastAsia="Times New Roman"/>
                <w:bCs/>
                <w:sz w:val="22"/>
                <w:szCs w:val="22"/>
              </w:rPr>
              <w:t xml:space="preserve">Высота (внешняя), миллиметр</w:t>
            </w:r>
            <w:r>
              <w:rPr>
                <w:rFonts w:ascii="Times New Roman" w:hAnsi="Times New Roman" w:eastAsia="Times New Roman"/>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118" w:type="dxa"/>
            <w:vAlign w:val="center"/>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6</w:t>
            </w:r>
            <w:r>
              <w:rPr>
                <w:rFonts w:ascii="Times New Roman" w:hAnsi="Times New Roman" w:eastAsia="Times New Roman"/>
                <w:bCs/>
                <w:sz w:val="22"/>
                <w:szCs w:val="22"/>
              </w:rPr>
            </w:r>
          </w:p>
        </w:tc>
        <w:tc>
          <w:tcPr>
            <w:tcBorders/>
            <w:tcW w:w="3471" w:type="dxa"/>
            <w:textDirection w:val="lrTb"/>
            <w:noWrap w:val="false"/>
          </w:tcPr>
          <w:p>
            <w:pPr>
              <w:pBdr/>
              <w:spacing/>
              <w:ind/>
              <w:contextualSpacing w:val="true"/>
              <w:rPr>
                <w:rFonts w:ascii="Times New Roman" w:hAnsi="Times New Roman" w:eastAsia="Times New Roman"/>
                <w:bCs/>
                <w:sz w:val="22"/>
                <w:szCs w:val="22"/>
              </w:rPr>
            </w:pPr>
            <w:r>
              <w:rPr>
                <w:rFonts w:ascii="Times New Roman" w:hAnsi="Times New Roman" w:eastAsia="Times New Roman"/>
                <w:bCs/>
                <w:sz w:val="22"/>
                <w:szCs w:val="22"/>
              </w:rPr>
              <w:t xml:space="preserve">Ширина (внешняя), миллиметр</w:t>
            </w:r>
            <w:r>
              <w:rPr>
                <w:rFonts w:ascii="Times New Roman" w:hAnsi="Times New Roman" w:eastAsia="Times New Roman"/>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118" w:type="dxa"/>
            <w:vAlign w:val="center"/>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7</w:t>
            </w:r>
            <w:r>
              <w:rPr>
                <w:rFonts w:ascii="Times New Roman" w:hAnsi="Times New Roman" w:eastAsia="Times New Roman"/>
                <w:bCs/>
                <w:sz w:val="22"/>
                <w:szCs w:val="22"/>
              </w:rPr>
            </w:r>
          </w:p>
        </w:tc>
        <w:tc>
          <w:tcPr>
            <w:tcBorders/>
            <w:tcW w:w="3471" w:type="dxa"/>
            <w:textDirection w:val="lrTb"/>
            <w:noWrap w:val="false"/>
          </w:tcPr>
          <w:p>
            <w:pPr>
              <w:pBdr/>
              <w:spacing/>
              <w:ind/>
              <w:contextualSpacing w:val="true"/>
              <w:rPr>
                <w:rFonts w:ascii="Times New Roman" w:hAnsi="Times New Roman" w:eastAsia="Times New Roman"/>
                <w:bCs/>
                <w:sz w:val="22"/>
                <w:szCs w:val="22"/>
              </w:rPr>
            </w:pPr>
            <w:r>
              <w:rPr>
                <w:rFonts w:ascii="Times New Roman" w:hAnsi="Times New Roman" w:eastAsia="Times New Roman"/>
                <w:bCs/>
                <w:sz w:val="22"/>
                <w:szCs w:val="22"/>
              </w:rPr>
              <w:t xml:space="preserve">Длина, миллиметр</w:t>
            </w:r>
            <w:r>
              <w:rPr>
                <w:rFonts w:ascii="Times New Roman" w:hAnsi="Times New Roman" w:eastAsia="Times New Roman"/>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r>
            <w:r>
              <w:rPr>
                <w:rFonts w:ascii="Times New Roman" w:hAnsi="Times New Roman" w:eastAsia="Times New Roman"/>
                <w:bCs/>
                <w:sz w:val="22"/>
                <w:szCs w:val="22"/>
              </w:rPr>
            </w:r>
          </w:p>
        </w:tc>
        <w:tc>
          <w:tcPr>
            <w:tcBorders/>
            <w:tcW w:w="3118" w:type="dxa"/>
            <w:vAlign w:val="center"/>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rHeight w:val="276"/>
        </w:trPr>
        <w:tc>
          <w:tcPr>
            <w:tcBorders/>
            <w:tcW w:w="522" w:type="dxa"/>
            <w:vAlign w:val="center"/>
            <w:vMerge w:val="restart"/>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8</w:t>
            </w:r>
            <w:r>
              <w:rPr>
                <w:rFonts w:ascii="Times New Roman" w:hAnsi="Times New Roman" w:eastAsia="Times New Roman"/>
                <w:bCs/>
                <w:sz w:val="22"/>
                <w:szCs w:val="22"/>
              </w:rPr>
            </w:r>
          </w:p>
        </w:tc>
        <w:tc>
          <w:tcPr>
            <w:tcBorders/>
            <w:tcW w:w="3471" w:type="dxa"/>
            <w:vMerge w:val="restart"/>
            <w:textDirection w:val="lrTb"/>
            <w:noWrap w:val="false"/>
          </w:tcPr>
          <w:p>
            <w:pPr>
              <w:pBdr/>
              <w:spacing/>
              <w:ind/>
              <w:contextualSpacing w:val="true"/>
              <w:rPr>
                <w:rFonts w:ascii="Times New Roman" w:hAnsi="Times New Roman" w:eastAsia="Times New Roman"/>
                <w:bCs/>
                <w:sz w:val="22"/>
                <w:szCs w:val="22"/>
              </w:rPr>
            </w:pPr>
            <w:r>
              <w:rPr>
                <w:rFonts w:ascii="Times New Roman" w:hAnsi="Times New Roman" w:eastAsia="Times New Roman"/>
                <w:bCs/>
                <w:sz w:val="22"/>
                <w:szCs w:val="22"/>
              </w:rPr>
              <w:t xml:space="preserve">Наличие крышки</w:t>
            </w:r>
            <w:r>
              <w:rPr>
                <w:rFonts w:ascii="Times New Roman" w:hAnsi="Times New Roman" w:eastAsia="Times New Roman"/>
                <w:bCs/>
                <w:sz w:val="22"/>
                <w:szCs w:val="22"/>
              </w:rPr>
            </w:r>
          </w:p>
        </w:tc>
        <w:tc>
          <w:tcPr>
            <w:tcBorders/>
            <w:tcW w:w="3332" w:type="dxa"/>
            <w:vAlign w:val="center"/>
            <w:vMerge w:val="restart"/>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Да</w:t>
            </w:r>
            <w:r>
              <w:rPr>
                <w:rFonts w:ascii="Times New Roman" w:hAnsi="Times New Roman" w:eastAsia="Times New Roman"/>
                <w:bCs/>
                <w:sz w:val="22"/>
                <w:szCs w:val="22"/>
              </w:rPr>
            </w:r>
          </w:p>
        </w:tc>
        <w:tc>
          <w:tcPr>
            <w:tcBorders/>
            <w:tcW w:w="3118" w:type="dxa"/>
            <w:vAlign w:val="center"/>
            <w:vMerge w:val="restart"/>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9</w:t>
            </w:r>
            <w:r>
              <w:rPr>
                <w:rFonts w:ascii="Times New Roman" w:hAnsi="Times New Roman" w:eastAsia="Times New Roman"/>
                <w:bCs/>
                <w:sz w:val="22"/>
                <w:szCs w:val="22"/>
              </w:rPr>
            </w:r>
          </w:p>
        </w:tc>
        <w:tc>
          <w:tcPr>
            <w:tcBorders/>
            <w:tcW w:w="3471" w:type="dxa"/>
            <w:textDirection w:val="lrTb"/>
            <w:noWrap w:val="false"/>
          </w:tcPr>
          <w:p>
            <w:pPr>
              <w:pBdr/>
              <w:spacing/>
              <w:ind/>
              <w:contextualSpacing w:val="true"/>
              <w:rPr>
                <w:rFonts w:ascii="Times New Roman" w:hAnsi="Times New Roman" w:eastAsia="Times New Roman"/>
                <w:bCs/>
                <w:sz w:val="22"/>
                <w:szCs w:val="22"/>
              </w:rPr>
            </w:pPr>
            <w:r>
              <w:rPr>
                <w:rFonts w:ascii="Times New Roman" w:hAnsi="Times New Roman" w:eastAsia="Times New Roman"/>
                <w:bCs/>
                <w:sz w:val="22"/>
                <w:szCs w:val="22"/>
              </w:rPr>
              <w:t xml:space="preserve">Тип монтажа</w:t>
            </w:r>
            <w:r>
              <w:rPr>
                <w:rFonts w:ascii="Times New Roman" w:hAnsi="Times New Roman" w:eastAsia="Times New Roman"/>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sz w:val="22"/>
                <w:szCs w:val="22"/>
              </w:rPr>
            </w:pPr>
            <w:r>
              <w:rPr>
                <w:rFonts w:ascii="Times New Roman" w:hAnsi="Times New Roman" w:eastAsia="Times New Roman"/>
                <w:sz w:val="22"/>
                <w:szCs w:val="22"/>
              </w:rPr>
              <w:t xml:space="preserve">Парапетные</w:t>
            </w:r>
            <w:r>
              <w:rPr>
                <w:rFonts w:ascii="Times New Roman" w:hAnsi="Times New Roman" w:eastAsia="Times New Roman"/>
                <w:sz w:val="22"/>
                <w:szCs w:val="22"/>
              </w:rPr>
            </w:r>
          </w:p>
        </w:tc>
        <w:tc>
          <w:tcPr>
            <w:tcBorders/>
            <w:tcW w:w="3118" w:type="dxa"/>
            <w:vAlign w:val="center"/>
            <w:textDirection w:val="lrTb"/>
            <w:noWrap w:val="false"/>
          </w:tcPr>
          <w:p>
            <w:pPr>
              <w:pBdr/>
              <w:spacing/>
              <w:ind/>
              <w:rPr>
                <w:rFonts w:ascii="Times New Roman" w:hAnsi="Times New Roman" w:eastAsia="Times New Roman"/>
                <w:b/>
                <w:bCs/>
                <w:sz w:val="22"/>
                <w:szCs w:val="22"/>
              </w:rPr>
            </w:pPr>
            <w:r>
              <w:rPr>
                <w:rFonts w:ascii="Times New Roman" w:hAnsi="Times New Roman" w:eastAsia="Times New Roman"/>
                <w:b/>
                <w:bCs/>
                <w:sz w:val="22"/>
                <w:szCs w:val="22"/>
              </w:rPr>
            </w:r>
            <w:r>
              <w:rPr>
                <w:rFonts w:ascii="Times New Roman" w:hAnsi="Times New Roman" w:eastAsia="Times New Roman"/>
                <w:b/>
                <w:bCs/>
                <w:sz w:val="22"/>
                <w:szCs w:val="22"/>
              </w:rPr>
            </w:r>
          </w:p>
        </w:tc>
      </w:tr>
      <w:tr>
        <w:trPr/>
        <w:tc>
          <w:tcPr>
            <w:tcBorders/>
            <w:tcW w:w="522" w:type="dxa"/>
            <w:vAlign w:val="center"/>
            <w:textDirection w:val="lrTb"/>
            <w:noWrap w:val="false"/>
          </w:tcPr>
          <w:p>
            <w:pPr>
              <w:pBdr/>
              <w:spacing/>
              <w:ind/>
              <w:contextualSpacing w:val="true"/>
              <w:jc w:val="center"/>
              <w:rPr>
                <w:rFonts w:ascii="Times New Roman" w:hAnsi="Times New Roman" w:eastAsia="Times New Roman"/>
                <w:bCs/>
                <w:sz w:val="22"/>
                <w:szCs w:val="22"/>
              </w:rPr>
            </w:pPr>
            <w:r>
              <w:rPr>
                <w:rFonts w:ascii="Times New Roman" w:hAnsi="Times New Roman" w:eastAsia="Times New Roman"/>
                <w:bCs/>
                <w:sz w:val="22"/>
                <w:szCs w:val="22"/>
              </w:rPr>
              <w:t xml:space="preserve">10</w:t>
            </w:r>
            <w:r>
              <w:rPr>
                <w:rFonts w:ascii="Times New Roman" w:hAnsi="Times New Roman" w:eastAsia="Times New Roman"/>
                <w:bCs/>
                <w:sz w:val="22"/>
                <w:szCs w:val="22"/>
              </w:rPr>
            </w:r>
          </w:p>
        </w:tc>
        <w:tc>
          <w:tcPr>
            <w:tcBorders/>
            <w:tcW w:w="3471" w:type="dxa"/>
            <w:textDirection w:val="lrTb"/>
            <w:noWrap w:val="false"/>
          </w:tcPr>
          <w:p>
            <w:pPr>
              <w:pBdr/>
              <w:spacing/>
              <w:ind/>
              <w:contextualSpacing w:val="true"/>
              <w:rPr>
                <w:rFonts w:ascii="Times New Roman" w:hAnsi="Times New Roman" w:eastAsia="Times New Roman"/>
                <w:bCs/>
                <w:sz w:val="22"/>
                <w:szCs w:val="22"/>
              </w:rPr>
            </w:pPr>
            <w:r>
              <w:rPr>
                <w:rFonts w:ascii="Times New Roman" w:hAnsi="Times New Roman" w:eastAsia="Times New Roman"/>
                <w:bCs/>
                <w:sz w:val="22"/>
                <w:szCs w:val="22"/>
              </w:rPr>
              <w:t xml:space="preserve">Цвет</w:t>
            </w:r>
            <w:r>
              <w:rPr>
                <w:rFonts w:ascii="Times New Roman" w:hAnsi="Times New Roman" w:eastAsia="Times New Roman"/>
                <w:bCs/>
                <w:sz w:val="22"/>
                <w:szCs w:val="22"/>
              </w:rPr>
            </w:r>
          </w:p>
        </w:tc>
        <w:tc>
          <w:tcPr>
            <w:tcBorders/>
            <w:tcW w:w="3332" w:type="dxa"/>
            <w:vAlign w:val="center"/>
            <w:textDirection w:val="lrTb"/>
            <w:noWrap w:val="false"/>
          </w:tcPr>
          <w:p>
            <w:pPr>
              <w:pBdr/>
              <w:spacing/>
              <w:ind/>
              <w:contextualSpacing w:val="true"/>
              <w:jc w:val="center"/>
              <w:rPr>
                <w:rFonts w:ascii="Times New Roman" w:hAnsi="Times New Roman" w:eastAsia="Times New Roman"/>
                <w:sz w:val="22"/>
                <w:szCs w:val="22"/>
              </w:rPr>
            </w:pPr>
            <w:r>
              <w:rPr>
                <w:rFonts w:ascii="Times New Roman" w:hAnsi="Times New Roman" w:eastAsia="Times New Roman"/>
                <w:sz w:val="22"/>
                <w:szCs w:val="22"/>
              </w:rPr>
              <w:t xml:space="preserve">Белый</w:t>
            </w:r>
            <w:r>
              <w:rPr>
                <w:rFonts w:ascii="Times New Roman" w:hAnsi="Times New Roman" w:eastAsia="Times New Roman"/>
                <w:sz w:val="22"/>
                <w:szCs w:val="22"/>
              </w:rPr>
            </w:r>
          </w:p>
        </w:tc>
        <w:tc>
          <w:tcPr>
            <w:tcBorders/>
            <w:tcW w:w="3118" w:type="dxa"/>
            <w:vAlign w:val="center"/>
            <w:textDirection w:val="lrTb"/>
            <w:noWrap w:val="false"/>
          </w:tcPr>
          <w:p>
            <w:pPr>
              <w:pBdr/>
              <w:spacing/>
              <w:ind/>
              <w:rPr>
                <w:rFonts w:ascii="Times New Roman" w:hAnsi="Times New Roman" w:eastAsia="Times New Roman"/>
                <w:b/>
                <w:bCs/>
                <w:sz w:val="22"/>
                <w:szCs w:val="22"/>
              </w:rPr>
            </w:pPr>
            <w:r>
              <w:rPr>
                <w:rFonts w:ascii="Times New Roman" w:hAnsi="Times New Roman" w:eastAsia="Times New Roman"/>
                <w:b/>
                <w:bCs/>
                <w:sz w:val="22"/>
                <w:szCs w:val="22"/>
              </w:rPr>
              <w:t xml:space="preserve">Для обеспечения единообразия и целостности интерьера</w:t>
            </w:r>
            <w:r>
              <w:rPr>
                <w:rFonts w:ascii="Times New Roman" w:hAnsi="Times New Roman" w:eastAsia="Times New Roman"/>
                <w:b/>
                <w:bCs/>
                <w:sz w:val="22"/>
                <w:szCs w:val="22"/>
              </w:rPr>
            </w:r>
          </w:p>
        </w:tc>
      </w:tr>
    </w:tbl>
    <w:p>
      <w:pPr>
        <w:pBdr/>
        <w:spacing/>
        <w:ind/>
        <w:contextualSpacing w:val="true"/>
        <w:jc w:val="center"/>
        <w:rPr>
          <w:b/>
          <w:sz w:val="22"/>
          <w:szCs w:val="22"/>
        </w:rPr>
      </w:pPr>
      <w:r>
        <w:rPr>
          <w:b/>
          <w:sz w:val="22"/>
          <w:szCs w:val="22"/>
        </w:rPr>
      </w:r>
      <w:r>
        <w:rPr>
          <w:b/>
          <w:sz w:val="22"/>
          <w:szCs w:val="22"/>
        </w:rPr>
      </w:r>
    </w:p>
    <w:p>
      <w:pPr>
        <w:pStyle w:val="1083"/>
        <w:pBdr/>
        <w:spacing/>
        <w:ind w:firstLine="567"/>
        <w:jc w:val="center"/>
        <w:rPr>
          <w:b/>
          <w:color w:val="000000"/>
          <w:sz w:val="22"/>
          <w:szCs w:val="22"/>
        </w:rPr>
      </w:pPr>
      <w:r>
        <w:rPr>
          <w:b/>
          <w:color w:val="000000"/>
          <w:sz w:val="22"/>
          <w:szCs w:val="22"/>
        </w:rPr>
        <w:t xml:space="preserve">Место и условия поставки товара</w:t>
      </w:r>
      <w:r>
        <w:rPr>
          <w:b/>
          <w:color w:val="000000"/>
          <w:sz w:val="22"/>
          <w:szCs w:val="22"/>
        </w:rPr>
      </w:r>
    </w:p>
    <w:p>
      <w:pPr>
        <w:pStyle w:val="1083"/>
        <w:pBdr/>
        <w:spacing/>
        <w:ind w:firstLine="567"/>
        <w:jc w:val="both"/>
        <w:rPr>
          <w:rFonts w:eastAsia="Calibri"/>
          <w:sz w:val="22"/>
          <w:szCs w:val="22"/>
          <w:lang w:eastAsia="en-US"/>
        </w:rPr>
      </w:pPr>
      <w:r>
        <w:rPr>
          <w:rFonts w:eastAsia="Calibri"/>
          <w:sz w:val="22"/>
          <w:szCs w:val="22"/>
          <w:lang w:eastAsia="en-US"/>
        </w:rPr>
        <w:t xml:space="preserve">Поставка Товара осуществляется силами и за счет средств Поставщика на условиях поставки, разгрузки в месте доставки Товара, с</w:t>
      </w:r>
      <w:r>
        <w:rPr>
          <w:rFonts w:eastAsia="Calibri"/>
          <w:sz w:val="22"/>
          <w:szCs w:val="22"/>
        </w:rPr>
        <w:t xml:space="preserve">кладирования в месте поставки</w:t>
      </w:r>
      <w:r>
        <w:rPr>
          <w:sz w:val="22"/>
          <w:szCs w:val="22"/>
        </w:rPr>
        <w:t xml:space="preserve"> по адресу Заказчика</w:t>
      </w:r>
      <w:r>
        <w:rPr>
          <w:rFonts w:eastAsia="Calibri"/>
          <w:sz w:val="22"/>
          <w:szCs w:val="22"/>
          <w:lang w:eastAsia="en-US"/>
        </w:rPr>
        <w:t xml:space="preserve">:</w:t>
      </w:r>
      <w:r>
        <w:rPr>
          <w:rFonts w:eastAsia="Calibri"/>
          <w:sz w:val="22"/>
          <w:szCs w:val="22"/>
          <w:lang w:eastAsia="en-US"/>
        </w:rPr>
      </w:r>
    </w:p>
    <w:p>
      <w:pPr>
        <w:pStyle w:val="1008"/>
        <w:pBdr/>
        <w:tabs>
          <w:tab w:val="left" w:leader="none" w:pos="9923"/>
        </w:tabs>
        <w:spacing/>
        <w:ind/>
        <w:jc w:val="both"/>
        <w:rPr>
          <w:rFonts w:ascii="Times New Roman" w:hAnsi="Times New Roman" w:eastAsia="Calibri"/>
          <w:b/>
          <w:sz w:val="22"/>
          <w:szCs w:val="22"/>
        </w:rPr>
      </w:pPr>
      <w:r>
        <w:rPr>
          <w:rFonts w:ascii="Times New Roman" w:hAnsi="Times New Roman" w:eastAsia="Calibri"/>
          <w:b/>
          <w:sz w:val="22"/>
          <w:szCs w:val="22"/>
        </w:rPr>
        <w:t xml:space="preserve">Место поставки: </w:t>
      </w:r>
      <w:r>
        <w:rPr>
          <w:rFonts w:ascii="Times New Roman" w:hAnsi="Times New Roman" w:eastAsia="Calibri"/>
          <w:b/>
          <w:sz w:val="22"/>
          <w:szCs w:val="22"/>
        </w:rPr>
      </w:r>
      <w:r>
        <w:rPr>
          <w:rFonts w:ascii="Times New Roman" w:hAnsi="Times New Roman" w:eastAsia="Calibri"/>
          <w:b/>
          <w:sz w:val="22"/>
          <w:szCs w:val="22"/>
        </w:rPr>
      </w:r>
      <w:r>
        <w:rPr>
          <w:rFonts w:ascii="Times New Roman" w:hAnsi="Times New Roman" w:eastAsia="Calibri"/>
          <w:b/>
          <w:sz w:val="22"/>
          <w:szCs w:val="22"/>
        </w:rPr>
      </w:r>
      <w:r>
        <w:rPr>
          <w:rFonts w:ascii="Times New Roman" w:hAnsi="Times New Roman" w:eastAsia="Calibri"/>
          <w:b/>
          <w:sz w:val="22"/>
          <w:szCs w:val="22"/>
        </w:rPr>
      </w:r>
    </w:p>
    <w:tbl>
      <w:tblPr>
        <w:tblInd w:w="108" w:type="dxa"/>
        <w:tblW w:w="489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595"/>
        <w:gridCol w:w="2240"/>
        <w:gridCol w:w="1702"/>
        <w:gridCol w:w="1308"/>
        <w:gridCol w:w="1306"/>
        <w:gridCol w:w="1355"/>
        <w:gridCol w:w="1700"/>
      </w:tblGrid>
      <w:tr>
        <w:trPr/>
        <w:tc>
          <w:tcPr>
            <w:tcBorders>
              <w:top w:val="single" w:color="auto" w:sz="4" w:space="0"/>
              <w:left w:val="single" w:color="auto" w:sz="4" w:space="0"/>
              <w:bottom w:val="single" w:color="auto" w:sz="4" w:space="0"/>
              <w:right w:val="single" w:color="auto" w:sz="4" w:space="0"/>
            </w:tcBorders>
            <w:tcW w:w="291" w:type="pct"/>
            <w:vAlign w:val="center"/>
            <w:textDirection w:val="lrTb"/>
            <w:noWrap w:val="false"/>
          </w:tcPr>
          <w:p>
            <w:pPr>
              <w:pBdr/>
              <w:spacing/>
              <w:ind/>
              <w:jc w:val="center"/>
              <w:rPr>
                <w:sz w:val="22"/>
                <w:szCs w:val="22"/>
              </w:rPr>
            </w:pPr>
            <w:r>
              <w:rPr>
                <w:sz w:val="22"/>
                <w:szCs w:val="22"/>
              </w:rPr>
              <w:t xml:space="preserve">N п/п</w:t>
            </w:r>
            <w:r>
              <w:rPr>
                <w:sz w:val="22"/>
                <w:szCs w:val="22"/>
              </w:rPr>
            </w:r>
          </w:p>
        </w:tc>
        <w:tc>
          <w:tcPr>
            <w:tcBorders>
              <w:top w:val="single" w:color="auto" w:sz="4" w:space="0"/>
              <w:left w:val="single" w:color="auto" w:sz="4" w:space="0"/>
              <w:bottom w:val="single" w:color="auto" w:sz="4" w:space="0"/>
              <w:right w:val="single" w:color="auto" w:sz="4" w:space="0"/>
            </w:tcBorders>
            <w:tcW w:w="1097" w:type="pct"/>
            <w:vAlign w:val="center"/>
            <w:textDirection w:val="lrTb"/>
            <w:noWrap w:val="false"/>
          </w:tcPr>
          <w:p>
            <w:pPr>
              <w:pBdr/>
              <w:spacing/>
              <w:ind/>
              <w:jc w:val="center"/>
              <w:rPr>
                <w:sz w:val="22"/>
                <w:szCs w:val="22"/>
              </w:rPr>
            </w:pPr>
            <w:r>
              <w:rPr>
                <w:sz w:val="22"/>
                <w:szCs w:val="22"/>
              </w:rPr>
              <w:t xml:space="preserve">Наименование товара</w:t>
            </w:r>
            <w:r>
              <w:rPr>
                <w:sz w:val="22"/>
                <w:szCs w:val="22"/>
              </w:rPr>
            </w:r>
          </w:p>
        </w:tc>
        <w:tc>
          <w:tcPr>
            <w:tcBorders>
              <w:top w:val="single" w:color="auto" w:sz="4" w:space="0"/>
              <w:left w:val="single" w:color="auto" w:sz="4" w:space="0"/>
              <w:bottom w:val="single" w:color="auto" w:sz="4" w:space="0"/>
              <w:right w:val="single" w:color="auto" w:sz="4" w:space="0"/>
            </w:tcBorders>
            <w:tcW w:w="834" w:type="pct"/>
            <w:vAlign w:val="center"/>
            <w:textDirection w:val="lrTb"/>
            <w:noWrap w:val="false"/>
          </w:tcPr>
          <w:p>
            <w:pPr>
              <w:pBdr/>
              <w:spacing/>
              <w:ind/>
              <w:jc w:val="center"/>
              <w:rPr>
                <w:sz w:val="22"/>
                <w:szCs w:val="22"/>
              </w:rPr>
            </w:pPr>
            <w:r>
              <w:rPr>
                <w:sz w:val="22"/>
                <w:szCs w:val="22"/>
              </w:rPr>
              <w:t xml:space="preserve">ОКДП2</w:t>
            </w:r>
            <w:r>
              <w:rPr>
                <w:sz w:val="22"/>
                <w:szCs w:val="22"/>
              </w:rPr>
            </w:r>
          </w:p>
        </w:tc>
        <w:tc>
          <w:tcPr>
            <w:tcBorders>
              <w:top w:val="single" w:color="auto" w:sz="4" w:space="0"/>
              <w:left w:val="single" w:color="auto" w:sz="4" w:space="0"/>
              <w:bottom w:val="single" w:color="auto" w:sz="4" w:space="0"/>
              <w:right w:val="single" w:color="auto" w:sz="4" w:space="0"/>
            </w:tcBorders>
            <w:tcW w:w="641" w:type="pct"/>
            <w:vAlign w:val="center"/>
            <w:textDirection w:val="lrTb"/>
            <w:noWrap w:val="false"/>
          </w:tcPr>
          <w:p>
            <w:pPr>
              <w:pBdr/>
              <w:spacing/>
              <w:ind/>
              <w:jc w:val="center"/>
              <w:rPr>
                <w:sz w:val="22"/>
                <w:szCs w:val="22"/>
              </w:rPr>
            </w:pPr>
            <w:r>
              <w:rPr>
                <w:sz w:val="22"/>
                <w:szCs w:val="22"/>
              </w:rPr>
              <w:t xml:space="preserve">Единицы измерения</w:t>
            </w:r>
            <w:r>
              <w:rPr>
                <w:sz w:val="22"/>
                <w:szCs w:val="22"/>
              </w:rPr>
            </w:r>
          </w:p>
        </w:tc>
        <w:tc>
          <w:tcPr>
            <w:tcBorders>
              <w:top w:val="single" w:color="auto" w:sz="4" w:space="0"/>
              <w:left w:val="single" w:color="auto" w:sz="4" w:space="0"/>
              <w:bottom w:val="single" w:color="auto" w:sz="4" w:space="0"/>
              <w:right w:val="single" w:color="auto" w:sz="4" w:space="0"/>
            </w:tcBorders>
            <w:tcW w:w="640" w:type="pct"/>
            <w:vAlign w:val="center"/>
            <w:textDirection w:val="lrTb"/>
            <w:noWrap w:val="false"/>
          </w:tcPr>
          <w:p>
            <w:pPr>
              <w:pBdr/>
              <w:spacing/>
              <w:ind/>
              <w:jc w:val="center"/>
              <w:rPr>
                <w:sz w:val="22"/>
                <w:szCs w:val="22"/>
              </w:rPr>
            </w:pPr>
            <w:r>
              <w:rPr>
                <w:sz w:val="22"/>
                <w:szCs w:val="22"/>
              </w:rPr>
              <w:t xml:space="preserve">Количество в единицах измерения</w:t>
            </w:r>
            <w:r>
              <w:rPr>
                <w:sz w:val="22"/>
                <w:szCs w:val="22"/>
              </w:rPr>
            </w:r>
          </w:p>
        </w:tc>
        <w:tc>
          <w:tcPr>
            <w:tcBorders>
              <w:top w:val="single" w:color="auto" w:sz="4" w:space="0"/>
              <w:left w:val="single" w:color="auto" w:sz="4" w:space="0"/>
              <w:bottom w:val="single" w:color="auto" w:sz="4" w:space="0"/>
              <w:right w:val="single" w:color="auto" w:sz="4" w:space="0"/>
            </w:tcBorders>
            <w:tcW w:w="664" w:type="pct"/>
            <w:vAlign w:val="center"/>
            <w:textDirection w:val="lrTb"/>
            <w:noWrap w:val="false"/>
          </w:tcPr>
          <w:p>
            <w:pPr>
              <w:pBdr/>
              <w:spacing/>
              <w:ind/>
              <w:jc w:val="center"/>
              <w:rPr>
                <w:sz w:val="22"/>
                <w:szCs w:val="22"/>
              </w:rPr>
            </w:pPr>
            <w:r>
              <w:rPr>
                <w:sz w:val="22"/>
                <w:szCs w:val="22"/>
              </w:rPr>
              <w:t xml:space="preserve">Получатель</w:t>
            </w:r>
            <w:r>
              <w:rPr>
                <w:sz w:val="22"/>
                <w:szCs w:val="22"/>
              </w:rPr>
            </w:r>
          </w:p>
        </w:tc>
        <w:tc>
          <w:tcPr>
            <w:tcBorders>
              <w:top w:val="single" w:color="auto" w:sz="4" w:space="0"/>
              <w:left w:val="single" w:color="auto" w:sz="4" w:space="0"/>
              <w:bottom w:val="single" w:color="auto" w:sz="4" w:space="0"/>
              <w:right w:val="single" w:color="auto" w:sz="4" w:space="0"/>
            </w:tcBorders>
            <w:tcW w:w="833" w:type="pct"/>
            <w:vAlign w:val="center"/>
            <w:textDirection w:val="lrTb"/>
            <w:noWrap w:val="false"/>
          </w:tcPr>
          <w:p>
            <w:pPr>
              <w:pBdr/>
              <w:spacing/>
              <w:ind/>
              <w:jc w:val="center"/>
              <w:rPr>
                <w:sz w:val="22"/>
                <w:szCs w:val="22"/>
              </w:rPr>
            </w:pPr>
            <w:r>
              <w:rPr>
                <w:sz w:val="22"/>
                <w:szCs w:val="22"/>
              </w:rPr>
              <w:t xml:space="preserve">Место (адрес) доставки</w:t>
            </w:r>
            <w:r>
              <w:rPr>
                <w:sz w:val="22"/>
                <w:szCs w:val="22"/>
              </w:rPr>
            </w:r>
          </w:p>
        </w:tc>
      </w:tr>
      <w:tr>
        <w:trPr>
          <w:trHeight w:val="558"/>
        </w:trPr>
        <w:tc>
          <w:tcPr>
            <w:tcBorders>
              <w:top w:val="single" w:color="auto" w:sz="4" w:space="0"/>
              <w:left w:val="single" w:color="auto" w:sz="4" w:space="0"/>
              <w:bottom w:val="single" w:color="auto" w:sz="4" w:space="0"/>
              <w:right w:val="single" w:color="auto" w:sz="4" w:space="0"/>
            </w:tcBorders>
            <w:tcW w:w="291" w:type="pct"/>
            <w:vAlign w:val="center"/>
            <w:textDirection w:val="lrTb"/>
            <w:noWrap w:val="false"/>
          </w:tcPr>
          <w:p>
            <w:pPr>
              <w:pBdr/>
              <w:spacing/>
              <w:ind/>
              <w:jc w:val="center"/>
              <w:rPr>
                <w:sz w:val="22"/>
                <w:szCs w:val="22"/>
              </w:rPr>
            </w:pPr>
            <w:r>
              <w:rPr>
                <w:sz w:val="22"/>
                <w:szCs w:val="22"/>
              </w:rPr>
              <w:t xml:space="preserve">1.</w:t>
            </w:r>
            <w:r>
              <w:rPr>
                <w:sz w:val="22"/>
                <w:szCs w:val="22"/>
              </w:rPr>
            </w:r>
          </w:p>
        </w:tc>
        <w:tc>
          <w:tcPr>
            <w:tcBorders>
              <w:top w:val="single" w:color="auto" w:sz="4" w:space="0"/>
              <w:left w:val="single" w:color="auto" w:sz="4" w:space="0"/>
              <w:bottom w:val="single" w:color="auto" w:sz="4" w:space="0"/>
              <w:right w:val="single" w:color="auto" w:sz="4" w:space="0"/>
            </w:tcBorders>
            <w:tcW w:w="1097" w:type="pct"/>
            <w:vAlign w:val="center"/>
            <w:textDirection w:val="lrTb"/>
            <w:noWrap w:val="false"/>
          </w:tcPr>
          <w:p>
            <w:pPr>
              <w:pBdr/>
              <w:spacing/>
              <w:ind/>
              <w:jc w:val="center"/>
              <w:rPr>
                <w:sz w:val="22"/>
                <w:szCs w:val="22"/>
              </w:rPr>
            </w:pP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4" w:type="pct"/>
            <w:vAlign w:val="center"/>
            <w:textDirection w:val="lrTb"/>
            <w:noWrap w:val="false"/>
          </w:tcPr>
          <w:p>
            <w:pPr>
              <w:pBdr/>
              <w:spacing/>
              <w:ind/>
              <w:rPr>
                <w:sz w:val="22"/>
                <w:szCs w:val="22"/>
              </w:rPr>
            </w:pPr>
            <w:r>
              <w:rPr>
                <w:sz w:val="22"/>
                <w:szCs w:val="22"/>
              </w:rPr>
              <w:t xml:space="preserve">27.32.13.159</w:t>
            </w:r>
            <w:r>
              <w:rPr>
                <w:sz w:val="22"/>
                <w:szCs w:val="22"/>
              </w:rPr>
            </w:r>
          </w:p>
        </w:tc>
        <w:tc>
          <w:tcPr>
            <w:tcBorders>
              <w:top w:val="single" w:color="auto" w:sz="4" w:space="0"/>
              <w:left w:val="single" w:color="auto" w:sz="4" w:space="0"/>
              <w:bottom w:val="single" w:color="auto" w:sz="4" w:space="0"/>
              <w:right w:val="single" w:color="auto" w:sz="4" w:space="0"/>
            </w:tcBorders>
            <w:tcW w:w="641" w:type="pct"/>
            <w:vAlign w:val="center"/>
            <w:textDirection w:val="lrTb"/>
            <w:noWrap w:val="false"/>
          </w:tcPr>
          <w:p>
            <w:pPr>
              <w:pBdr/>
              <w:spacing/>
              <w:ind/>
              <w:jc w:val="center"/>
              <w:rPr>
                <w:sz w:val="22"/>
                <w:szCs w:val="22"/>
              </w:rPr>
            </w:pPr>
            <w:r>
              <w:rPr>
                <w:sz w:val="22"/>
                <w:szCs w:val="22"/>
              </w:rPr>
              <w:t xml:space="preserve">2440</w:t>
            </w:r>
            <w:r>
              <w:rPr>
                <w:sz w:val="22"/>
                <w:szCs w:val="22"/>
              </w:rPr>
            </w:r>
          </w:p>
        </w:tc>
        <w:tc>
          <w:tcPr>
            <w:tcBorders>
              <w:top w:val="single" w:color="auto" w:sz="4" w:space="0"/>
              <w:left w:val="single" w:color="auto" w:sz="4" w:space="0"/>
              <w:bottom w:val="single" w:color="auto" w:sz="4" w:space="0"/>
              <w:right w:val="single" w:color="auto" w:sz="4" w:space="0"/>
            </w:tcBorders>
            <w:tcW w:w="640" w:type="pct"/>
            <w:vAlign w:val="center"/>
            <w:textDirection w:val="lrTb"/>
            <w:noWrap w:val="false"/>
          </w:tcPr>
          <w:p>
            <w:pPr>
              <w:pBdr/>
              <w:spacing/>
              <w:ind/>
              <w:rPr>
                <w:sz w:val="22"/>
                <w:szCs w:val="22"/>
              </w:rPr>
            </w:pPr>
            <w:r>
              <w:rPr>
                <w:sz w:val="22"/>
                <w:szCs w:val="22"/>
              </w:rPr>
              <w:t xml:space="preserve">метр</w:t>
            </w:r>
            <w:r>
              <w:rPr>
                <w:sz w:val="22"/>
                <w:szCs w:val="22"/>
              </w:rPr>
            </w:r>
          </w:p>
        </w:tc>
        <w:tc>
          <w:tcPr>
            <w:tcBorders>
              <w:top w:val="single" w:color="auto" w:sz="4" w:space="0"/>
              <w:left w:val="single" w:color="auto" w:sz="4" w:space="0"/>
              <w:bottom w:val="single" w:color="auto" w:sz="4" w:space="0"/>
              <w:right w:val="single" w:color="auto" w:sz="4" w:space="0"/>
            </w:tcBorders>
            <w:tcW w:w="664" w:type="pct"/>
            <w:vAlign w:val="center"/>
            <w:textDirection w:val="lrTb"/>
            <w:noWrap w:val="false"/>
          </w:tcPr>
          <w:p>
            <w:pPr>
              <w:widowControl w:val="false"/>
              <w:pBdr/>
              <w:spacing/>
              <w:ind/>
              <w:jc w:val="center"/>
              <w:rPr>
                <w:color w:val="000000"/>
                <w:sz w:val="22"/>
                <w:szCs w:val="22"/>
              </w:rPr>
            </w:pPr>
            <w:r>
              <w:rPr>
                <w:color w:val="000000"/>
                <w:sz w:val="22"/>
                <w:szCs w:val="22"/>
              </w:rPr>
              <w:t xml:space="preserve">Склад ДВГМУ</w:t>
            </w:r>
            <w:r>
              <w:rPr>
                <w:color w:val="000000"/>
                <w:sz w:val="22"/>
                <w:szCs w:val="22"/>
              </w:rPr>
            </w:r>
          </w:p>
        </w:tc>
        <w:tc>
          <w:tcPr>
            <w:tcBorders>
              <w:top w:val="single" w:color="auto" w:sz="4" w:space="0"/>
              <w:left w:val="single" w:color="auto" w:sz="4" w:space="0"/>
              <w:bottom w:val="single" w:color="auto" w:sz="4" w:space="0"/>
              <w:right w:val="single" w:color="auto" w:sz="4" w:space="0"/>
            </w:tcBorders>
            <w:tcW w:w="833" w:type="pct"/>
            <w:vAlign w:val="center"/>
            <w:textDirection w:val="lrTb"/>
            <w:noWrap w:val="false"/>
          </w:tcPr>
          <w:p>
            <w:pPr>
              <w:widowControl w:val="false"/>
              <w:pBdr/>
              <w:spacing/>
              <w:ind/>
              <w:jc w:val="center"/>
              <w:rPr>
                <w:color w:val="000000"/>
                <w:sz w:val="22"/>
                <w:szCs w:val="22"/>
              </w:rPr>
            </w:pPr>
            <w:r>
              <w:rPr>
                <w:color w:val="000000"/>
                <w:sz w:val="22"/>
                <w:szCs w:val="22"/>
              </w:rPr>
              <w:t xml:space="preserve">680000, Хабаровский край, г. Хабаровск, ул.  Муравьева-Амурского 35</w:t>
            </w:r>
            <w:r>
              <w:rPr>
                <w:color w:val="000000"/>
                <w:sz w:val="22"/>
                <w:szCs w:val="22"/>
              </w:rPr>
            </w:r>
          </w:p>
        </w:tc>
      </w:tr>
      <w:tr>
        <w:trPr>
          <w:trHeight w:val="558"/>
        </w:trPr>
        <w:tc>
          <w:tcPr>
            <w:tcBorders>
              <w:top w:val="single" w:color="auto" w:sz="4" w:space="0"/>
              <w:left w:val="single" w:color="auto" w:sz="4" w:space="0"/>
              <w:bottom w:val="single" w:color="auto" w:sz="4" w:space="0"/>
              <w:right w:val="single" w:color="auto" w:sz="4" w:space="0"/>
            </w:tcBorders>
            <w:tcW w:w="291" w:type="pct"/>
            <w:vAlign w:val="center"/>
            <w:textDirection w:val="lrTb"/>
            <w:noWrap w:val="false"/>
          </w:tcPr>
          <w:p>
            <w:pPr>
              <w:pBdr/>
              <w:spacing/>
              <w:ind/>
              <w:jc w:val="center"/>
              <w:rPr>
                <w:sz w:val="22"/>
                <w:szCs w:val="22"/>
              </w:rPr>
            </w:pPr>
            <w:r>
              <w:rPr>
                <w:sz w:val="22"/>
                <w:szCs w:val="22"/>
              </w:rPr>
              <w:t xml:space="preserve">2</w:t>
            </w:r>
            <w:r>
              <w:rPr>
                <w:sz w:val="22"/>
                <w:szCs w:val="22"/>
              </w:rPr>
            </w:r>
          </w:p>
        </w:tc>
        <w:tc>
          <w:tcPr>
            <w:tcBorders>
              <w:top w:val="single" w:color="auto" w:sz="4" w:space="0"/>
              <w:left w:val="single" w:color="auto" w:sz="4" w:space="0"/>
              <w:bottom w:val="single" w:color="auto" w:sz="4" w:space="0"/>
              <w:right w:val="single" w:color="auto" w:sz="4" w:space="0"/>
            </w:tcBorders>
            <w:tcW w:w="1097" w:type="pct"/>
            <w:vAlign w:val="center"/>
            <w:textDirection w:val="lrTb"/>
            <w:noWrap w:val="false"/>
          </w:tcPr>
          <w:p>
            <w:pPr>
              <w:pBdr/>
              <w:spacing/>
              <w:ind/>
              <w:rPr>
                <w:sz w:val="22"/>
                <w:szCs w:val="22"/>
              </w:rPr>
            </w:pP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4" w:type="pct"/>
            <w:vAlign w:val="center"/>
            <w:textDirection w:val="lrTb"/>
            <w:noWrap w:val="false"/>
          </w:tcPr>
          <w:p>
            <w:pPr>
              <w:pBdr/>
              <w:spacing/>
              <w:ind/>
              <w:rPr>
                <w:sz w:val="22"/>
                <w:szCs w:val="22"/>
              </w:rPr>
            </w:pPr>
            <w:r>
              <w:rPr>
                <w:sz w:val="22"/>
                <w:szCs w:val="22"/>
              </w:rPr>
              <w:t xml:space="preserve">22.29.29.190</w:t>
            </w:r>
            <w:r>
              <w:rPr>
                <w:sz w:val="22"/>
                <w:szCs w:val="22"/>
              </w:rPr>
            </w:r>
          </w:p>
        </w:tc>
        <w:tc>
          <w:tcPr>
            <w:tcBorders>
              <w:top w:val="single" w:color="auto" w:sz="4" w:space="0"/>
              <w:left w:val="single" w:color="auto" w:sz="4" w:space="0"/>
              <w:bottom w:val="single" w:color="auto" w:sz="4" w:space="0"/>
              <w:right w:val="single" w:color="auto" w:sz="4" w:space="0"/>
            </w:tcBorders>
            <w:tcW w:w="641" w:type="pct"/>
            <w:vAlign w:val="center"/>
            <w:textDirection w:val="lrTb"/>
            <w:noWrap w:val="false"/>
          </w:tcPr>
          <w:p>
            <w:pPr>
              <w:pBdr/>
              <w:spacing/>
              <w:ind/>
              <w:jc w:val="center"/>
              <w:rPr>
                <w:sz w:val="22"/>
                <w:szCs w:val="22"/>
              </w:rPr>
            </w:pPr>
            <w:r>
              <w:rPr>
                <w:sz w:val="22"/>
                <w:szCs w:val="22"/>
              </w:rPr>
              <w:t xml:space="preserve">50</w:t>
            </w:r>
            <w:r>
              <w:rPr>
                <w:sz w:val="22"/>
                <w:szCs w:val="22"/>
              </w:rPr>
            </w:r>
          </w:p>
        </w:tc>
        <w:tc>
          <w:tcPr>
            <w:tcBorders>
              <w:top w:val="single" w:color="auto" w:sz="4" w:space="0"/>
              <w:left w:val="single" w:color="auto" w:sz="4" w:space="0"/>
              <w:bottom w:val="single" w:color="auto" w:sz="4" w:space="0"/>
              <w:right w:val="single" w:color="auto" w:sz="4" w:space="0"/>
            </w:tcBorders>
            <w:tcW w:w="640" w:type="pct"/>
            <w:vAlign w:val="center"/>
            <w:textDirection w:val="lrTb"/>
            <w:noWrap w:val="false"/>
          </w:tcPr>
          <w:p>
            <w:pPr>
              <w:pBdr/>
              <w:spacing/>
              <w:ind/>
              <w:rPr>
                <w:sz w:val="22"/>
                <w:szCs w:val="22"/>
              </w:rPr>
            </w:pPr>
            <w:r>
              <w:rPr>
                <w:sz w:val="22"/>
                <w:szCs w:val="22"/>
              </w:rPr>
              <w:t xml:space="preserve">штука</w:t>
            </w:r>
            <w:r>
              <w:rPr>
                <w:sz w:val="22"/>
                <w:szCs w:val="22"/>
              </w:rPr>
            </w:r>
          </w:p>
        </w:tc>
        <w:tc>
          <w:tcPr>
            <w:tcBorders>
              <w:top w:val="single" w:color="auto" w:sz="4" w:space="0"/>
              <w:left w:val="single" w:color="auto" w:sz="4" w:space="0"/>
              <w:bottom w:val="single" w:color="auto" w:sz="4" w:space="0"/>
              <w:right w:val="single" w:color="auto" w:sz="4" w:space="0"/>
            </w:tcBorders>
            <w:tcW w:w="664" w:type="pct"/>
            <w:vAlign w:val="center"/>
            <w:textDirection w:val="lrTb"/>
            <w:noWrap w:val="false"/>
          </w:tcPr>
          <w:p>
            <w:pPr>
              <w:widowControl w:val="false"/>
              <w:pBdr/>
              <w:spacing/>
              <w:ind/>
              <w:jc w:val="center"/>
              <w:rPr>
                <w:color w:val="000000"/>
                <w:sz w:val="22"/>
                <w:szCs w:val="22"/>
              </w:rPr>
            </w:pPr>
            <w:r>
              <w:rPr>
                <w:color w:val="000000"/>
                <w:sz w:val="22"/>
                <w:szCs w:val="22"/>
              </w:rPr>
              <w:t xml:space="preserve">Склад ДВГМУ</w:t>
            </w:r>
            <w:r>
              <w:rPr>
                <w:color w:val="000000"/>
                <w:sz w:val="22"/>
                <w:szCs w:val="22"/>
              </w:rPr>
            </w:r>
          </w:p>
        </w:tc>
        <w:tc>
          <w:tcPr>
            <w:tcBorders>
              <w:top w:val="single" w:color="auto" w:sz="4" w:space="0"/>
              <w:left w:val="single" w:color="auto" w:sz="4" w:space="0"/>
              <w:bottom w:val="single" w:color="auto" w:sz="4" w:space="0"/>
              <w:right w:val="single" w:color="auto" w:sz="4" w:space="0"/>
            </w:tcBorders>
            <w:tcW w:w="833" w:type="pct"/>
            <w:vAlign w:val="center"/>
            <w:textDirection w:val="lrTb"/>
            <w:noWrap w:val="false"/>
          </w:tcPr>
          <w:p>
            <w:pPr>
              <w:widowControl w:val="false"/>
              <w:pBdr/>
              <w:spacing/>
              <w:ind/>
              <w:jc w:val="center"/>
              <w:rPr>
                <w:color w:val="000000"/>
                <w:sz w:val="22"/>
                <w:szCs w:val="22"/>
              </w:rPr>
            </w:pPr>
            <w:r>
              <w:rPr>
                <w:color w:val="000000"/>
                <w:sz w:val="22"/>
                <w:szCs w:val="22"/>
              </w:rPr>
              <w:t xml:space="preserve">680000, Хабаровский край, г. Хабаровск, ул.  Муравьева-Амурского 35</w:t>
            </w:r>
            <w:r>
              <w:rPr>
                <w:color w:val="000000"/>
                <w:sz w:val="22"/>
                <w:szCs w:val="22"/>
              </w:rPr>
            </w:r>
          </w:p>
        </w:tc>
      </w:tr>
    </w:tbl>
    <w:p>
      <w:pPr>
        <w:pStyle w:val="1050"/>
        <w:pBdr/>
        <w:shd w:val="clear" w:color="auto" w:fill="ffffff"/>
        <w:spacing/>
        <w:ind w:right="34"/>
        <w:contextualSpacing w:val="true"/>
        <w:jc w:val="both"/>
        <w:rPr>
          <w:rFonts w:eastAsia="Calibri" w:cs="Times New Roman"/>
          <w:sz w:val="22"/>
          <w:szCs w:val="22"/>
          <w:lang w:eastAsia="ru-RU"/>
        </w:rPr>
      </w:pPr>
      <w:r>
        <w:rPr>
          <w:rFonts w:eastAsia="Calibri" w:cs="Times New Roman"/>
          <w:b/>
          <w:color w:val="000000"/>
          <w:sz w:val="22"/>
          <w:szCs w:val="22"/>
          <w:lang w:eastAsia="ru-RU" w:bidi="ar-SA"/>
        </w:rPr>
        <w:tab/>
      </w:r>
      <w:r>
        <w:rPr>
          <w:rFonts w:eastAsia="Calibri" w:cs="Times New Roman"/>
          <w:sz w:val="22"/>
          <w:szCs w:val="22"/>
          <w:lang w:eastAsia="ru-RU"/>
        </w:rPr>
        <w:t xml:space="preserve">Поставка производится в рабочие дни с 9-00 час. до 17-00 час. (время местное). Поставщик уведомляет Заказчика о предполагаемой дате доставки Товара не менее чем за 5 рабочих дней.</w:t>
      </w:r>
      <w:r>
        <w:rPr>
          <w:rFonts w:eastAsia="Calibri" w:cs="Times New Roman"/>
          <w:sz w:val="22"/>
          <w:szCs w:val="22"/>
          <w:lang w:eastAsia="ru-RU"/>
        </w:rPr>
      </w:r>
    </w:p>
    <w:p>
      <w:pPr>
        <w:pStyle w:val="1050"/>
        <w:pBdr/>
        <w:shd w:val="clear" w:color="auto" w:fill="ffffff"/>
        <w:spacing/>
        <w:ind w:right="34"/>
        <w:contextualSpacing w:val="true"/>
        <w:jc w:val="both"/>
        <w:rPr>
          <w:rFonts w:eastAsia="Calibri" w:cs="Times New Roman"/>
          <w:sz w:val="22"/>
          <w:szCs w:val="22"/>
          <w:lang w:eastAsia="ru-RU"/>
        </w:rPr>
      </w:pPr>
      <w:r>
        <w:rPr>
          <w:rFonts w:eastAsia="Calibri" w:cs="Times New Roman"/>
          <w:sz w:val="22"/>
          <w:szCs w:val="22"/>
          <w:lang w:eastAsia="ru-RU"/>
        </w:rPr>
      </w:r>
      <w:r>
        <w:rPr>
          <w:rFonts w:eastAsia="Calibri" w:cs="Times New Roman"/>
          <w:sz w:val="22"/>
          <w:szCs w:val="22"/>
          <w:lang w:eastAsia="ru-RU"/>
        </w:rPr>
      </w:r>
    </w:p>
    <w:p>
      <w:pPr>
        <w:pBdr/>
        <w:spacing/>
        <w:ind/>
        <w:contextualSpacing w:val="true"/>
        <w:jc w:val="center"/>
        <w:rPr>
          <w:b/>
          <w:sz w:val="22"/>
          <w:szCs w:val="22"/>
        </w:rPr>
      </w:pPr>
      <w:r>
        <w:rPr>
          <w:b/>
          <w:sz w:val="22"/>
          <w:szCs w:val="22"/>
        </w:rPr>
        <w:t xml:space="preserve">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r>
        <w:rPr>
          <w:b/>
          <w:sz w:val="22"/>
          <w:szCs w:val="22"/>
        </w:rPr>
      </w:r>
    </w:p>
    <w:p>
      <w:pPr>
        <w:pBdr/>
        <w:spacing/>
        <w:ind w:firstLine="708"/>
        <w:contextualSpacing w:val="true"/>
        <w:jc w:val="both"/>
        <w:rPr>
          <w:sz w:val="22"/>
          <w:szCs w:val="22"/>
          <w:lang w:eastAsia="zh-CN"/>
        </w:rPr>
      </w:pPr>
      <w:r>
        <w:rPr>
          <w:sz w:val="22"/>
          <w:szCs w:val="22"/>
          <w:lang w:eastAsia="zh-CN"/>
        </w:rPr>
        <w:t xml:space="preserve">Безопасность товара должна соответствовать требованиям технических регламентов и ГОСТ, действующих на территории Российской Федерации.</w:t>
      </w:r>
      <w:r>
        <w:rPr>
          <w:sz w:val="22"/>
          <w:szCs w:val="22"/>
          <w:lang w:eastAsia="zh-CN"/>
        </w:rPr>
      </w:r>
    </w:p>
    <w:p>
      <w:pPr>
        <w:pBdr/>
        <w:spacing/>
        <w:ind w:firstLine="708"/>
        <w:contextualSpacing w:val="true"/>
        <w:jc w:val="both"/>
        <w:rPr>
          <w:sz w:val="22"/>
          <w:szCs w:val="22"/>
          <w:lang w:eastAsia="zh-CN"/>
        </w:rPr>
      </w:pPr>
      <w:r>
        <w:rPr>
          <w:sz w:val="22"/>
          <w:szCs w:val="22"/>
          <w:lang w:eastAsia="zh-CN"/>
        </w:rPr>
        <w:t xml:space="preserve">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r>
        <w:rPr>
          <w:sz w:val="22"/>
          <w:szCs w:val="22"/>
          <w:lang w:eastAsia="zh-CN"/>
        </w:rPr>
      </w:r>
    </w:p>
    <w:p>
      <w:pPr>
        <w:pBdr/>
        <w:spacing/>
        <w:ind/>
        <w:contextualSpacing w:val="true"/>
        <w:jc w:val="both"/>
        <w:rPr>
          <w:sz w:val="22"/>
          <w:szCs w:val="22"/>
          <w:lang w:eastAsia="zh-CN"/>
        </w:rPr>
      </w:pPr>
      <w:r>
        <w:rPr>
          <w:sz w:val="22"/>
          <w:szCs w:val="22"/>
          <w:lang w:eastAsia="zh-CN"/>
        </w:rPr>
        <w:t xml:space="preserve">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r>
        <w:rPr>
          <w:sz w:val="22"/>
          <w:szCs w:val="22"/>
          <w:lang w:eastAsia="zh-CN"/>
        </w:rPr>
      </w:r>
    </w:p>
    <w:p>
      <w:pPr>
        <w:pBdr/>
        <w:spacing/>
        <w:ind w:firstLine="708"/>
        <w:contextualSpacing w:val="true"/>
        <w:jc w:val="both"/>
        <w:rPr>
          <w:sz w:val="22"/>
          <w:szCs w:val="22"/>
        </w:rPr>
      </w:pPr>
      <w:r>
        <w:rPr>
          <w:sz w:val="22"/>
          <w:szCs w:val="22"/>
        </w:rPr>
        <w:t xml:space="preserve">Требования к сопроводительным документам: копия документа, подтверждающего соответствие качества Товара, выданного уполномоченными органами (организациями).</w:t>
      </w:r>
      <w:r>
        <w:rPr>
          <w:sz w:val="22"/>
          <w:szCs w:val="22"/>
        </w:rPr>
      </w:r>
    </w:p>
    <w:p>
      <w:pPr>
        <w:pBdr/>
        <w:spacing/>
        <w:ind/>
        <w:contextualSpacing w:val="true"/>
        <w:jc w:val="both"/>
        <w:rPr>
          <w:sz w:val="22"/>
          <w:szCs w:val="22"/>
          <w:lang w:eastAsia="zh-CN"/>
        </w:rPr>
      </w:pPr>
      <w:r>
        <w:rPr>
          <w:sz w:val="22"/>
          <w:szCs w:val="22"/>
          <w:lang w:eastAsia="zh-CN"/>
        </w:rPr>
        <w:t xml:space="preserve">Прослеживание товара в системе «Честный знак». Маркировка товара согласно действующему законодательству Российской Федерации.</w:t>
      </w:r>
      <w:r>
        <w:rPr>
          <w:sz w:val="22"/>
          <w:szCs w:val="22"/>
          <w:lang w:eastAsia="zh-CN"/>
        </w:rPr>
      </w:r>
    </w:p>
    <w:p>
      <w:pPr>
        <w:pBdr/>
        <w:spacing/>
        <w:ind/>
        <w:contextualSpacing w:val="true"/>
        <w:rPr>
          <w:sz w:val="22"/>
          <w:szCs w:val="22"/>
        </w:rPr>
      </w:pPr>
      <w:r>
        <w:rPr>
          <w:sz w:val="22"/>
          <w:szCs w:val="22"/>
        </w:rPr>
      </w:r>
      <w:r>
        <w:rPr>
          <w:sz w:val="22"/>
          <w:szCs w:val="22"/>
        </w:rPr>
      </w:r>
    </w:p>
    <w:tbl>
      <w:tblPr>
        <w:jc w:val="center"/>
        <w:tblW w:w="496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1758"/>
        <w:gridCol w:w="6806"/>
        <w:gridCol w:w="1776"/>
      </w:tblGrid>
      <w:tr>
        <w:trPr>
          <w:jc w:val="center"/>
          <w:trHeight w:val="20"/>
        </w:trPr>
        <w:tc>
          <w:tcPr>
            <w:gridSpan w:val="3"/>
            <w:shd w:val="clear" w:color="ffffff" w:fill="ffffff"/>
            <w:tcBorders/>
            <w:tcW w:w="5000" w:type="pct"/>
            <w:vAlign w:val="center"/>
            <w:textDirection w:val="lrTb"/>
            <w:noWrap w:val="false"/>
          </w:tcPr>
          <w:p>
            <w:pPr>
              <w:pBdr/>
              <w:spacing/>
              <w:ind/>
              <w:contextualSpacing w:val="true"/>
              <w:rPr>
                <w:sz w:val="22"/>
                <w:szCs w:val="22"/>
                <w:vertAlign w:val="superscript"/>
              </w:rPr>
            </w:pPr>
            <w:r>
              <w:rPr>
                <w:sz w:val="22"/>
                <w:szCs w:val="22"/>
              </w:rPr>
              <w:t xml:space="preserve">1.Требования к документам</w:t>
            </w:r>
            <w:r>
              <w:rPr>
                <w:sz w:val="22"/>
                <w:szCs w:val="22"/>
                <w:vertAlign w:val="superscript"/>
              </w:rPr>
            </w:r>
          </w:p>
        </w:tc>
      </w:tr>
      <w:tr>
        <w:trPr>
          <w:jc w:val="center"/>
          <w:trHeight w:val="20"/>
        </w:trPr>
        <w:tc>
          <w:tcPr>
            <w:shd w:val="clear" w:color="ffffff" w:fill="ffffff"/>
            <w:tcBorders/>
            <w:tcW w:w="850" w:type="pct"/>
            <w:vAlign w:val="center"/>
            <w:textDirection w:val="lrTb"/>
            <w:noWrap w:val="false"/>
          </w:tcPr>
          <w:p>
            <w:pPr>
              <w:pBdr/>
              <w:spacing/>
              <w:ind/>
              <w:contextualSpacing w:val="true"/>
              <w:rPr>
                <w:sz w:val="22"/>
                <w:szCs w:val="22"/>
              </w:rPr>
            </w:pPr>
            <w:r>
              <w:rPr>
                <w:sz w:val="22"/>
                <w:szCs w:val="22"/>
              </w:rPr>
              <w:t xml:space="preserve">1.1.</w:t>
            </w:r>
            <w:r>
              <w:rPr>
                <w:sz w:val="22"/>
                <w:szCs w:val="22"/>
              </w:rPr>
            </w:r>
          </w:p>
        </w:tc>
        <w:tc>
          <w:tcPr>
            <w:shd w:val="clear" w:color="ffffff" w:fill="ffffff"/>
            <w:tcBorders/>
            <w:tcW w:w="3291" w:type="pct"/>
            <w:textDirection w:val="lrTb"/>
            <w:noWrap w:val="false"/>
          </w:tcPr>
          <w:p>
            <w:pPr>
              <w:pBdr/>
              <w:spacing/>
              <w:ind/>
              <w:contextualSpacing w:val="true"/>
              <w:rPr>
                <w:sz w:val="22"/>
                <w:szCs w:val="22"/>
              </w:rPr>
            </w:pPr>
            <w:r>
              <w:rPr>
                <w:position w:val="2"/>
                <w:sz w:val="22"/>
                <w:szCs w:val="22"/>
                <w:lang w:eastAsia="ar-SA"/>
              </w:rPr>
              <w:t xml:space="preserve">Копия сертификата соответствия на Товар и/или копия Декларации о соответствии для Товара, по которому наличие данного документа является обязательным в соответствии с требованиями, установленными в Российской Федерации</w:t>
            </w:r>
            <w:r>
              <w:rPr>
                <w:sz w:val="22"/>
                <w:szCs w:val="22"/>
              </w:rPr>
            </w:r>
          </w:p>
        </w:tc>
        <w:tc>
          <w:tcPr>
            <w:shd w:val="clear" w:color="ffffff" w:fill="ffffff"/>
            <w:tcBorders/>
            <w:tcW w:w="860" w:type="pct"/>
            <w:vAlign w:val="center"/>
            <w:textDirection w:val="lrTb"/>
            <w:noWrap w:val="false"/>
          </w:tcPr>
          <w:p>
            <w:pPr>
              <w:pBdr/>
              <w:spacing/>
              <w:ind/>
              <w:contextualSpacing w:val="true"/>
              <w:jc w:val="center"/>
              <w:rPr>
                <w:sz w:val="22"/>
                <w:szCs w:val="22"/>
              </w:rPr>
            </w:pPr>
            <w:r>
              <w:rPr>
                <w:sz w:val="22"/>
                <w:szCs w:val="22"/>
              </w:rPr>
              <w:t xml:space="preserve">Наличие</w:t>
            </w:r>
            <w:r>
              <w:rPr>
                <w:sz w:val="22"/>
                <w:szCs w:val="22"/>
              </w:rPr>
            </w:r>
          </w:p>
        </w:tc>
      </w:tr>
      <w:tr>
        <w:trPr>
          <w:jc w:val="center"/>
          <w:trHeight w:val="20"/>
        </w:trPr>
        <w:tc>
          <w:tcPr>
            <w:shd w:val="clear" w:color="ffffff" w:fill="ffffff"/>
            <w:tcBorders/>
            <w:tcW w:w="850" w:type="pct"/>
            <w:vAlign w:val="center"/>
            <w:textDirection w:val="lrTb"/>
            <w:noWrap w:val="false"/>
          </w:tcPr>
          <w:p>
            <w:pPr>
              <w:pBdr/>
              <w:spacing/>
              <w:ind/>
              <w:contextualSpacing w:val="true"/>
              <w:rPr>
                <w:sz w:val="22"/>
                <w:szCs w:val="22"/>
              </w:rPr>
            </w:pPr>
            <w:r>
              <w:rPr>
                <w:sz w:val="22"/>
                <w:szCs w:val="22"/>
              </w:rPr>
              <w:t xml:space="preserve">1.2.</w:t>
            </w:r>
            <w:r>
              <w:rPr>
                <w:sz w:val="22"/>
                <w:szCs w:val="22"/>
              </w:rPr>
            </w:r>
          </w:p>
        </w:tc>
        <w:tc>
          <w:tcPr>
            <w:shd w:val="clear" w:color="ffffff" w:fill="ffffff"/>
            <w:tcBorders/>
            <w:tcW w:w="3291" w:type="pct"/>
            <w:textDirection w:val="lrTb"/>
            <w:noWrap w:val="false"/>
          </w:tcPr>
          <w:p>
            <w:pPr>
              <w:pBdr/>
              <w:spacing/>
              <w:ind/>
              <w:contextualSpacing w:val="true"/>
              <w:rPr>
                <w:sz w:val="22"/>
                <w:szCs w:val="22"/>
              </w:rPr>
            </w:pPr>
            <w:r>
              <w:rPr>
                <w:sz w:val="22"/>
                <w:szCs w:val="22"/>
              </w:rPr>
              <w:t xml:space="preserve">Паспорт и/или руководство и/или этикетка по эксплуатации на русском языке</w:t>
            </w:r>
            <w:r>
              <w:rPr>
                <w:sz w:val="22"/>
                <w:szCs w:val="22"/>
              </w:rPr>
            </w:r>
          </w:p>
        </w:tc>
        <w:tc>
          <w:tcPr>
            <w:shd w:val="clear" w:color="ffffff" w:fill="ffffff"/>
            <w:tcBorders/>
            <w:tcW w:w="860" w:type="pct"/>
            <w:vAlign w:val="center"/>
            <w:textDirection w:val="lrTb"/>
            <w:noWrap w:val="false"/>
          </w:tcPr>
          <w:p>
            <w:pPr>
              <w:pBdr/>
              <w:spacing/>
              <w:ind/>
              <w:contextualSpacing w:val="true"/>
              <w:jc w:val="center"/>
              <w:rPr>
                <w:sz w:val="22"/>
                <w:szCs w:val="22"/>
              </w:rPr>
            </w:pPr>
            <w:r>
              <w:rPr>
                <w:sz w:val="22"/>
                <w:szCs w:val="22"/>
              </w:rPr>
              <w:t xml:space="preserve">Наличие</w:t>
            </w:r>
            <w:r>
              <w:rPr>
                <w:sz w:val="22"/>
                <w:szCs w:val="22"/>
              </w:rPr>
            </w:r>
          </w:p>
        </w:tc>
      </w:tr>
      <w:tr>
        <w:trPr>
          <w:jc w:val="center"/>
          <w:trHeight w:val="253"/>
        </w:trPr>
        <w:tc>
          <w:tcPr>
            <w:shd w:val="clear" w:color="ffffff" w:fill="ffffff"/>
            <w:tcBorders/>
            <w:tcW w:w="850" w:type="pct"/>
            <w:vAlign w:val="center"/>
            <w:vMerge w:val="restart"/>
            <w:textDirection w:val="lrTb"/>
            <w:noWrap w:val="false"/>
          </w:tcPr>
          <w:p>
            <w:pPr>
              <w:pBdr/>
              <w:spacing/>
              <w:ind/>
              <w:contextualSpacing w:val="true"/>
              <w:rPr>
                <w:sz w:val="22"/>
                <w:szCs w:val="22"/>
              </w:rPr>
            </w:pPr>
            <w:r>
              <w:rPr>
                <w:sz w:val="22"/>
                <w:szCs w:val="22"/>
              </w:rPr>
              <w:t xml:space="preserve">1.3</w:t>
            </w:r>
            <w:r>
              <w:rPr>
                <w:sz w:val="22"/>
                <w:szCs w:val="22"/>
              </w:rPr>
            </w:r>
          </w:p>
        </w:tc>
        <w:tc>
          <w:tcPr>
            <w:shd w:val="clear" w:color="ffffff" w:fill="ffffff"/>
            <w:tcBorders/>
            <w:tcW w:w="3291" w:type="pct"/>
            <w:vMerge w:val="restart"/>
            <w:textDirection w:val="lrTb"/>
            <w:noWrap w:val="false"/>
          </w:tcPr>
          <w:p>
            <w:pPr>
              <w:pBdr/>
              <w:spacing/>
              <w:ind/>
              <w:contextualSpacing w:val="true"/>
              <w:rPr>
                <w:sz w:val="22"/>
                <w:szCs w:val="22"/>
              </w:rPr>
            </w:pPr>
            <w:r>
              <w:rPr>
                <w:sz w:val="22"/>
                <w:szCs w:val="22"/>
              </w:rPr>
              <w:t xml:space="preserve">Гарантийный талон</w:t>
            </w:r>
            <w:r>
              <w:rPr>
                <w:sz w:val="22"/>
                <w:szCs w:val="22"/>
              </w:rPr>
            </w:r>
          </w:p>
        </w:tc>
        <w:tc>
          <w:tcPr>
            <w:shd w:val="clear" w:color="ffffff" w:fill="ffffff"/>
            <w:tcBorders/>
            <w:tcW w:w="860" w:type="pct"/>
            <w:vAlign w:val="center"/>
            <w:vMerge w:val="restart"/>
            <w:textDirection w:val="lrTb"/>
            <w:noWrap w:val="false"/>
          </w:tcPr>
          <w:p>
            <w:pPr>
              <w:pBdr/>
              <w:spacing/>
              <w:ind/>
              <w:contextualSpacing w:val="true"/>
              <w:jc w:val="center"/>
              <w:rPr>
                <w:sz w:val="22"/>
                <w:szCs w:val="22"/>
              </w:rPr>
            </w:pPr>
            <w:r>
              <w:rPr>
                <w:sz w:val="22"/>
                <w:szCs w:val="22"/>
              </w:rPr>
              <w:t xml:space="preserve">Наличие</w:t>
            </w:r>
            <w:r>
              <w:rPr>
                <w:sz w:val="22"/>
                <w:szCs w:val="22"/>
              </w:rPr>
            </w:r>
          </w:p>
        </w:tc>
      </w:tr>
      <w:tr>
        <w:trPr>
          <w:jc w:val="center"/>
          <w:trHeight w:val="20"/>
        </w:trPr>
        <w:tc>
          <w:tcPr>
            <w:gridSpan w:val="3"/>
            <w:shd w:val="clear" w:color="ffffff" w:fill="ffffff"/>
            <w:tcBorders/>
            <w:tcW w:w="5000" w:type="pct"/>
            <w:vAlign w:val="center"/>
            <w:textDirection w:val="lrTb"/>
            <w:noWrap w:val="false"/>
          </w:tcPr>
          <w:p>
            <w:pPr>
              <w:pBdr/>
              <w:spacing/>
              <w:ind/>
              <w:contextualSpacing w:val="true"/>
              <w:rPr>
                <w:sz w:val="22"/>
                <w:szCs w:val="22"/>
                <w:vertAlign w:val="superscript"/>
              </w:rPr>
            </w:pPr>
            <w:r>
              <w:rPr>
                <w:sz w:val="22"/>
                <w:szCs w:val="22"/>
              </w:rPr>
              <w:t xml:space="preserve">2. Требования к упаковке и маркировке </w:t>
            </w:r>
            <w:r>
              <w:rPr>
                <w:sz w:val="22"/>
                <w:szCs w:val="22"/>
                <w:vertAlign w:val="superscript"/>
              </w:rPr>
            </w:r>
          </w:p>
        </w:tc>
      </w:tr>
      <w:tr>
        <w:trPr>
          <w:jc w:val="center"/>
          <w:trHeight w:val="20"/>
        </w:trPr>
        <w:tc>
          <w:tcPr>
            <w:shd w:val="clear" w:color="ffffff" w:fill="ffffff"/>
            <w:tcBorders/>
            <w:tcW w:w="850" w:type="pct"/>
            <w:vAlign w:val="center"/>
            <w:textDirection w:val="lrTb"/>
            <w:noWrap w:val="false"/>
          </w:tcPr>
          <w:p>
            <w:pPr>
              <w:pBdr/>
              <w:spacing/>
              <w:ind/>
              <w:contextualSpacing w:val="true"/>
              <w:rPr>
                <w:sz w:val="22"/>
                <w:szCs w:val="22"/>
              </w:rPr>
            </w:pPr>
            <w:r>
              <w:rPr>
                <w:sz w:val="22"/>
                <w:szCs w:val="22"/>
              </w:rPr>
              <w:t xml:space="preserve">2.1.</w:t>
            </w:r>
            <w:r>
              <w:rPr>
                <w:sz w:val="22"/>
                <w:szCs w:val="22"/>
              </w:rPr>
            </w:r>
          </w:p>
        </w:tc>
        <w:tc>
          <w:tcPr>
            <w:shd w:val="clear" w:color="ffffff" w:fill="ffffff"/>
            <w:tcBorders/>
            <w:tcW w:w="3291" w:type="pct"/>
            <w:vAlign w:val="center"/>
            <w:textDirection w:val="lrTb"/>
            <w:noWrap w:val="false"/>
          </w:tcPr>
          <w:p>
            <w:pPr>
              <w:pBdr/>
              <w:spacing/>
              <w:ind/>
              <w:contextualSpacing w:val="true"/>
              <w:rPr>
                <w:sz w:val="22"/>
                <w:szCs w:val="22"/>
              </w:rPr>
            </w:pPr>
            <w:r>
              <w:rPr>
                <w:sz w:val="22"/>
                <w:szCs w:val="22"/>
              </w:rPr>
              <w:t xml:space="preserve">Маркировка наименования изделия на упаковке</w:t>
            </w:r>
            <w:r>
              <w:rPr>
                <w:sz w:val="22"/>
                <w:szCs w:val="22"/>
              </w:rPr>
            </w:r>
          </w:p>
        </w:tc>
        <w:tc>
          <w:tcPr>
            <w:shd w:val="clear" w:color="ffffff" w:fill="ffffff"/>
            <w:tcBorders/>
            <w:tcW w:w="860" w:type="pct"/>
            <w:vAlign w:val="center"/>
            <w:textDirection w:val="lrTb"/>
            <w:noWrap w:val="false"/>
          </w:tcPr>
          <w:p>
            <w:pPr>
              <w:pBdr/>
              <w:spacing/>
              <w:ind/>
              <w:contextualSpacing w:val="true"/>
              <w:jc w:val="center"/>
              <w:rPr>
                <w:sz w:val="22"/>
                <w:szCs w:val="22"/>
              </w:rPr>
            </w:pPr>
            <w:r>
              <w:rPr>
                <w:sz w:val="22"/>
                <w:szCs w:val="22"/>
              </w:rPr>
              <w:t xml:space="preserve">Наличие</w:t>
            </w:r>
            <w:r>
              <w:rPr>
                <w:sz w:val="22"/>
                <w:szCs w:val="22"/>
              </w:rPr>
            </w:r>
          </w:p>
        </w:tc>
      </w:tr>
    </w:tbl>
    <w:p>
      <w:pPr>
        <w:pBdr/>
        <w:spacing/>
        <w:ind/>
        <w:contextualSpacing w:val="true"/>
        <w:rPr>
          <w:sz w:val="22"/>
          <w:szCs w:val="22"/>
        </w:rPr>
      </w:pPr>
      <w:r>
        <w:rPr>
          <w:sz w:val="22"/>
          <w:szCs w:val="22"/>
        </w:rPr>
      </w:r>
      <w:r>
        <w:rPr>
          <w:sz w:val="22"/>
          <w:szCs w:val="22"/>
        </w:rPr>
      </w:r>
    </w:p>
    <w:p>
      <w:pPr>
        <w:pBdr/>
        <w:spacing/>
        <w:ind/>
        <w:jc w:val="center"/>
        <w:rPr>
          <w:rFonts w:eastAsia="Batang, 바탕"/>
          <w:b/>
          <w:sz w:val="22"/>
          <w:szCs w:val="22"/>
        </w:rPr>
      </w:pPr>
      <w:r>
        <w:rPr>
          <w:rFonts w:eastAsia="Batang, 바탕"/>
          <w:b/>
          <w:sz w:val="22"/>
          <w:szCs w:val="22"/>
          <w:lang w:eastAsia="ko-KR"/>
        </w:rPr>
        <w:t xml:space="preserve">Требования к году (месяцу) изготовления Товара</w:t>
      </w:r>
      <w:r>
        <w:rPr>
          <w:rFonts w:eastAsia="Batang, 바탕"/>
          <w:b/>
          <w:sz w:val="22"/>
          <w:szCs w:val="22"/>
        </w:rPr>
      </w:r>
    </w:p>
    <w:p>
      <w:pPr>
        <w:pBdr/>
        <w:spacing/>
        <w:ind/>
        <w:jc w:val="both"/>
        <w:rPr>
          <w:sz w:val="22"/>
          <w:szCs w:val="22"/>
        </w:rPr>
      </w:pPr>
      <w:r>
        <w:rPr>
          <w:sz w:val="22"/>
          <w:szCs w:val="22"/>
          <w:lang w:eastAsia="zh-CN"/>
        </w:rPr>
        <w:t xml:space="preserve">Год изготовления Товара должен не ранее 2025.</w:t>
      </w:r>
      <w:r>
        <w:rPr>
          <w:sz w:val="22"/>
          <w:szCs w:val="22"/>
        </w:rPr>
      </w:r>
    </w:p>
    <w:p>
      <w:pPr>
        <w:pBdr/>
        <w:spacing/>
        <w:ind w:firstLine="284" w:left="-284"/>
        <w:jc w:val="both"/>
        <w:rPr>
          <w:b/>
          <w:sz w:val="22"/>
          <w:szCs w:val="22"/>
        </w:rPr>
      </w:pPr>
      <w:r>
        <w:rPr>
          <w:sz w:val="22"/>
          <w:szCs w:val="22"/>
        </w:rPr>
        <w:t xml:space="preserve">Гарантийный срок на дату поставки не менее 12 месяцев.</w:t>
      </w:r>
      <w:r>
        <w:rPr>
          <w:b/>
          <w:sz w:val="22"/>
          <w:szCs w:val="22"/>
        </w:rPr>
      </w:r>
    </w:p>
    <w:p w14:paraId="35C5A3BC">
      <w:pPr>
        <w:pBdr/>
        <w:spacing/>
        <w:ind/>
        <w:jc w:val="both"/>
        <w:rPr>
          <w:sz w:val="22"/>
          <w:szCs w:val="22"/>
        </w:rPr>
      </w:pPr>
      <w:r>
        <w:rPr>
          <w:sz w:val="22"/>
          <w:szCs w:val="22"/>
        </w:rPr>
      </w:r>
      <w:r>
        <w:rPr>
          <w:sz w:val="22"/>
          <w:szCs w:val="22"/>
        </w:rPr>
      </w:r>
      <w:r>
        <w:rPr>
          <w:sz w:val="22"/>
          <w:szCs w:val="22"/>
        </w:rPr>
      </w:r>
    </w:p>
    <w:p w14:paraId="389F02DC">
      <w:pPr>
        <w:pBdr/>
        <w:spacing/>
        <w:ind/>
        <w:contextualSpacing w:val="true"/>
        <w:jc w:val="center"/>
        <w:rPr>
          <w:b/>
          <w:bCs/>
          <w:sz w:val="22"/>
          <w:szCs w:val="22"/>
        </w:rPr>
      </w:pPr>
      <w:r>
        <w:rPr>
          <w:b/>
          <w:bCs/>
          <w:sz w:val="22"/>
          <w:szCs w:val="22"/>
        </w:rPr>
        <w:t xml:space="preserve">Порядок контроля и приемки поставленного товара</w:t>
      </w:r>
      <w:r>
        <w:rPr>
          <w:b/>
          <w:bCs/>
          <w:sz w:val="22"/>
          <w:szCs w:val="22"/>
        </w:rPr>
      </w:r>
      <w:r>
        <w:rPr>
          <w:b/>
          <w:bCs/>
          <w:sz w:val="22"/>
          <w:szCs w:val="22"/>
        </w:rPr>
      </w:r>
    </w:p>
    <w:p w14:paraId="5B22CB65">
      <w:pPr>
        <w:pBdr/>
        <w:spacing/>
        <w:ind w:firstLine="284" w:left="-284"/>
        <w:jc w:val="both"/>
        <w:rPr>
          <w:b/>
          <w:sz w:val="22"/>
          <w:szCs w:val="22"/>
        </w:rPr>
      </w:pPr>
      <w:r>
        <w:rPr>
          <w:sz w:val="22"/>
          <w:szCs w:val="22"/>
        </w:rPr>
        <w:t xml:space="preserve">Остаточный гарантийный срок хранения (срок годности Товара) на дату поставки не менее 12 месяцев.</w:t>
      </w:r>
      <w:r>
        <w:rPr>
          <w:b/>
          <w:sz w:val="22"/>
          <w:szCs w:val="22"/>
        </w:rPr>
      </w:r>
      <w:r>
        <w:rPr>
          <w:b/>
          <w:sz w:val="22"/>
          <w:szCs w:val="22"/>
        </w:rPr>
      </w:r>
    </w:p>
    <w:p w14:paraId="1E7AE8FB">
      <w:pPr>
        <w:pStyle w:val="1017"/>
        <w:widowControl w:val="false"/>
        <w:pBdr>
          <w:top w:val="none" w:color="000000" w:sz="4" w:space="0"/>
          <w:left w:val="none" w:color="000000" w:sz="4" w:space="0"/>
          <w:bottom w:val="none" w:color="000000" w:sz="4" w:space="0"/>
          <w:right w:val="none" w:color="000000" w:sz="4" w:space="0"/>
          <w:between w:val="none" w:color="000000" w:sz="4" w:space="0"/>
        </w:pBdr>
        <w:shd w:val="clear" w:color="auto" w:fill="ffffff"/>
        <w:spacing w:after="0" w:line="240" w:lineRule="auto"/>
        <w:ind w:right="34" w:firstLine="567" w:left="0"/>
        <w:jc w:val="both"/>
        <w:rPr>
          <w:rFonts w:ascii="Times New Roman" w:hAnsi="Times New Roman"/>
          <w:lang w:val="ru-RU"/>
        </w:rPr>
      </w:pPr>
      <w:r>
        <w:rPr>
          <w:rFonts w:ascii="Times New Roman" w:hAnsi="Times New Roman"/>
          <w:lang w:val="ru-RU"/>
        </w:rPr>
        <w:t xml:space="preserve">Приемка Товара производится в соответствии с контрактом. Поставщик должен передать Заказчику:</w:t>
      </w:r>
      <w:r>
        <w:rPr>
          <w:rFonts w:ascii="Times New Roman" w:hAnsi="Times New Roman"/>
          <w:lang w:val="ru-RU"/>
        </w:rPr>
      </w:r>
      <w:r>
        <w:rPr>
          <w:rFonts w:ascii="Times New Roman" w:hAnsi="Times New Roman"/>
          <w:lang w:val="ru-RU"/>
        </w:rPr>
      </w:r>
    </w:p>
    <w:p w14:paraId="462D6006">
      <w:pPr>
        <w:pStyle w:val="1008"/>
        <w:pBdr/>
        <w:spacing/>
        <w:ind w:right="34" w:firstLine="567"/>
        <w:jc w:val="both"/>
        <w:rPr>
          <w:rFonts w:ascii="Times New Roman" w:hAnsi="Times New Roman"/>
          <w:sz w:val="22"/>
          <w:szCs w:val="22"/>
        </w:rPr>
      </w:pPr>
      <w:r>
        <w:rPr>
          <w:rFonts w:ascii="Times New Roman" w:hAnsi="Times New Roman"/>
          <w:sz w:val="22"/>
          <w:szCs w:val="22"/>
        </w:rPr>
        <w:t xml:space="preserve">а) счет;</w:t>
      </w:r>
      <w:r>
        <w:rPr>
          <w:rFonts w:ascii="Times New Roman" w:hAnsi="Times New Roman"/>
          <w:sz w:val="22"/>
          <w:szCs w:val="22"/>
        </w:rPr>
      </w:r>
      <w:r>
        <w:rPr>
          <w:rFonts w:ascii="Times New Roman" w:hAnsi="Times New Roman"/>
          <w:sz w:val="22"/>
          <w:szCs w:val="22"/>
        </w:rPr>
      </w:r>
    </w:p>
    <w:p w14:paraId="04E740B9">
      <w:pPr>
        <w:pStyle w:val="1008"/>
        <w:pBdr/>
        <w:spacing/>
        <w:ind w:right="34" w:firstLine="567"/>
        <w:jc w:val="both"/>
        <w:rPr>
          <w:rFonts w:ascii="Times New Roman" w:hAnsi="Times New Roman"/>
          <w:sz w:val="22"/>
          <w:szCs w:val="22"/>
        </w:rPr>
      </w:pPr>
      <w:r>
        <w:rPr>
          <w:rFonts w:ascii="Times New Roman" w:hAnsi="Times New Roman"/>
          <w:sz w:val="22"/>
          <w:szCs w:val="22"/>
        </w:rPr>
        <w:t xml:space="preserve">б) счет-фактуру (при наличии)</w:t>
      </w:r>
      <w:r>
        <w:rPr>
          <w:rFonts w:ascii="Times New Roman" w:hAnsi="Times New Roman"/>
          <w:sz w:val="22"/>
          <w:szCs w:val="22"/>
        </w:rPr>
      </w:r>
      <w:r>
        <w:rPr>
          <w:rFonts w:ascii="Times New Roman" w:hAnsi="Times New Roman"/>
          <w:sz w:val="22"/>
          <w:szCs w:val="22"/>
        </w:rPr>
      </w:r>
    </w:p>
    <w:p w14:paraId="745DD26D">
      <w:pPr>
        <w:pStyle w:val="1008"/>
        <w:pBdr/>
        <w:spacing/>
        <w:ind w:right="34" w:firstLine="567"/>
        <w:jc w:val="both"/>
        <w:rPr>
          <w:rFonts w:ascii="Times New Roman" w:hAnsi="Times New Roman"/>
          <w:sz w:val="22"/>
          <w:szCs w:val="22"/>
        </w:rPr>
      </w:pPr>
      <w:r>
        <w:rPr>
          <w:rFonts w:ascii="Times New Roman" w:hAnsi="Times New Roman"/>
          <w:sz w:val="22"/>
          <w:szCs w:val="22"/>
        </w:rPr>
        <w:t xml:space="preserve">в) товарную накладную или универсальный передаточный документ (далее - УПД), составленный по форме в соответствии с законодательством Российской Федерации;</w:t>
      </w:r>
      <w:r>
        <w:rPr>
          <w:rFonts w:ascii="Times New Roman" w:hAnsi="Times New Roman"/>
          <w:sz w:val="22"/>
          <w:szCs w:val="22"/>
        </w:rPr>
      </w:r>
      <w:r>
        <w:rPr>
          <w:rFonts w:ascii="Times New Roman" w:hAnsi="Times New Roman"/>
          <w:sz w:val="22"/>
          <w:szCs w:val="22"/>
        </w:rPr>
      </w:r>
    </w:p>
    <w:p w14:paraId="7D94821A">
      <w:pPr>
        <w:pStyle w:val="1008"/>
        <w:pBdr/>
        <w:spacing/>
        <w:ind w:right="34" w:firstLine="567"/>
        <w:jc w:val="both"/>
        <w:rPr>
          <w:rFonts w:ascii="Times New Roman" w:hAnsi="Times New Roman"/>
          <w:sz w:val="22"/>
          <w:szCs w:val="22"/>
        </w:rPr>
      </w:pPr>
      <w:r>
        <w:rPr>
          <w:rFonts w:ascii="Times New Roman" w:hAnsi="Times New Roman"/>
          <w:sz w:val="22"/>
          <w:szCs w:val="22"/>
        </w:rPr>
        <w:t xml:space="preserve">г) </w:t>
      </w:r>
      <w:r>
        <w:rPr>
          <w:rFonts w:ascii="Times New Roman" w:hAnsi="Times New Roman"/>
          <w:color w:val="000000"/>
          <w:sz w:val="22"/>
          <w:szCs w:val="22"/>
          <w:shd w:val="clear" w:color="auto" w:fill="ffffff"/>
        </w:rPr>
        <w:t xml:space="preserve">акт приема-передачи Товара</w:t>
      </w:r>
      <w:r>
        <w:rPr>
          <w:rFonts w:ascii="Times New Roman" w:hAnsi="Times New Roman"/>
          <w:sz w:val="22"/>
          <w:szCs w:val="22"/>
        </w:rPr>
      </w:r>
      <w:r>
        <w:rPr>
          <w:rFonts w:ascii="Times New Roman" w:hAnsi="Times New Roman"/>
          <w:sz w:val="22"/>
          <w:szCs w:val="22"/>
        </w:rPr>
      </w:r>
    </w:p>
    <w:p w14:paraId="61D414D0">
      <w:pPr>
        <w:pStyle w:val="1008"/>
        <w:pBdr/>
        <w:spacing/>
        <w:ind w:right="34" w:firstLine="567"/>
        <w:jc w:val="both"/>
        <w:rPr>
          <w:rFonts w:ascii="Times New Roman" w:hAnsi="Times New Roman"/>
          <w:sz w:val="22"/>
          <w:szCs w:val="22"/>
        </w:rPr>
      </w:pPr>
      <w:r>
        <w:rPr>
          <w:rFonts w:ascii="Times New Roman" w:hAnsi="Times New Roman"/>
          <w:sz w:val="22"/>
          <w:szCs w:val="22"/>
          <w:lang w:eastAsia="zh-CN" w:bidi="hi-IN"/>
        </w:rPr>
        <w:t xml:space="preserve">На всех документах, перечисленных, обязательно должны быть указаны наименование Заказчика, Поставщика, номер и дата Контракта, даты оформления и подписания документов.</w:t>
      </w:r>
      <w:r>
        <w:rPr>
          <w:rFonts w:ascii="Times New Roman" w:hAnsi="Times New Roman"/>
          <w:sz w:val="22"/>
          <w:szCs w:val="22"/>
        </w:rPr>
      </w:r>
      <w:r>
        <w:rPr>
          <w:rFonts w:ascii="Times New Roman" w:hAnsi="Times New Roman"/>
          <w:sz w:val="22"/>
          <w:szCs w:val="22"/>
        </w:rPr>
      </w:r>
    </w:p>
    <w:p>
      <w:pPr>
        <w:pBdr/>
        <w:spacing/>
        <w:ind/>
        <w:jc w:val="both"/>
        <w:rPr>
          <w:sz w:val="22"/>
          <w:szCs w:val="22"/>
        </w:rPr>
      </w:pPr>
      <w:r>
        <w:rPr>
          <w:sz w:val="22"/>
          <w:szCs w:val="22"/>
        </w:rPr>
      </w:r>
      <w:r>
        <w:rPr>
          <w:sz w:val="22"/>
          <w:szCs w:val="22"/>
        </w:rPr>
      </w:r>
    </w:p>
    <w:p>
      <w:pPr>
        <w:pBdr/>
        <w:spacing/>
        <w:ind w:firstLine="284" w:left="-284"/>
        <w:jc w:val="both"/>
        <w:rPr>
          <w:b/>
          <w:sz w:val="18"/>
          <w:szCs w:val="18"/>
        </w:rPr>
      </w:pPr>
      <w:r>
        <w:rPr>
          <w:b/>
          <w:sz w:val="18"/>
          <w:szCs w:val="18"/>
        </w:rPr>
        <w:t xml:space="preserve">Примечание: </w:t>
      </w:r>
      <w:r>
        <w:rPr>
          <w:b/>
          <w:sz w:val="18"/>
          <w:szCs w:val="18"/>
        </w:rPr>
      </w:r>
    </w:p>
    <w:p>
      <w:pPr>
        <w:pBdr/>
        <w:spacing w:line="240" w:lineRule="exact"/>
        <w:ind w:firstLine="426"/>
        <w:jc w:val="both"/>
        <w:rPr>
          <w:sz w:val="16"/>
          <w:szCs w:val="16"/>
        </w:rPr>
      </w:pPr>
      <w:r>
        <w:rPr>
          <w:sz w:val="18"/>
          <w:szCs w:val="18"/>
        </w:rPr>
        <w:t xml:space="preserve">Во всех случаях, когда в Технической части или в приложениях к ней (при наличии) имеются ссылки на конкретные стандарт</w:t>
      </w:r>
      <w:r>
        <w:rPr>
          <w:sz w:val="18"/>
          <w:szCs w:val="18"/>
        </w:rPr>
        <w:t xml:space="preserve">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w:t>
      </w:r>
      <w:r>
        <w:rPr>
          <w:sz w:val="18"/>
          <w:szCs w:val="18"/>
        </w:rPr>
        <w:t xml:space="preserve">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r>
        <w:rPr>
          <w:sz w:val="16"/>
          <w:szCs w:val="16"/>
        </w:rPr>
      </w:r>
    </w:p>
    <w:p>
      <w:pPr>
        <w:widowControl w:val="false"/>
        <w:pBdr/>
        <w:spacing/>
        <w:ind w:firstLine="567"/>
        <w:rPr>
          <w:rFonts w:eastAsia="SimSun"/>
          <w:sz w:val="22"/>
          <w:szCs w:val="22"/>
          <w:highlight w:val="red"/>
        </w:rPr>
      </w:pPr>
      <w:r>
        <w:rPr>
          <w:rFonts w:eastAsia="SimSun"/>
          <w:sz w:val="22"/>
          <w:szCs w:val="22"/>
          <w:highlight w:val="red"/>
        </w:rPr>
      </w:r>
      <w:r>
        <w:rPr>
          <w:rFonts w:eastAsia="SimSun"/>
          <w:sz w:val="22"/>
          <w:szCs w:val="22"/>
          <w:highlight w:val="red"/>
        </w:rPr>
      </w:r>
    </w:p>
    <w:tbl>
      <w:tblPr>
        <w:tblW w:w="5006" w:type="pct"/>
        <w:tblBorders/>
        <w:tblpPr w:horzAnchor="margin" w:tblpXSpec="left" w:vertAnchor="text" w:tblpY="715" w:leftFromText="180" w:topFromText="0" w:rightFromText="180" w:bottomFromText="0"/>
        <w:tblLook w:val="01E0" w:firstRow="1" w:lastRow="1" w:firstColumn="1" w:lastColumn="1" w:noHBand="0" w:noVBand="0"/>
      </w:tblPr>
      <w:tblGrid>
        <w:gridCol w:w="5033"/>
        <w:gridCol w:w="5401"/>
      </w:tblGrid>
      <w:tr>
        <w:trPr>
          <w:trHeight w:val="2278"/>
        </w:trPr>
        <w:tc>
          <w:tcPr>
            <w:tcBorders/>
            <w:tcW w:w="2412" w:type="pct"/>
            <w:textDirection w:val="lrTb"/>
            <w:noWrap w:val="false"/>
          </w:tcPr>
          <w:p>
            <w:pPr>
              <w:pBdr/>
              <w:spacing/>
              <w:ind/>
              <w:rPr>
                <w:b/>
                <w:sz w:val="22"/>
                <w:szCs w:val="22"/>
              </w:rPr>
            </w:pPr>
            <w:r>
              <w:rPr>
                <w:b/>
                <w:sz w:val="22"/>
                <w:szCs w:val="22"/>
              </w:rPr>
              <w:t xml:space="preserve">Заказчик:</w:t>
            </w:r>
            <w:r>
              <w:rPr>
                <w:b/>
                <w:sz w:val="22"/>
                <w:szCs w:val="22"/>
              </w:rPr>
            </w:r>
          </w:p>
          <w:p>
            <w:pPr>
              <w:pBdr/>
              <w:spacing/>
              <w:ind/>
              <w:jc w:val="both"/>
              <w:rPr>
                <w:rFonts w:eastAsia="Calibri"/>
                <w:sz w:val="22"/>
                <w:szCs w:val="22"/>
              </w:rPr>
            </w:pPr>
            <w:r>
              <w:rPr>
                <w:rFonts w:eastAsia="Calibri"/>
                <w:sz w:val="22"/>
                <w:szCs w:val="22"/>
              </w:rPr>
            </w:r>
            <w:r>
              <w:rPr>
                <w:rFonts w:eastAsia="Calibri"/>
                <w:sz w:val="22"/>
                <w:szCs w:val="22"/>
              </w:rPr>
            </w:r>
          </w:p>
          <w:p>
            <w:pPr>
              <w:pBdr/>
              <w:spacing/>
              <w:ind/>
              <w:jc w:val="both"/>
              <w:rPr>
                <w:rFonts w:eastAsia="Calibri"/>
                <w:sz w:val="22"/>
                <w:szCs w:val="22"/>
              </w:rPr>
            </w:pPr>
            <w:r>
              <w:rPr>
                <w:rFonts w:eastAsia="Calibri"/>
                <w:sz w:val="22"/>
                <w:szCs w:val="22"/>
              </w:rPr>
              <w:t xml:space="preserve">_______________ </w:t>
            </w:r>
            <w:r>
              <w:rPr>
                <w:sz w:val="22"/>
                <w:szCs w:val="22"/>
              </w:rPr>
              <w:t xml:space="preserve">/</w:t>
            </w:r>
            <w:r>
              <w:rPr>
                <w:rFonts w:eastAsia="Calibri"/>
                <w:sz w:val="22"/>
                <w:szCs w:val="22"/>
              </w:rPr>
              <w:t xml:space="preserve">__________________ </w:t>
            </w:r>
            <w:r>
              <w:rPr>
                <w:sz w:val="22"/>
                <w:szCs w:val="22"/>
              </w:rPr>
              <w:t xml:space="preserve">/</w:t>
            </w:r>
            <w:r>
              <w:rPr>
                <w:rFonts w:eastAsia="Calibri"/>
                <w:sz w:val="22"/>
                <w:szCs w:val="22"/>
              </w:rPr>
            </w:r>
          </w:p>
          <w:p>
            <w:pPr>
              <w:pBdr/>
              <w:spacing/>
              <w:ind/>
              <w:jc w:val="both"/>
              <w:rPr>
                <w:sz w:val="22"/>
                <w:szCs w:val="22"/>
              </w:rPr>
            </w:pPr>
            <w:r>
              <w:rPr>
                <w:sz w:val="22"/>
                <w:szCs w:val="22"/>
              </w:rPr>
              <w:t xml:space="preserve">Подпись, печать </w:t>
            </w:r>
            <w:r>
              <w:rPr>
                <w:sz w:val="22"/>
                <w:szCs w:val="22"/>
              </w:rPr>
            </w:r>
          </w:p>
        </w:tc>
        <w:tc>
          <w:tcPr>
            <w:tcBorders/>
            <w:tcW w:w="2588" w:type="pct"/>
            <w:textDirection w:val="lrTb"/>
            <w:noWrap w:val="false"/>
          </w:tcPr>
          <w:p>
            <w:pPr>
              <w:pBdr/>
              <w:spacing/>
              <w:ind w:hanging="108"/>
              <w:rPr>
                <w:b/>
                <w:sz w:val="22"/>
                <w:szCs w:val="22"/>
              </w:rPr>
            </w:pPr>
            <w:r>
              <w:rPr>
                <w:sz w:val="22"/>
                <w:szCs w:val="22"/>
              </w:rPr>
              <w:t xml:space="preserve">      </w:t>
            </w:r>
            <w:r>
              <w:rPr>
                <w:b/>
                <w:sz w:val="22"/>
                <w:szCs w:val="22"/>
              </w:rPr>
              <w:t xml:space="preserve">Поставщик:</w:t>
            </w:r>
            <w:r>
              <w:rPr>
                <w:b/>
                <w:sz w:val="22"/>
                <w:szCs w:val="22"/>
              </w:rPr>
            </w:r>
          </w:p>
          <w:p>
            <w:pPr>
              <w:pBdr/>
              <w:spacing/>
              <w:ind w:hanging="108"/>
              <w:rPr>
                <w:sz w:val="22"/>
                <w:szCs w:val="22"/>
              </w:rPr>
            </w:pPr>
            <w:r>
              <w:rPr>
                <w:b/>
                <w:sz w:val="22"/>
                <w:szCs w:val="22"/>
              </w:rPr>
              <w:t xml:space="preserve">      </w:t>
            </w:r>
            <w:r>
              <w:rPr>
                <w:sz w:val="22"/>
                <w:szCs w:val="22"/>
              </w:rPr>
            </w:r>
          </w:p>
          <w:p>
            <w:pPr>
              <w:pBdr/>
              <w:spacing/>
              <w:ind w:firstLine="213"/>
              <w:rPr>
                <w:rFonts w:eastAsia="Calibri"/>
                <w:sz w:val="22"/>
                <w:szCs w:val="22"/>
              </w:rPr>
            </w:pPr>
            <w:r>
              <w:rPr>
                <w:rFonts w:eastAsia="Calibri"/>
                <w:sz w:val="22"/>
                <w:szCs w:val="22"/>
              </w:rPr>
              <w:t xml:space="preserve">________________ </w:t>
            </w:r>
            <w:r>
              <w:rPr>
                <w:sz w:val="22"/>
                <w:szCs w:val="22"/>
              </w:rPr>
              <w:t xml:space="preserve">/__________________ /</w:t>
            </w:r>
            <w:r>
              <w:rPr>
                <w:rFonts w:eastAsia="Calibri"/>
                <w:sz w:val="22"/>
                <w:szCs w:val="22"/>
              </w:rPr>
              <w:t xml:space="preserve"> </w:t>
            </w:r>
            <w:r>
              <w:rPr>
                <w:rFonts w:eastAsia="Calibri"/>
                <w:sz w:val="22"/>
                <w:szCs w:val="22"/>
              </w:rPr>
            </w:r>
          </w:p>
          <w:p>
            <w:pPr>
              <w:pBdr/>
              <w:spacing/>
              <w:ind w:hanging="108"/>
              <w:jc w:val="both"/>
              <w:rPr>
                <w:sz w:val="22"/>
                <w:szCs w:val="22"/>
              </w:rPr>
            </w:pPr>
            <w:r>
              <w:rPr>
                <w:rFonts w:eastAsia="Calibri"/>
                <w:sz w:val="22"/>
                <w:szCs w:val="22"/>
              </w:rPr>
              <w:t xml:space="preserve">     Подпись, печать</w:t>
            </w:r>
            <w:r>
              <w:rPr>
                <w:sz w:val="22"/>
                <w:szCs w:val="22"/>
              </w:rPr>
            </w:r>
          </w:p>
        </w:tc>
      </w:tr>
    </w:tbl>
    <w:p>
      <w:pPr>
        <w:widowControl w:val="false"/>
        <w:pBdr/>
        <w:spacing/>
        <w:ind/>
        <w:rPr>
          <w:rFonts w:eastAsia="SimSun"/>
          <w:sz w:val="22"/>
          <w:szCs w:val="22"/>
          <w:lang w:eastAsia="zh-CN" w:bidi="hi-IN"/>
        </w:rPr>
      </w:pPr>
      <w:r>
        <w:rPr>
          <w:rFonts w:eastAsia="SimSun"/>
          <w:sz w:val="22"/>
          <w:szCs w:val="22"/>
          <w:lang w:eastAsia="zh-CN" w:bidi="hi-IN"/>
        </w:rPr>
      </w:r>
      <w:r>
        <w:rPr>
          <w:rFonts w:eastAsia="SimSun"/>
          <w:sz w:val="22"/>
          <w:szCs w:val="22"/>
          <w:lang w:eastAsia="zh-CN" w:bidi="hi-IN"/>
        </w:rPr>
      </w:r>
    </w:p>
    <w:sectPr>
      <w:footnotePr/>
      <w:endnotePr/>
      <w:type w:val="nextPage"/>
      <w:pgSz w:h="16838" w:orient="portrait" w:w="11906"/>
      <w:pgMar w:top="680" w:right="567" w:bottom="720" w:left="1134"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tang, 바탕">
    <w:panose1 w:val="02020603050405020304"/>
  </w:font>
  <w:font w:name="Roboto">
    <w:panose1 w:val="02000000000000000000"/>
  </w:font>
  <w:font w:name="Symbol">
    <w:panose1 w:val="05010000000000000000"/>
  </w:font>
  <w:font w:name="Bookman Old Style">
    <w:panose1 w:val="02060603050605020204"/>
  </w:font>
  <w:font w:name="Liberation Serif">
    <w:panose1 w:val="02020603050405020304"/>
  </w:font>
  <w:font w:name="Lohit Hindi">
    <w:panose1 w:val="02020603050405020304"/>
  </w:font>
  <w:font w:name="Courier New">
    <w:panose1 w:val="02070409020205020404"/>
  </w:font>
  <w:font w:name="Mangal">
    <w:panose1 w:val="02040503050306020203"/>
  </w:font>
  <w:font w:name="Liberation Sans">
    <w:panose1 w:val="020B0604020202020204"/>
  </w:font>
  <w:font w:name="Wingdings">
    <w:panose1 w:val="05010000000000000000"/>
  </w:font>
  <w:font w:name="Tahoma">
    <w:panose1 w:val="020B0604030504040204"/>
  </w:font>
  <w:font w:name="MS Mincho">
    <w:panose1 w:val="02020503050405090304"/>
  </w:font>
  <w:font w:name="Cambria">
    <w:panose1 w:val="02040503050406030204"/>
  </w:font>
  <w:font w:name="Times New Roman">
    <w:panose1 w:val="02020603050405020304"/>
  </w:font>
  <w:font w:name="SimSun">
    <w:panose1 w:val="02000506000000020000"/>
  </w:font>
  <w:font w:name="FreeSans">
    <w:panose1 w:val="02020603050405020304"/>
  </w:font>
  <w:font w:name="Calibri">
    <w:panose1 w:val="020F0502020204030204"/>
  </w:font>
  <w:font w:name="Arial">
    <w:panose1 w:val="020B0604020202020204"/>
  </w:font>
  <w:font w:name="Noto Sans CJK SC Regular">
    <w:panose1 w:val="020B0502040504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lvl w:ilvl="0">
      <w:isLgl w:val="false"/>
      <w:lvlJc w:val="left"/>
      <w:lvlText w:val=""/>
      <w:numFmt w:val="bullet"/>
      <w:pPr>
        <w:pBdr/>
        <w:tabs>
          <w:tab w:val="num" w:leader="none" w:pos="360"/>
        </w:tabs>
        <w:spacing/>
        <w:ind w:hanging="360" w:left="360"/>
      </w:pPr>
      <w:pStyle w:val="1043"/>
      <w:rPr>
        <w:rFonts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nsid w:val="006006F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082385E"/>
    <w:lvl w:ilvl="0">
      <w:isLgl w:val="false"/>
      <w:lvlJc w:val="left"/>
      <w:lvlText w:val=""/>
      <w:numFmt w:val="bullet"/>
      <w:pPr>
        <w:pBdr/>
        <w:spacing/>
        <w:ind w:hanging="360" w:left="720"/>
      </w:pPr>
      <w:rPr>
        <w:rFonts w:ascii="Symbol" w:hAnsi="Symbol"/>
      </w:rPr>
      <w:start w:val="1"/>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3">
    <w:nsid w:val="0AC37CC7"/>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0B19695C"/>
    <w:lvl w:ilvl="0">
      <w:isLgl w:val="false"/>
      <w:lvlJc w:val="left"/>
      <w:lvlText w:val=""/>
      <w:numFmt w:val="bullet"/>
      <w:pPr>
        <w:pBdr/>
        <w:tabs>
          <w:tab w:val="num" w:leader="none" w:pos="720"/>
        </w:tabs>
        <w:spacing/>
        <w:ind w:hanging="360" w:left="720"/>
      </w:pPr>
      <w:rPr>
        <w:rFonts w:ascii="Symbol" w:hAnsi="Symbol"/>
        <w:sz w:val="20"/>
      </w:rPr>
      <w:start w:val="1"/>
      <w:suff w:val="tab"/>
    </w:lvl>
    <w:lvl w:ilvl="1">
      <w:isLgl w:val="false"/>
      <w:lvlJc w:val="left"/>
      <w:lvlText w:val="o"/>
      <w:numFmt w:val="bullet"/>
      <w:pPr>
        <w:pBdr/>
        <w:tabs>
          <w:tab w:val="num" w:leader="none" w:pos="1440"/>
        </w:tabs>
        <w:spacing/>
        <w:ind w:hanging="360" w:left="1440"/>
      </w:pPr>
      <w:rPr>
        <w:rFonts w:ascii="Courier New" w:hAnsi="Courier New"/>
        <w:sz w:val="20"/>
      </w:rPr>
      <w:start w:val="1"/>
      <w:suff w:val="tab"/>
    </w:lvl>
    <w:lvl w:ilvl="2">
      <w:isLgl w:val="false"/>
      <w:lvlJc w:val="left"/>
      <w:lvlText w:val=""/>
      <w:numFmt w:val="bullet"/>
      <w:pPr>
        <w:pBdr/>
        <w:tabs>
          <w:tab w:val="num" w:leader="none" w:pos="2160"/>
        </w:tabs>
        <w:spacing/>
        <w:ind w:hanging="360" w:left="2160"/>
      </w:pPr>
      <w:rPr>
        <w:rFonts w:ascii="Wingdings" w:hAnsi="Wingdings"/>
        <w:sz w:val="20"/>
      </w:rPr>
      <w:start w:val="1"/>
      <w:suff w:val="tab"/>
    </w:lvl>
    <w:lvl w:ilvl="3">
      <w:isLgl w:val="false"/>
      <w:lvlJc w:val="left"/>
      <w:lvlText w:val=""/>
      <w:numFmt w:val="bullet"/>
      <w:pPr>
        <w:pBdr/>
        <w:tabs>
          <w:tab w:val="num" w:leader="none" w:pos="2880"/>
        </w:tabs>
        <w:spacing/>
        <w:ind w:hanging="360" w:left="2880"/>
      </w:pPr>
      <w:rPr>
        <w:rFonts w:ascii="Wingdings" w:hAnsi="Wingdings"/>
        <w:sz w:val="20"/>
      </w:rPr>
      <w:start w:val="1"/>
      <w:suff w:val="tab"/>
    </w:lvl>
    <w:lvl w:ilvl="4">
      <w:isLgl w:val="false"/>
      <w:lvlJc w:val="left"/>
      <w:lvlText w:val=""/>
      <w:numFmt w:val="bullet"/>
      <w:pPr>
        <w:pBdr/>
        <w:tabs>
          <w:tab w:val="num" w:leader="none" w:pos="3600"/>
        </w:tabs>
        <w:spacing/>
        <w:ind w:hanging="360" w:left="3600"/>
      </w:pPr>
      <w:rPr>
        <w:rFonts w:ascii="Wingdings" w:hAnsi="Wingdings"/>
        <w:sz w:val="20"/>
      </w:rPr>
      <w:start w:val="1"/>
      <w:suff w:val="tab"/>
    </w:lvl>
    <w:lvl w:ilvl="5">
      <w:isLgl w:val="false"/>
      <w:lvlJc w:val="left"/>
      <w:lvlText w:val=""/>
      <w:numFmt w:val="bullet"/>
      <w:pPr>
        <w:pBdr/>
        <w:tabs>
          <w:tab w:val="num" w:leader="none" w:pos="4320"/>
        </w:tabs>
        <w:spacing/>
        <w:ind w:hanging="360" w:left="4320"/>
      </w:pPr>
      <w:rPr>
        <w:rFonts w:ascii="Wingdings" w:hAnsi="Wingdings"/>
        <w:sz w:val="20"/>
      </w:rPr>
      <w:start w:val="1"/>
      <w:suff w:val="tab"/>
    </w:lvl>
    <w:lvl w:ilvl="6">
      <w:isLgl w:val="false"/>
      <w:lvlJc w:val="left"/>
      <w:lvlText w:val=""/>
      <w:numFmt w:val="bullet"/>
      <w:pPr>
        <w:pBdr/>
        <w:tabs>
          <w:tab w:val="num" w:leader="none" w:pos="5040"/>
        </w:tabs>
        <w:spacing/>
        <w:ind w:hanging="360" w:left="5040"/>
      </w:pPr>
      <w:rPr>
        <w:rFonts w:ascii="Wingdings" w:hAnsi="Wingdings"/>
        <w:sz w:val="20"/>
      </w:rPr>
      <w:start w:val="1"/>
      <w:suff w:val="tab"/>
    </w:lvl>
    <w:lvl w:ilvl="7">
      <w:isLgl w:val="false"/>
      <w:lvlJc w:val="left"/>
      <w:lvlText w:val=""/>
      <w:numFmt w:val="bullet"/>
      <w:pPr>
        <w:pBdr/>
        <w:tabs>
          <w:tab w:val="num" w:leader="none" w:pos="5760"/>
        </w:tabs>
        <w:spacing/>
        <w:ind w:hanging="360" w:left="5760"/>
      </w:pPr>
      <w:rPr>
        <w:rFonts w:ascii="Wingdings" w:hAnsi="Wingdings"/>
        <w:sz w:val="20"/>
      </w:rPr>
      <w:start w:val="1"/>
      <w:suff w:val="tab"/>
    </w:lvl>
    <w:lvl w:ilvl="8">
      <w:isLgl w:val="false"/>
      <w:lvlJc w:val="left"/>
      <w:lvlText w:val=""/>
      <w:numFmt w:val="bullet"/>
      <w:pPr>
        <w:pBdr/>
        <w:tabs>
          <w:tab w:val="num" w:leader="none" w:pos="6480"/>
        </w:tabs>
        <w:spacing/>
        <w:ind w:hanging="360" w:left="6480"/>
      </w:pPr>
      <w:rPr>
        <w:rFonts w:ascii="Wingdings" w:hAnsi="Wingdings"/>
        <w:sz w:val="20"/>
      </w:rPr>
      <w:start w:val="1"/>
      <w:suff w:val="tab"/>
    </w:lvl>
  </w:abstractNum>
  <w:abstractNum w:abstractNumId="5">
    <w:nsid w:val="10F1166D"/>
    <w:lvl w:ilvl="0">
      <w:isLgl w:val="false"/>
      <w:lvlJc w:val="left"/>
      <w:lvlText w:val="%1."/>
      <w:numFmt w:val="upperRoman"/>
      <w:pPr>
        <w:pBdr/>
        <w:spacing/>
        <w:ind w:hanging="720" w:left="1463"/>
      </w:pPr>
      <w:rPr>
        <w:b/>
        <w:color w:val="000000"/>
      </w:rPr>
      <w:start w:val="1"/>
      <w:suff w:val="tab"/>
    </w:lvl>
    <w:lvl w:ilvl="1">
      <w:isLgl w:val="false"/>
      <w:lvlJc w:val="left"/>
      <w:lvlText w:val="%2."/>
      <w:numFmt w:val="lowerLetter"/>
      <w:pPr>
        <w:pBdr/>
        <w:spacing/>
        <w:ind w:hanging="360" w:left="1823"/>
      </w:pPr>
      <w:rPr/>
      <w:start w:val="1"/>
      <w:suff w:val="tab"/>
    </w:lvl>
    <w:lvl w:ilvl="2">
      <w:isLgl w:val="false"/>
      <w:lvlJc w:val="right"/>
      <w:lvlText w:val="%3."/>
      <w:numFmt w:val="lowerRoman"/>
      <w:pPr>
        <w:pBdr/>
        <w:spacing/>
        <w:ind w:hanging="180" w:left="2543"/>
      </w:pPr>
      <w:rPr/>
      <w:start w:val="1"/>
      <w:suff w:val="tab"/>
    </w:lvl>
    <w:lvl w:ilvl="3">
      <w:isLgl w:val="false"/>
      <w:lvlJc w:val="left"/>
      <w:lvlText w:val="%4."/>
      <w:numFmt w:val="decimal"/>
      <w:pPr>
        <w:pBdr/>
        <w:spacing/>
        <w:ind w:hanging="360" w:left="3263"/>
      </w:pPr>
      <w:rPr/>
      <w:start w:val="1"/>
      <w:suff w:val="tab"/>
    </w:lvl>
    <w:lvl w:ilvl="4">
      <w:isLgl w:val="false"/>
      <w:lvlJc w:val="left"/>
      <w:lvlText w:val="%5."/>
      <w:numFmt w:val="lowerLetter"/>
      <w:pPr>
        <w:pBdr/>
        <w:spacing/>
        <w:ind w:hanging="360" w:left="3983"/>
      </w:pPr>
      <w:rPr/>
      <w:start w:val="1"/>
      <w:suff w:val="tab"/>
    </w:lvl>
    <w:lvl w:ilvl="5">
      <w:isLgl w:val="false"/>
      <w:lvlJc w:val="right"/>
      <w:lvlText w:val="%6."/>
      <w:numFmt w:val="lowerRoman"/>
      <w:pPr>
        <w:pBdr/>
        <w:spacing/>
        <w:ind w:hanging="180" w:left="4703"/>
      </w:pPr>
      <w:rPr/>
      <w:start w:val="1"/>
      <w:suff w:val="tab"/>
    </w:lvl>
    <w:lvl w:ilvl="6">
      <w:isLgl w:val="false"/>
      <w:lvlJc w:val="left"/>
      <w:lvlText w:val="%7."/>
      <w:numFmt w:val="decimal"/>
      <w:pPr>
        <w:pBdr/>
        <w:spacing/>
        <w:ind w:hanging="360" w:left="5423"/>
      </w:pPr>
      <w:rPr/>
      <w:start w:val="1"/>
      <w:suff w:val="tab"/>
    </w:lvl>
    <w:lvl w:ilvl="7">
      <w:isLgl w:val="false"/>
      <w:lvlJc w:val="left"/>
      <w:lvlText w:val="%8."/>
      <w:numFmt w:val="lowerLetter"/>
      <w:pPr>
        <w:pBdr/>
        <w:spacing/>
        <w:ind w:hanging="360" w:left="6143"/>
      </w:pPr>
      <w:rPr/>
      <w:start w:val="1"/>
      <w:suff w:val="tab"/>
    </w:lvl>
    <w:lvl w:ilvl="8">
      <w:isLgl w:val="false"/>
      <w:lvlJc w:val="right"/>
      <w:lvlText w:val="%9."/>
      <w:numFmt w:val="lowerRoman"/>
      <w:pPr>
        <w:pBdr/>
        <w:spacing/>
        <w:ind w:hanging="180" w:left="6863"/>
      </w:pPr>
      <w:rPr/>
      <w:start w:val="1"/>
      <w:suff w:val="tab"/>
    </w:lvl>
  </w:abstractNum>
  <w:abstractNum w:abstractNumId="6">
    <w:nsid w:val="12EF1B90"/>
    <w:lvl w:ilvl="0">
      <w:isLgl w:val="false"/>
      <w:lvlJc w:val="left"/>
      <w:lvlText w:val="%1."/>
      <w:numFmt w:val="decimal"/>
      <w:pPr>
        <w:pBdr/>
        <w:spacing/>
        <w:ind w:hanging="360" w:left="862"/>
      </w:pPr>
      <w:rPr>
        <w:b/>
        <w:i/>
        <w:sz w:val="24"/>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7">
    <w:nsid w:val="14066F8C"/>
    <w:lvl w:ilvl="0">
      <w:isLgl w:val="false"/>
      <w:lvlJc w:val="left"/>
      <w:lvlText w:val="•"/>
      <w:numFmt w:val="bullet"/>
      <w:pPr>
        <w:pBdr/>
        <w:spacing/>
        <w:ind w:hanging="705" w:left="1065"/>
      </w:pPr>
      <w:rPr>
        <w:rFonts w:ascii="Times New Roman" w:hAnsi="Times New Roman" w:eastAsia="Calibri" w:cs="Times New Roman"/>
      </w:rPr>
      <w:start w:val="0"/>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8">
    <w:nsid w:val="15C5541B"/>
    <w:lvl w:ilvl="0">
      <w:isLgl w:val="false"/>
      <w:lvlJc w:val="left"/>
      <w:lvlText w:val="%1."/>
      <w:numFmt w:val="decimal"/>
      <w:pPr>
        <w:pBdr/>
        <w:spacing/>
        <w:ind w:hanging="360" w:left="786"/>
      </w:pPr>
      <w:rPr>
        <w:lang w:val="ru-RU"/>
      </w:rPr>
      <w:start w:val="1"/>
      <w:suff w:val="tab"/>
    </w:lvl>
    <w:lvl w:ilvl="1">
      <w:isLgl w:val="false"/>
      <w:lvlJc w:val="left"/>
      <w:lvlText w:val="%2."/>
      <w:numFmt w:val="lowerLetter"/>
      <w:pPr>
        <w:pBdr/>
        <w:spacing/>
        <w:ind w:hanging="360" w:left="1506"/>
      </w:pPr>
      <w:rPr/>
      <w:start w:val="1"/>
      <w:suff w:val="tab"/>
    </w:lvl>
    <w:lvl w:ilvl="2">
      <w:isLgl w:val="false"/>
      <w:lvlJc w:val="right"/>
      <w:lvlText w:val="%3."/>
      <w:numFmt w:val="lowerRoman"/>
      <w:pPr>
        <w:pBdr/>
        <w:spacing/>
        <w:ind w:hanging="180" w:left="2226"/>
      </w:pPr>
      <w:rPr/>
      <w:start w:val="1"/>
      <w:suff w:val="tab"/>
    </w:lvl>
    <w:lvl w:ilvl="3">
      <w:isLgl w:val="false"/>
      <w:lvlJc w:val="left"/>
      <w:lvlText w:val="%4."/>
      <w:numFmt w:val="decimal"/>
      <w:pPr>
        <w:pBdr/>
        <w:spacing/>
        <w:ind w:hanging="360" w:left="2946"/>
      </w:pPr>
      <w:rPr/>
      <w:start w:val="1"/>
      <w:suff w:val="tab"/>
    </w:lvl>
    <w:lvl w:ilvl="4">
      <w:isLgl w:val="false"/>
      <w:lvlJc w:val="left"/>
      <w:lvlText w:val="%5."/>
      <w:numFmt w:val="lowerLetter"/>
      <w:pPr>
        <w:pBdr/>
        <w:spacing/>
        <w:ind w:hanging="360" w:left="3666"/>
      </w:pPr>
      <w:rPr/>
      <w:start w:val="1"/>
      <w:suff w:val="tab"/>
    </w:lvl>
    <w:lvl w:ilvl="5">
      <w:isLgl w:val="false"/>
      <w:lvlJc w:val="right"/>
      <w:lvlText w:val="%6."/>
      <w:numFmt w:val="lowerRoman"/>
      <w:pPr>
        <w:pBdr/>
        <w:spacing/>
        <w:ind w:hanging="180" w:left="4386"/>
      </w:pPr>
      <w:rPr/>
      <w:start w:val="1"/>
      <w:suff w:val="tab"/>
    </w:lvl>
    <w:lvl w:ilvl="6">
      <w:isLgl w:val="false"/>
      <w:lvlJc w:val="left"/>
      <w:lvlText w:val="%7."/>
      <w:numFmt w:val="decimal"/>
      <w:pPr>
        <w:pBdr/>
        <w:spacing/>
        <w:ind w:hanging="360" w:left="5106"/>
      </w:pPr>
      <w:rPr/>
      <w:start w:val="1"/>
      <w:suff w:val="tab"/>
    </w:lvl>
    <w:lvl w:ilvl="7">
      <w:isLgl w:val="false"/>
      <w:lvlJc w:val="left"/>
      <w:lvlText w:val="%8."/>
      <w:numFmt w:val="lowerLetter"/>
      <w:pPr>
        <w:pBdr/>
        <w:spacing/>
        <w:ind w:hanging="360" w:left="5826"/>
      </w:pPr>
      <w:rPr/>
      <w:start w:val="1"/>
      <w:suff w:val="tab"/>
    </w:lvl>
    <w:lvl w:ilvl="8">
      <w:isLgl w:val="false"/>
      <w:lvlJc w:val="right"/>
      <w:lvlText w:val="%9."/>
      <w:numFmt w:val="lowerRoman"/>
      <w:pPr>
        <w:pBdr/>
        <w:spacing/>
        <w:ind w:hanging="180" w:left="6546"/>
      </w:pPr>
      <w:rPr/>
      <w:start w:val="1"/>
      <w:suff w:val="tab"/>
    </w:lvl>
  </w:abstractNum>
  <w:abstractNum w:abstractNumId="9">
    <w:nsid w:val="19F90C14"/>
    <w:lvl w:ilvl="0">
      <w:isLgl w:val="false"/>
      <w:lvlJc w:val="left"/>
      <w:lvlText w:val="%1."/>
      <w:numFmt w:val="decimal"/>
      <w:pPr>
        <w:pBdr/>
        <w:spacing/>
        <w:ind w:firstLine="0" w:left="765"/>
      </w:pPr>
      <w:rPr>
        <w:rFonts w:ascii="Times New Roman" w:hAnsi="Times New Roman" w:cs="Times New Roman"/>
        <w:b/>
      </w:rPr>
      <w:start w:val="1"/>
      <w:suff w:val="nothing"/>
    </w:lvl>
    <w:lvl w:ilvl="1">
      <w:isLgl w:val="false"/>
      <w:lvlJc w:val="left"/>
      <w:lvlText w:val="%2."/>
      <w:numFmt w:val="lowerLetter"/>
      <w:pPr>
        <w:pBdr/>
        <w:spacing/>
        <w:ind w:hanging="360" w:left="2148"/>
      </w:pPr>
      <w:rPr/>
      <w:start w:val="1"/>
      <w:suff w:val="tab"/>
    </w:lvl>
    <w:lvl w:ilvl="2">
      <w:isLgl w:val="false"/>
      <w:lvlJc w:val="right"/>
      <w:lvlText w:val="%3."/>
      <w:numFmt w:val="lowerRoman"/>
      <w:pPr>
        <w:pBdr/>
        <w:spacing/>
        <w:ind w:hanging="180" w:left="2868"/>
      </w:pPr>
      <w:rPr/>
      <w:start w:val="1"/>
      <w:suff w:val="tab"/>
    </w:lvl>
    <w:lvl w:ilvl="3">
      <w:isLgl w:val="false"/>
      <w:lvlJc w:val="left"/>
      <w:lvlText w:val="%4."/>
      <w:numFmt w:val="decimal"/>
      <w:pPr>
        <w:pBdr/>
        <w:spacing/>
        <w:ind w:hanging="360" w:left="3588"/>
      </w:pPr>
      <w:rPr/>
      <w:start w:val="1"/>
      <w:suff w:val="tab"/>
    </w:lvl>
    <w:lvl w:ilvl="4">
      <w:isLgl w:val="false"/>
      <w:lvlJc w:val="left"/>
      <w:lvlText w:val="%5."/>
      <w:numFmt w:val="lowerLetter"/>
      <w:pPr>
        <w:pBdr/>
        <w:spacing/>
        <w:ind w:hanging="360" w:left="4308"/>
      </w:pPr>
      <w:rPr/>
      <w:start w:val="1"/>
      <w:suff w:val="tab"/>
    </w:lvl>
    <w:lvl w:ilvl="5">
      <w:isLgl w:val="false"/>
      <w:lvlJc w:val="right"/>
      <w:lvlText w:val="%6."/>
      <w:numFmt w:val="lowerRoman"/>
      <w:pPr>
        <w:pBdr/>
        <w:spacing/>
        <w:ind w:hanging="180" w:left="5028"/>
      </w:pPr>
      <w:rPr/>
      <w:start w:val="1"/>
      <w:suff w:val="tab"/>
    </w:lvl>
    <w:lvl w:ilvl="6">
      <w:isLgl w:val="false"/>
      <w:lvlJc w:val="left"/>
      <w:lvlText w:val="%7."/>
      <w:numFmt w:val="decimal"/>
      <w:pPr>
        <w:pBdr/>
        <w:spacing/>
        <w:ind w:hanging="360" w:left="5748"/>
      </w:pPr>
      <w:rPr/>
      <w:start w:val="1"/>
      <w:suff w:val="tab"/>
    </w:lvl>
    <w:lvl w:ilvl="7">
      <w:isLgl w:val="false"/>
      <w:lvlJc w:val="left"/>
      <w:lvlText w:val="%8."/>
      <w:numFmt w:val="lowerLetter"/>
      <w:pPr>
        <w:pBdr/>
        <w:spacing/>
        <w:ind w:hanging="360" w:left="6468"/>
      </w:pPr>
      <w:rPr/>
      <w:start w:val="1"/>
      <w:suff w:val="tab"/>
    </w:lvl>
    <w:lvl w:ilvl="8">
      <w:isLgl w:val="false"/>
      <w:lvlJc w:val="right"/>
      <w:lvlText w:val="%9."/>
      <w:numFmt w:val="lowerRoman"/>
      <w:pPr>
        <w:pBdr/>
        <w:spacing/>
        <w:ind w:hanging="180" w:left="7188"/>
      </w:pPr>
      <w:rPr/>
      <w:start w:val="1"/>
      <w:suff w:val="tab"/>
    </w:lvl>
  </w:abstractNum>
  <w:abstractNum w:abstractNumId="10">
    <w:nsid w:val="1AA3099D"/>
    <w:lvl w:ilvl="0">
      <w:isLgl w:val="false"/>
      <w:lvlJc w:val="left"/>
      <w:lvlText w:val=""/>
      <w:numFmt w:val="bullet"/>
      <w:pPr>
        <w:pBdr/>
        <w:spacing/>
        <w:ind w:hanging="360" w:left="1440"/>
      </w:pPr>
      <w:rPr>
        <w:rFonts w:ascii="Symbol" w:hAnsi="Symbol"/>
      </w:rPr>
      <w:start w:val="1"/>
      <w:suff w:val="tab"/>
    </w:lvl>
    <w:lvl w:ilvl="1">
      <w:isLgl w:val="false"/>
      <w:lvlJc w:val="left"/>
      <w:lvlText w:val="o"/>
      <w:numFmt w:val="bullet"/>
      <w:pPr>
        <w:pBdr/>
        <w:spacing/>
        <w:ind w:hanging="360" w:left="2160"/>
      </w:pPr>
      <w:rPr>
        <w:rFonts w:ascii="Courier New" w:hAnsi="Courier New" w:cs="Courier New"/>
      </w:rPr>
      <w:start w:val="1"/>
      <w:suff w:val="tab"/>
    </w:lvl>
    <w:lvl w:ilvl="2">
      <w:isLgl w:val="false"/>
      <w:lvlJc w:val="left"/>
      <w:lvlText w:val=""/>
      <w:numFmt w:val="bullet"/>
      <w:pPr>
        <w:pBdr/>
        <w:spacing/>
        <w:ind w:hanging="360" w:left="2880"/>
      </w:pPr>
      <w:rPr>
        <w:rFonts w:ascii="Wingdings" w:hAnsi="Wingdings"/>
      </w:rPr>
      <w:start w:val="1"/>
      <w:suff w:val="tab"/>
    </w:lvl>
    <w:lvl w:ilvl="3">
      <w:isLgl w:val="false"/>
      <w:lvlJc w:val="left"/>
      <w:lvlText w:val=""/>
      <w:numFmt w:val="bullet"/>
      <w:pPr>
        <w:pBdr/>
        <w:spacing/>
        <w:ind w:hanging="360" w:left="3600"/>
      </w:pPr>
      <w:rPr>
        <w:rFonts w:ascii="Symbol" w:hAnsi="Symbol"/>
      </w:rPr>
      <w:start w:val="1"/>
      <w:suff w:val="tab"/>
    </w:lvl>
    <w:lvl w:ilvl="4">
      <w:isLgl w:val="false"/>
      <w:lvlJc w:val="left"/>
      <w:lvlText w:val="o"/>
      <w:numFmt w:val="bullet"/>
      <w:pPr>
        <w:pBdr/>
        <w:spacing/>
        <w:ind w:hanging="360" w:left="4320"/>
      </w:pPr>
      <w:rPr>
        <w:rFonts w:ascii="Courier New" w:hAnsi="Courier New" w:cs="Courier New"/>
      </w:rPr>
      <w:start w:val="1"/>
      <w:suff w:val="tab"/>
    </w:lvl>
    <w:lvl w:ilvl="5">
      <w:isLgl w:val="false"/>
      <w:lvlJc w:val="left"/>
      <w:lvlText w:val=""/>
      <w:numFmt w:val="bullet"/>
      <w:pPr>
        <w:pBdr/>
        <w:spacing/>
        <w:ind w:hanging="360" w:left="5040"/>
      </w:pPr>
      <w:rPr>
        <w:rFonts w:ascii="Wingdings" w:hAnsi="Wingdings"/>
      </w:rPr>
      <w:start w:val="1"/>
      <w:suff w:val="tab"/>
    </w:lvl>
    <w:lvl w:ilvl="6">
      <w:isLgl w:val="false"/>
      <w:lvlJc w:val="left"/>
      <w:lvlText w:val=""/>
      <w:numFmt w:val="bullet"/>
      <w:pPr>
        <w:pBdr/>
        <w:spacing/>
        <w:ind w:hanging="360" w:left="5760"/>
      </w:pPr>
      <w:rPr>
        <w:rFonts w:ascii="Symbol" w:hAnsi="Symbol"/>
      </w:rPr>
      <w:start w:val="1"/>
      <w:suff w:val="tab"/>
    </w:lvl>
    <w:lvl w:ilvl="7">
      <w:isLgl w:val="false"/>
      <w:lvlJc w:val="left"/>
      <w:lvlText w:val="o"/>
      <w:numFmt w:val="bullet"/>
      <w:pPr>
        <w:pBdr/>
        <w:spacing/>
        <w:ind w:hanging="360" w:left="6480"/>
      </w:pPr>
      <w:rPr>
        <w:rFonts w:ascii="Courier New" w:hAnsi="Courier New" w:cs="Courier New"/>
      </w:rPr>
      <w:start w:val="1"/>
      <w:suff w:val="tab"/>
    </w:lvl>
    <w:lvl w:ilvl="8">
      <w:isLgl w:val="false"/>
      <w:lvlJc w:val="left"/>
      <w:lvlText w:val=""/>
      <w:numFmt w:val="bullet"/>
      <w:pPr>
        <w:pBdr/>
        <w:spacing/>
        <w:ind w:hanging="360" w:left="7200"/>
      </w:pPr>
      <w:rPr>
        <w:rFonts w:ascii="Wingdings" w:hAnsi="Wingdings"/>
      </w:rPr>
      <w:start w:val="1"/>
      <w:suff w:val="tab"/>
    </w:lvl>
  </w:abstractNum>
  <w:abstractNum w:abstractNumId="11">
    <w:nsid w:val="1B4C771A"/>
    <w:lvl w:ilvl="0">
      <w:isLgl w:val="false"/>
      <w:lvlJc w:val="left"/>
      <w:lvlText w:val=""/>
      <w:numFmt w:val="bullet"/>
      <w:pPr>
        <w:pBdr/>
        <w:tabs>
          <w:tab w:val="num" w:leader="none" w:pos="720"/>
        </w:tabs>
        <w:spacing/>
        <w:ind w:hanging="360" w:left="720"/>
      </w:pPr>
      <w:rPr>
        <w:rFonts w:ascii="Symbol" w:hAnsi="Symbol"/>
        <w:sz w:val="20"/>
      </w:rPr>
      <w:start w:val="1"/>
      <w:suff w:val="tab"/>
    </w:lvl>
    <w:lvl w:ilvl="1">
      <w:isLgl w:val="false"/>
      <w:lvlJc w:val="left"/>
      <w:lvlText w:val="o"/>
      <w:numFmt w:val="bullet"/>
      <w:pPr>
        <w:pBdr/>
        <w:tabs>
          <w:tab w:val="num" w:leader="none" w:pos="1440"/>
        </w:tabs>
        <w:spacing/>
        <w:ind w:hanging="360" w:left="1440"/>
      </w:pPr>
      <w:rPr>
        <w:rFonts w:ascii="Courier New" w:hAnsi="Courier New"/>
        <w:sz w:val="20"/>
      </w:rPr>
      <w:start w:val="1"/>
      <w:suff w:val="tab"/>
    </w:lvl>
    <w:lvl w:ilvl="2">
      <w:isLgl w:val="false"/>
      <w:lvlJc w:val="left"/>
      <w:lvlText w:val=""/>
      <w:numFmt w:val="bullet"/>
      <w:pPr>
        <w:pBdr/>
        <w:tabs>
          <w:tab w:val="num" w:leader="none" w:pos="2160"/>
        </w:tabs>
        <w:spacing/>
        <w:ind w:hanging="360" w:left="2160"/>
      </w:pPr>
      <w:rPr>
        <w:rFonts w:ascii="Wingdings" w:hAnsi="Wingdings"/>
        <w:sz w:val="20"/>
      </w:rPr>
      <w:start w:val="1"/>
      <w:suff w:val="tab"/>
    </w:lvl>
    <w:lvl w:ilvl="3">
      <w:isLgl w:val="false"/>
      <w:lvlJc w:val="left"/>
      <w:lvlText w:val=""/>
      <w:numFmt w:val="bullet"/>
      <w:pPr>
        <w:pBdr/>
        <w:tabs>
          <w:tab w:val="num" w:leader="none" w:pos="2880"/>
        </w:tabs>
        <w:spacing/>
        <w:ind w:hanging="360" w:left="2880"/>
      </w:pPr>
      <w:rPr>
        <w:rFonts w:ascii="Wingdings" w:hAnsi="Wingdings"/>
        <w:sz w:val="20"/>
      </w:rPr>
      <w:start w:val="1"/>
      <w:suff w:val="tab"/>
    </w:lvl>
    <w:lvl w:ilvl="4">
      <w:isLgl w:val="false"/>
      <w:lvlJc w:val="left"/>
      <w:lvlText w:val=""/>
      <w:numFmt w:val="bullet"/>
      <w:pPr>
        <w:pBdr/>
        <w:tabs>
          <w:tab w:val="num" w:leader="none" w:pos="3600"/>
        </w:tabs>
        <w:spacing/>
        <w:ind w:hanging="360" w:left="3600"/>
      </w:pPr>
      <w:rPr>
        <w:rFonts w:ascii="Wingdings" w:hAnsi="Wingdings"/>
        <w:sz w:val="20"/>
      </w:rPr>
      <w:start w:val="1"/>
      <w:suff w:val="tab"/>
    </w:lvl>
    <w:lvl w:ilvl="5">
      <w:isLgl w:val="false"/>
      <w:lvlJc w:val="left"/>
      <w:lvlText w:val=""/>
      <w:numFmt w:val="bullet"/>
      <w:pPr>
        <w:pBdr/>
        <w:tabs>
          <w:tab w:val="num" w:leader="none" w:pos="4320"/>
        </w:tabs>
        <w:spacing/>
        <w:ind w:hanging="360" w:left="4320"/>
      </w:pPr>
      <w:rPr>
        <w:rFonts w:ascii="Wingdings" w:hAnsi="Wingdings"/>
        <w:sz w:val="20"/>
      </w:rPr>
      <w:start w:val="1"/>
      <w:suff w:val="tab"/>
    </w:lvl>
    <w:lvl w:ilvl="6">
      <w:isLgl w:val="false"/>
      <w:lvlJc w:val="left"/>
      <w:lvlText w:val=""/>
      <w:numFmt w:val="bullet"/>
      <w:pPr>
        <w:pBdr/>
        <w:tabs>
          <w:tab w:val="num" w:leader="none" w:pos="5040"/>
        </w:tabs>
        <w:spacing/>
        <w:ind w:hanging="360" w:left="5040"/>
      </w:pPr>
      <w:rPr>
        <w:rFonts w:ascii="Wingdings" w:hAnsi="Wingdings"/>
        <w:sz w:val="20"/>
      </w:rPr>
      <w:start w:val="1"/>
      <w:suff w:val="tab"/>
    </w:lvl>
    <w:lvl w:ilvl="7">
      <w:isLgl w:val="false"/>
      <w:lvlJc w:val="left"/>
      <w:lvlText w:val=""/>
      <w:numFmt w:val="bullet"/>
      <w:pPr>
        <w:pBdr/>
        <w:tabs>
          <w:tab w:val="num" w:leader="none" w:pos="5760"/>
        </w:tabs>
        <w:spacing/>
        <w:ind w:hanging="360" w:left="5760"/>
      </w:pPr>
      <w:rPr>
        <w:rFonts w:ascii="Wingdings" w:hAnsi="Wingdings"/>
        <w:sz w:val="20"/>
      </w:rPr>
      <w:start w:val="1"/>
      <w:suff w:val="tab"/>
    </w:lvl>
    <w:lvl w:ilvl="8">
      <w:isLgl w:val="false"/>
      <w:lvlJc w:val="left"/>
      <w:lvlText w:val=""/>
      <w:numFmt w:val="bullet"/>
      <w:pPr>
        <w:pBdr/>
        <w:tabs>
          <w:tab w:val="num" w:leader="none" w:pos="6480"/>
        </w:tabs>
        <w:spacing/>
        <w:ind w:hanging="360" w:left="6480"/>
      </w:pPr>
      <w:rPr>
        <w:rFonts w:ascii="Wingdings" w:hAnsi="Wingdings"/>
        <w:sz w:val="20"/>
      </w:rPr>
      <w:start w:val="1"/>
      <w:suff w:val="tab"/>
    </w:lvl>
  </w:abstractNum>
  <w:abstractNum w:abstractNumId="12">
    <w:nsid w:val="1E571AD9"/>
    <w:lvl w:ilvl="0">
      <w:isLgl w:val="false"/>
      <w:lvlJc w:val="center"/>
      <w:lvlText w:val="%1."/>
      <w:numFmt w:val="decimal"/>
      <w:pPr>
        <w:pBdr/>
        <w:tabs>
          <w:tab w:val="num" w:leader="none" w:pos="0"/>
        </w:tabs>
        <w:spacing/>
        <w:ind w:firstLine="0" w:left="0"/>
      </w:pPr>
      <w:pStyle w:val="1072"/>
      <w:rPr>
        <w:b/>
        <w:i w:val="0"/>
      </w:rPr>
      <w:start w:val="1"/>
      <w:suff w:val="tab"/>
    </w:lvl>
    <w:lvl w:ilvl="1">
      <w:isLgl w:val="false"/>
      <w:lvlJc w:val="left"/>
      <w:lvlText w:val="%1.%2"/>
      <w:numFmt w:val="decimal"/>
      <w:pPr>
        <w:pBdr/>
        <w:tabs>
          <w:tab w:val="num" w:leader="none" w:pos="851"/>
        </w:tabs>
        <w:spacing/>
        <w:ind w:hanging="851" w:left="851"/>
      </w:pPr>
      <w:pStyle w:val="1073"/>
      <w:rPr>
        <w:rFonts w:cs="Times New Roman"/>
        <w:b w:val="0"/>
        <w:bCs w:val="0"/>
        <w:i w:val="0"/>
        <w:iCs w:val="0"/>
        <w:caps w:val="0"/>
        <w:strike w:val="0"/>
        <w:vanish w:val="0"/>
        <w:color w:val="000000"/>
        <w:spacing w:val="0"/>
        <w:position w:val="0"/>
        <w:sz w:val="24"/>
        <w:szCs w:val="24"/>
        <w:u w:val="none"/>
        <w:vertAlign w:val="baseline"/>
      </w:rPr>
      <w:start w:val="1"/>
      <w:suff w:val="tab"/>
    </w:lvl>
    <w:lvl w:ilvl="2">
      <w:isLgl w:val="false"/>
      <w:lvlJc w:val="left"/>
      <w:lvlText w:val="%1.%2.%3"/>
      <w:numFmt w:val="decimal"/>
      <w:pPr>
        <w:pBdr/>
        <w:tabs>
          <w:tab w:val="num" w:leader="none" w:pos="851"/>
        </w:tabs>
        <w:spacing/>
        <w:ind w:hanging="851" w:left="851"/>
      </w:pPr>
      <w:pStyle w:val="1074"/>
      <w:rPr>
        <w:b w:val="0"/>
        <w:bCs w:val="0"/>
        <w:i w:val="0"/>
        <w:iCs w:val="0"/>
      </w:rPr>
      <w:start w:val="1"/>
      <w:suff w:val="tab"/>
    </w:lvl>
    <w:lvl w:ilvl="3">
      <w:isLgl w:val="false"/>
      <w:lvlJc w:val="left"/>
      <w:lvlText w:val="%4)"/>
      <w:numFmt w:val="lowerLetter"/>
      <w:pPr>
        <w:pBdr/>
        <w:tabs>
          <w:tab w:val="num" w:leader="none" w:pos="1418"/>
        </w:tabs>
        <w:spacing/>
        <w:ind w:hanging="567" w:left="1418"/>
      </w:pPr>
      <w:pStyle w:val="1075"/>
      <w:rPr>
        <w:rFonts w:cs="Times New Roman"/>
        <w:b w:val="0"/>
        <w:bCs w:val="0"/>
        <w:i w:val="0"/>
        <w:iCs w:val="0"/>
        <w:caps w:val="0"/>
        <w:strike w:val="0"/>
        <w:vanish w:val="0"/>
        <w:color w:val="000000"/>
        <w:spacing w:val="0"/>
        <w:position w:val="0"/>
        <w:u w:val="none"/>
        <w:vertAlign w:val="baseline"/>
      </w:rPr>
      <w:start w:val="1"/>
      <w:suff w:val="tab"/>
    </w:lvl>
    <w:lvl w:ilvl="4">
      <w:isLgl w:val="false"/>
      <w:lvlJc w:val="left"/>
      <w:lvlText w:val="%5)"/>
      <w:numFmt w:val="lowerLetter"/>
      <w:pPr>
        <w:pBdr/>
        <w:tabs>
          <w:tab w:val="num" w:leader="none" w:pos="1134"/>
        </w:tabs>
        <w:spacing/>
        <w:ind w:hanging="567" w:left="1134"/>
      </w:pPr>
      <w:rPr/>
      <w:start w:val="1"/>
      <w:suff w:val="tab"/>
    </w:lvl>
    <w:lvl w:ilvl="5">
      <w:isLgl w:val="false"/>
      <w:lvlJc w:val="left"/>
      <w:lvlText w:val=""/>
      <w:numFmt w:val="bullet"/>
      <w:pPr>
        <w:pBdr/>
        <w:tabs>
          <w:tab w:val="num" w:leader="none" w:pos="1701"/>
        </w:tabs>
        <w:spacing/>
        <w:ind w:hanging="567" w:left="1701"/>
      </w:pPr>
      <w:rPr>
        <w:rFonts w:ascii="Symbol" w:hAnsi="Symbol"/>
      </w:rPr>
      <w:start w:val="1"/>
      <w:suff w:val="tab"/>
    </w:lvl>
    <w:lvl w:ilvl="6">
      <w:isLgl w:val="false"/>
      <w:lvlJc w:val="left"/>
      <w:lvlText w:val="%5%6%7)"/>
      <w:numFmt w:val="lowerLetter"/>
      <w:pPr>
        <w:pBdr/>
        <w:tabs>
          <w:tab w:val="num" w:leader="none" w:pos="2268"/>
        </w:tabs>
        <w:spacing/>
        <w:ind w:hanging="567" w:left="2268"/>
      </w:pPr>
      <w:rPr/>
      <w:start w:val="1"/>
      <w:suff w:val="tab"/>
    </w:lvl>
    <w:lvl w:ilvl="7">
      <w:isLgl w:val="false"/>
      <w:lvlJc w:val="left"/>
      <w:lvlText w:val="%1.%2.%3.%4.%5.%6.%7.%8."/>
      <w:numFmt w:val="decimal"/>
      <w:pPr>
        <w:pBdr/>
        <w:tabs>
          <w:tab w:val="num" w:leader="none" w:pos="3978"/>
        </w:tabs>
        <w:spacing/>
        <w:ind w:hanging="1224" w:left="2322"/>
      </w:pPr>
      <w:rPr/>
      <w:start w:val="1"/>
      <w:suff w:val="tab"/>
    </w:lvl>
    <w:lvl w:ilvl="8">
      <w:isLgl w:val="false"/>
      <w:lvlJc w:val="left"/>
      <w:lvlText w:val="%1.%2.%3.%4.%5.%6.%7.%8.%9."/>
      <w:numFmt w:val="decimal"/>
      <w:pPr>
        <w:pBdr/>
        <w:tabs>
          <w:tab w:val="num" w:leader="none" w:pos="4698"/>
        </w:tabs>
        <w:spacing/>
        <w:ind w:hanging="1440" w:left="2898"/>
      </w:pPr>
      <w:rPr/>
      <w:start w:val="1"/>
      <w:suff w:val="tab"/>
    </w:lvl>
  </w:abstractNum>
  <w:abstractNum w:abstractNumId="13">
    <w:nsid w:val="1E6A75C8"/>
    <w:lvl w:ilvl="0">
      <w:isLgl w:val="false"/>
      <w:lvlJc w:val="left"/>
      <w:lvlText w:val="%1."/>
      <w:numFmt w:val="decimal"/>
      <w:pPr>
        <w:pBdr/>
        <w:spacing/>
        <w:ind w:hanging="360" w:left="862"/>
      </w:pPr>
      <w:rPr>
        <w:b/>
        <w:i/>
        <w:sz w:val="24"/>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14">
    <w:nsid w:val="227C22E2"/>
    <w:lvl w:ilvl="0">
      <w:isLgl w:val="false"/>
      <w:legacy w:legacy="true" w:legacyIndent="0" w:legacySpace="0"/>
      <w:lvlJc w:val="left"/>
      <w:lvlText w:val="5.%1."/>
      <w:numFmt w:val="decimal"/>
      <w:pPr>
        <w:pBdr/>
        <w:spacing/>
        <w:ind/>
      </w:pPr>
      <w:rPr>
        <w:rFonts w:ascii="Times New Roman" w:hAnsi="Times New Roman" w:cs="Times New Roman"/>
      </w:rPr>
      <w:start w:val="8"/>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5">
    <w:nsid w:val="257C444B"/>
    <w:lvl w:ilvl="0">
      <w:isLgl w:val="false"/>
      <w:lvlJc w:val="left"/>
      <w:lvlText w:val="•"/>
      <w:numFmt w:val="bullet"/>
      <w:pPr>
        <w:pBdr/>
        <w:spacing/>
        <w:ind w:hanging="705" w:left="1065"/>
      </w:pPr>
      <w:rPr>
        <w:rFonts w:ascii="Times New Roman" w:hAnsi="Times New Roman" w:eastAsia="Calibri" w:cs="Times New Roman"/>
      </w:rPr>
      <w:start w:val="0"/>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16">
    <w:nsid w:val="26FA0A40"/>
    <w:lvl w:ilvl="0">
      <w:isLgl w:val="false"/>
      <w:lvlJc w:val="left"/>
      <w:lvlText w:val="%1."/>
      <w:numFmt w:val="decimal"/>
      <w:pPr>
        <w:pBdr/>
        <w:spacing/>
        <w:ind w:hanging="360" w:left="360"/>
      </w:pPr>
      <w:rPr>
        <w:rFonts w:ascii="Times New Roman" w:hAnsi="Times New Roman" w:cs="Times New Roman"/>
        <w:b/>
        <w:sz w:val="20"/>
        <w:szCs w:val="24"/>
      </w:rPr>
      <w:start w:val="1"/>
      <w:suff w:val="tab"/>
    </w:lvl>
    <w:lvl w:ilvl="1">
      <w:isLgl w:val="false"/>
      <w:lvlJc w:val="left"/>
      <w:lvlText w:val="%1.%2."/>
      <w:numFmt w:val="decimal"/>
      <w:pPr>
        <w:pBdr/>
        <w:spacing/>
        <w:ind w:hanging="432" w:left="716"/>
      </w:pPr>
      <w:rPr>
        <w:rFonts w:ascii="Times New Roman" w:hAnsi="Times New Roman" w:cs="Times New Roman"/>
        <w:b w:val="0"/>
        <w:sz w:val="20"/>
        <w:szCs w:val="24"/>
      </w:rPr>
      <w:start w:val="1"/>
      <w:suff w:val="tab"/>
    </w:lvl>
    <w:lvl w:ilvl="2">
      <w:isLgl w:val="false"/>
      <w:lvlJc w:val="left"/>
      <w:lvlText w:val="%1.%2.%3."/>
      <w:numFmt w:val="decimal"/>
      <w:pPr>
        <w:pBdr/>
        <w:spacing/>
        <w:ind w:hanging="504" w:left="646"/>
      </w:pPr>
      <w:rPr>
        <w:rFonts w:ascii="Times New Roman" w:hAnsi="Times New Roman" w:cs="Times New Roman"/>
        <w:sz w:val="20"/>
        <w:szCs w:val="24"/>
      </w:rPr>
      <w:start w:val="1"/>
      <w:suff w:val="tab"/>
    </w:lvl>
    <w:lvl w:ilvl="3">
      <w:isLgl w:val="false"/>
      <w:lvlJc w:val="left"/>
      <w:lvlText w:val="%1.%2.%3.%4."/>
      <w:numFmt w:val="decimal"/>
      <w:pPr>
        <w:pBdr/>
        <w:spacing/>
        <w:ind w:hanging="648" w:left="1728"/>
      </w:pPr>
      <w:rPr>
        <w:rFonts w:ascii="Times New Roman" w:hAnsi="Times New Roman" w:cs="Times New Roman"/>
        <w:sz w:val="20"/>
        <w:szCs w:val="24"/>
      </w:rPr>
      <w:start w:val="1"/>
      <w:suff w:val="tab"/>
    </w:lvl>
    <w:lvl w:ilvl="4">
      <w:isLgl w:val="false"/>
      <w:lvlJc w:val="left"/>
      <w:lvlText w:val="%1.%2.%3.%4.%5."/>
      <w:numFmt w:val="decimal"/>
      <w:pPr>
        <w:pBdr/>
        <w:spacing/>
        <w:ind w:hanging="792" w:left="2232"/>
      </w:pPr>
      <w:rPr>
        <w:rFonts w:ascii="Times New Roman" w:hAnsi="Times New Roman" w:cs="Times New Roman"/>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17">
    <w:nsid w:val="27110276"/>
    <w:lvl w:ilvl="0">
      <w:isLgl w:val="false"/>
      <w:lvlJc w:val="left"/>
      <w:lvlText w:val="4.%1."/>
      <w:numFmt w:val="decimal"/>
      <w:pPr>
        <w:pBdr/>
        <w:spacing/>
        <w:ind/>
      </w:pPr>
      <w:rPr>
        <w:rFonts w:ascii="Times New Roman" w:hAnsi="Times New Roman" w:eastAsia="Bookman Old Style" w:cs="Times New Roman"/>
        <w:b w:val="0"/>
        <w:bCs w:val="0"/>
        <w:i w:val="0"/>
        <w:iCs w:val="0"/>
        <w:smallCaps w:val="0"/>
        <w:strike w:val="0"/>
        <w:color w:val="000000"/>
        <w:spacing w:val="1"/>
        <w:position w:val="0"/>
        <w:sz w:val="22"/>
        <w:szCs w:val="22"/>
        <w:u w:val="none"/>
        <w:lang w:val="ru-RU" w:eastAsia="ru-RU" w:bidi="ru-RU"/>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18">
    <w:nsid w:val="2E0649B2"/>
    <w:lvl w:ilvl="0">
      <w:isLgl w:val="false"/>
      <w:lvlJc w:val="left"/>
      <w:lvlText w:val="%1."/>
      <w:numFmt w:val="decimal"/>
      <w:pPr>
        <w:pBdr/>
        <w:spacing/>
        <w:ind/>
      </w:pPr>
      <w:rPr>
        <w:rFonts w:ascii="Times New Roman" w:hAnsi="Times New Roman" w:eastAsia="Bookman Old Style" w:cs="Times New Roman"/>
        <w:b/>
        <w:bCs/>
        <w:i w:val="0"/>
        <w:iCs w:val="0"/>
        <w:smallCaps w:val="0"/>
        <w:strike w:val="0"/>
        <w:color w:val="000000"/>
        <w:spacing w:val="1"/>
        <w:position w:val="0"/>
        <w:sz w:val="22"/>
        <w:szCs w:val="22"/>
        <w:u w:val="none"/>
        <w:lang w:val="ru-RU" w:eastAsia="ru-RU" w:bidi="ru-RU"/>
      </w:rPr>
      <w:start w:val="5"/>
      <w:suff w:val="tab"/>
    </w:lvl>
    <w:lvl w:ilvl="1">
      <w:isLgl w:val="false"/>
      <w:lvlJc w:val="left"/>
      <w:lvlText w:val="%1.%2."/>
      <w:numFmt w:val="decimal"/>
      <w:pPr>
        <w:pBdr/>
        <w:spacing/>
        <w:ind/>
      </w:pPr>
      <w:rPr>
        <w:rFonts w:ascii="Times New Roman" w:hAnsi="Times New Roman" w:eastAsia="Bookman Old Style" w:cs="Times New Roman"/>
        <w:b w:val="0"/>
        <w:bCs w:val="0"/>
        <w:i w:val="0"/>
        <w:iCs w:val="0"/>
        <w:smallCaps w:val="0"/>
        <w:strike w:val="0"/>
        <w:color w:val="000000"/>
        <w:spacing w:val="1"/>
        <w:position w:val="0"/>
        <w:sz w:val="22"/>
        <w:szCs w:val="22"/>
        <w:u w:val="none"/>
        <w:lang w:val="ru-RU" w:eastAsia="ru-RU" w:bidi="ru-RU"/>
      </w:rPr>
      <w:start w:val="1"/>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19">
    <w:nsid w:val="2EA34CFA"/>
    <w:lvl w:ilvl="0">
      <w:isLgl w:val="false"/>
      <w:lvlJc w:val="left"/>
      <w:lvlText w:val="%1."/>
      <w:numFmt w:val="decimal"/>
      <w:pPr>
        <w:pBdr/>
        <w:spacing/>
        <w:ind w:hanging="360" w:left="862"/>
      </w:pPr>
      <w:rPr>
        <w:b/>
        <w:i/>
        <w:sz w:val="24"/>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20">
    <w:nsid w:val="303777D6"/>
    <w:lvl w:ilvl="0">
      <w:isLgl w:val="false"/>
      <w:lvlJc w:val="left"/>
      <w:lvlText w:val="•"/>
      <w:numFmt w:val="bullet"/>
      <w:pPr>
        <w:pBdr/>
        <w:spacing/>
        <w:ind w:hanging="705" w:left="1065"/>
      </w:pPr>
      <w:rPr>
        <w:rFonts w:ascii="Times New Roman" w:hAnsi="Times New Roman" w:eastAsia="Calibri" w:cs="Times New Roman"/>
      </w:rPr>
      <w:start w:val="0"/>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21">
    <w:nsid w:val="311A010A"/>
    <w:lvl w:ilvl="0">
      <w:isLgl w:val="false"/>
      <w:lvlJc w:val="left"/>
      <w:lvlText w:val="4.%1."/>
      <w:numFmt w:val="decimal"/>
      <w:pPr>
        <w:pBdr/>
        <w:spacing/>
        <w:ind/>
      </w:pPr>
      <w:rPr>
        <w:rFonts w:ascii="Times New Roman" w:hAnsi="Times New Roman" w:eastAsia="Bookman Old Style" w:cs="Times New Roman"/>
        <w:b w:val="0"/>
        <w:bCs w:val="0"/>
        <w:i w:val="0"/>
        <w:iCs w:val="0"/>
        <w:smallCaps w:val="0"/>
        <w:strike w:val="0"/>
        <w:color w:val="000000"/>
        <w:spacing w:val="1"/>
        <w:position w:val="0"/>
        <w:sz w:val="22"/>
        <w:szCs w:val="22"/>
        <w:u w:val="none"/>
        <w:lang w:val="ru-RU" w:eastAsia="ru-RU" w:bidi="ru-RU"/>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22">
    <w:nsid w:val="32D970F4"/>
    <w:lvl w:ilvl="0">
      <w:isLgl w:val="false"/>
      <w:lvlJc w:val="left"/>
      <w:lvlText w:val="%1."/>
      <w:numFmt w:val="decimal"/>
      <w:pPr>
        <w:pBdr/>
        <w:spacing/>
        <w:ind/>
      </w:pPr>
      <w:rPr>
        <w:rFonts w:ascii="Bookman Old Style" w:hAnsi="Bookman Old Style" w:eastAsia="Bookman Old Style" w:cs="Bookman Old Style"/>
        <w:b w:val="0"/>
        <w:bCs w:val="0"/>
        <w:i w:val="0"/>
        <w:iCs w:val="0"/>
        <w:smallCaps w:val="0"/>
        <w:strike w:val="0"/>
        <w:color w:val="000000"/>
        <w:spacing w:val="1"/>
        <w:position w:val="0"/>
        <w:sz w:val="22"/>
        <w:szCs w:val="22"/>
        <w:u w:val="none"/>
        <w:lang w:val="ru-RU" w:eastAsia="ru-RU" w:bidi="ru-RU"/>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23">
    <w:nsid w:val="33295C2D"/>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4">
    <w:nsid w:val="35C74F01"/>
    <w:lvl w:ilvl="0">
      <w:isLgl w:val="false"/>
      <w:lvlJc w:val="left"/>
      <w:lvlText w:val="%1."/>
      <w:numFmt w:val="decimal"/>
      <w:pPr>
        <w:pBdr/>
        <w:spacing/>
        <w:ind w:hanging="360" w:left="720"/>
      </w:pPr>
      <w:rPr/>
      <w:start w:val="1"/>
      <w:suff w:val="tab"/>
    </w:lvl>
    <w:lvl w:ilvl="1">
      <w:isLgl w:val="false"/>
      <w:lvlJc w:val="left"/>
      <w:lvlText w:val="%1.%2."/>
      <w:numFmt w:val="decimal"/>
      <w:pPr>
        <w:pBdr/>
        <w:spacing/>
        <w:ind w:hanging="360" w:left="720"/>
      </w:pPr>
      <w:rPr>
        <w:b w:val="0"/>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25">
    <w:nsid w:val="371F6263"/>
    <w:lvl w:ilvl="0">
      <w:isLgl w:val="false"/>
      <w:lvlJc w:val="left"/>
      <w:lvlText w:val="%1."/>
      <w:numFmt w:val="decimal"/>
      <w:pPr>
        <w:pBdr/>
        <w:spacing/>
        <w:ind w:hanging="360" w:left="862"/>
      </w:pPr>
      <w:rPr>
        <w:b/>
        <w:i/>
        <w:sz w:val="24"/>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26">
    <w:nsid w:val="3B567F1C"/>
    <w:lvl w:ilvl="0">
      <w:isLgl w:val="false"/>
      <w:lvlJc w:val="left"/>
      <w:lvlText w:val="%1."/>
      <w:numFmt w:val="decimal"/>
      <w:pPr>
        <w:pBdr/>
        <w:spacing/>
        <w:ind w:hanging="360" w:left="720"/>
      </w:pPr>
      <w:rPr>
        <w:sz w:val="24"/>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3BA2695F"/>
    <w:lvl w:ilvl="0">
      <w:isLgl w:val="false"/>
      <w:lvlJc w:val="left"/>
      <w:lvlText w:val="%1."/>
      <w:numFmt w:val="decimal"/>
      <w:pPr>
        <w:pBdr/>
        <w:spacing/>
        <w:ind w:hanging="360" w:left="927"/>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3C887E12"/>
    <w:lvl w:ilvl="0">
      <w:isLgl w:val="false"/>
      <w:lvlJc w:val="left"/>
      <w:lvlText w:val="9.%1."/>
      <w:numFmt w:val="decimal"/>
      <w:pPr>
        <w:pBdr/>
        <w:spacing/>
        <w:ind/>
      </w:pPr>
      <w:rPr>
        <w:rFonts w:ascii="Times New Roman" w:hAnsi="Times New Roman" w:eastAsia="Bookman Old Style" w:cs="Times New Roman"/>
        <w:b w:val="0"/>
        <w:bCs w:val="0"/>
        <w:i w:val="0"/>
        <w:iCs w:val="0"/>
        <w:smallCaps w:val="0"/>
        <w:strike w:val="0"/>
        <w:color w:val="000000"/>
        <w:spacing w:val="1"/>
        <w:position w:val="0"/>
        <w:sz w:val="22"/>
        <w:szCs w:val="22"/>
        <w:u w:val="none"/>
        <w:lang w:val="ru-RU" w:eastAsia="ru-RU" w:bidi="ru-RU"/>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29">
    <w:nsid w:val="3D0B1B4D"/>
    <w:lvl w:ilvl="0">
      <w:isLgl w:val="false"/>
      <w:lvlJc w:val="left"/>
      <w:lvlText w:val="%1."/>
      <w:numFmt w:val="decimal"/>
      <w:pPr>
        <w:pBdr/>
        <w:tabs>
          <w:tab w:val="num" w:leader="none" w:pos="720"/>
        </w:tabs>
        <w:spacing/>
        <w:ind w:hanging="360" w:left="720"/>
      </w:pPr>
      <w:pStyle w:val="1059"/>
      <w:rPr>
        <w:rFonts w:cs="Times New Roman"/>
        <w:b/>
        <w:sz w:val="28"/>
        <w:szCs w:val="28"/>
      </w:rPr>
      <w:start w:val="1"/>
      <w:suff w:val="tab"/>
    </w:lvl>
    <w:lvl w:ilvl="1">
      <w:isLgl w:val="false"/>
      <w:lvlJc w:val="left"/>
      <w:lvlText w:val=""/>
      <w:numFmt w:val="decimal"/>
      <w:pPr>
        <w:pBdr/>
        <w:tabs>
          <w:tab w:val="num" w:leader="none" w:pos="360"/>
        </w:tabs>
        <w:spacing/>
        <w:ind/>
      </w:pPr>
      <w:rPr>
        <w:rFonts w:cs="Times New Roman"/>
      </w:rPr>
      <w:start w:val="0"/>
      <w:suff w:val="tab"/>
    </w:lvl>
    <w:lvl w:ilvl="2">
      <w:isLgl w:val="false"/>
      <w:lvlJc w:val="left"/>
      <w:lvlText w:val=""/>
      <w:numFmt w:val="decimal"/>
      <w:pPr>
        <w:pBdr/>
        <w:tabs>
          <w:tab w:val="num" w:leader="none" w:pos="360"/>
        </w:tabs>
        <w:spacing/>
        <w:ind/>
      </w:pPr>
      <w:rPr>
        <w:rFonts w:cs="Times New Roman"/>
      </w:rPr>
      <w:start w:val="0"/>
      <w:suff w:val="tab"/>
    </w:lvl>
    <w:lvl w:ilvl="3">
      <w:isLgl w:val="false"/>
      <w:lvlJc w:val="left"/>
      <w:lvlText w:val=""/>
      <w:numFmt w:val="decimal"/>
      <w:pPr>
        <w:pBdr/>
        <w:tabs>
          <w:tab w:val="num" w:leader="none" w:pos="360"/>
        </w:tabs>
        <w:spacing/>
        <w:ind/>
      </w:pPr>
      <w:rPr>
        <w:rFonts w:cs="Times New Roman"/>
      </w:rPr>
      <w:start w:val="0"/>
      <w:suff w:val="tab"/>
    </w:lvl>
    <w:lvl w:ilvl="4">
      <w:isLgl w:val="false"/>
      <w:lvlJc w:val="left"/>
      <w:lvlText w:val=""/>
      <w:numFmt w:val="decimal"/>
      <w:pPr>
        <w:pBdr/>
        <w:tabs>
          <w:tab w:val="num" w:leader="none" w:pos="360"/>
        </w:tabs>
        <w:spacing/>
        <w:ind/>
      </w:pPr>
      <w:rPr>
        <w:rFonts w:cs="Times New Roman"/>
      </w:rPr>
      <w:start w:val="0"/>
      <w:suff w:val="tab"/>
    </w:lvl>
    <w:lvl w:ilvl="5">
      <w:isLgl w:val="false"/>
      <w:lvlJc w:val="left"/>
      <w:lvlText w:val=""/>
      <w:numFmt w:val="decimal"/>
      <w:pPr>
        <w:pBdr/>
        <w:tabs>
          <w:tab w:val="num" w:leader="none" w:pos="360"/>
        </w:tabs>
        <w:spacing/>
        <w:ind/>
      </w:pPr>
      <w:rPr>
        <w:rFonts w:cs="Times New Roman"/>
      </w:rPr>
      <w:start w:val="0"/>
      <w:suff w:val="tab"/>
    </w:lvl>
    <w:lvl w:ilvl="6">
      <w:isLgl w:val="false"/>
      <w:lvlJc w:val="left"/>
      <w:lvlText w:val=""/>
      <w:numFmt w:val="decimal"/>
      <w:pPr>
        <w:pBdr/>
        <w:tabs>
          <w:tab w:val="num" w:leader="none" w:pos="360"/>
        </w:tabs>
        <w:spacing/>
        <w:ind/>
      </w:pPr>
      <w:rPr>
        <w:rFonts w:cs="Times New Roman"/>
      </w:rPr>
      <w:start w:val="0"/>
      <w:suff w:val="tab"/>
    </w:lvl>
    <w:lvl w:ilvl="7">
      <w:isLgl w:val="false"/>
      <w:lvlJc w:val="left"/>
      <w:lvlText w:val=""/>
      <w:numFmt w:val="decimal"/>
      <w:pPr>
        <w:pBdr/>
        <w:tabs>
          <w:tab w:val="num" w:leader="none" w:pos="360"/>
        </w:tabs>
        <w:spacing/>
        <w:ind/>
      </w:pPr>
      <w:rPr>
        <w:rFonts w:cs="Times New Roman"/>
      </w:rPr>
      <w:start w:val="0"/>
      <w:suff w:val="tab"/>
    </w:lvl>
    <w:lvl w:ilvl="8">
      <w:isLgl w:val="false"/>
      <w:lvlJc w:val="left"/>
      <w:lvlText w:val=""/>
      <w:numFmt w:val="decimal"/>
      <w:pPr>
        <w:pBdr/>
        <w:tabs>
          <w:tab w:val="num" w:leader="none" w:pos="360"/>
        </w:tabs>
        <w:spacing/>
        <w:ind/>
      </w:pPr>
      <w:rPr>
        <w:rFonts w:cs="Times New Roman"/>
      </w:rPr>
      <w:start w:val="0"/>
      <w:suff w:val="tab"/>
    </w:lvl>
  </w:abstractNum>
  <w:abstractNum w:abstractNumId="30">
    <w:nsid w:val="3D2E607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3F2D695C"/>
    <w:lvl w:ilvl="0">
      <w:isLgl w:val="false"/>
      <w:lvlJc w:val="left"/>
      <w:lvlText w:val="%1."/>
      <w:numFmt w:val="decimal"/>
      <w:pPr>
        <w:pBdr/>
        <w:spacing/>
        <w:ind/>
      </w:pPr>
      <w:rPr>
        <w:rFonts w:ascii="Bookman Old Style" w:hAnsi="Bookman Old Style" w:eastAsia="Bookman Old Style" w:cs="Bookman Old Style"/>
        <w:b/>
        <w:bCs/>
        <w:i w:val="0"/>
        <w:iCs w:val="0"/>
        <w:smallCaps w:val="0"/>
        <w:strike w:val="0"/>
        <w:color w:val="000000"/>
        <w:spacing w:val="1"/>
        <w:position w:val="0"/>
        <w:sz w:val="22"/>
        <w:szCs w:val="22"/>
        <w:u w:val="none"/>
        <w:lang w:val="ru-RU" w:eastAsia="ru-RU" w:bidi="ru-RU"/>
      </w:rPr>
      <w:start w:val="2"/>
      <w:suff w:val="tab"/>
    </w:lvl>
    <w:lvl w:ilvl="1">
      <w:isLgl w:val="false"/>
      <w:lvlJc w:val="left"/>
      <w:lvlText w:val="%1.%2."/>
      <w:numFmt w:val="decimal"/>
      <w:pPr>
        <w:pBdr/>
        <w:spacing/>
        <w:ind/>
      </w:pPr>
      <w:rPr>
        <w:rFonts w:ascii="Bookman Old Style" w:hAnsi="Bookman Old Style" w:eastAsia="Bookman Old Style" w:cs="Bookman Old Style"/>
        <w:b w:val="0"/>
        <w:bCs w:val="0"/>
        <w:i w:val="0"/>
        <w:iCs w:val="0"/>
        <w:smallCaps w:val="0"/>
        <w:strike w:val="0"/>
        <w:color w:val="000000"/>
        <w:spacing w:val="1"/>
        <w:position w:val="0"/>
        <w:sz w:val="22"/>
        <w:szCs w:val="22"/>
        <w:u w:val="none"/>
        <w:lang w:val="ru-RU" w:eastAsia="ru-RU" w:bidi="ru-RU"/>
      </w:rPr>
      <w:start w:val="1"/>
      <w:suff w:val="tab"/>
    </w:lvl>
    <w:lvl w:ilvl="2">
      <w:isLgl w:val="false"/>
      <w:lvlJc w:val="left"/>
      <w:lvlText w:val="%1.%2.%3."/>
      <w:numFmt w:val="decimal"/>
      <w:pPr>
        <w:pBdr/>
        <w:spacing/>
        <w:ind/>
      </w:pPr>
      <w:rPr>
        <w:rFonts w:ascii="Bookman Old Style" w:hAnsi="Bookman Old Style" w:eastAsia="Bookman Old Style" w:cs="Bookman Old Style"/>
        <w:b w:val="0"/>
        <w:bCs w:val="0"/>
        <w:i w:val="0"/>
        <w:iCs w:val="0"/>
        <w:smallCaps w:val="0"/>
        <w:strike w:val="0"/>
        <w:color w:val="000000"/>
        <w:spacing w:val="1"/>
        <w:position w:val="0"/>
        <w:sz w:val="22"/>
        <w:szCs w:val="22"/>
        <w:u w:val="none"/>
        <w:lang w:val="ru-RU" w:eastAsia="ru-RU" w:bidi="ru-RU"/>
      </w:rPr>
      <w:start w:val="1"/>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32">
    <w:nsid w:val="40960E73"/>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33">
    <w:nsid w:val="40D31E37"/>
    <w:lvl w:ilvl="0">
      <w:isLgl w:val="false"/>
      <w:lvlJc w:val="left"/>
      <w:lvlText w:val=""/>
      <w:numFmt w:val="bullet"/>
      <w:pPr>
        <w:pBdr/>
        <w:spacing/>
        <w:ind w:hanging="360" w:left="720"/>
      </w:pPr>
      <w:rPr>
        <w:rFonts w:ascii="Symbol" w:hAnsi="Symbol"/>
        <w:color w:val="000000"/>
      </w:rPr>
      <w:start w:val="1"/>
      <w:suff w:val="tab"/>
    </w:lvl>
    <w:lvl w:ilvl="1">
      <w:isLgl w:val="false"/>
      <w:lvlJc w:val="left"/>
      <w:lvlText w:val="o"/>
      <w:numFmt w:val="bullet"/>
      <w:pPr>
        <w:pBdr/>
        <w:spacing/>
        <w:ind w:hanging="360" w:left="1440"/>
      </w:pPr>
      <w:rPr>
        <w:rFonts w:ascii="Courier New" w:hAnsi="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34">
    <w:nsid w:val="42C67AD5"/>
    <w:lvl w:ilvl="0">
      <w:isLgl w:val="false"/>
      <w:lvlJc w:val="left"/>
      <w:lvlText w:val=""/>
      <w:numFmt w:val="bullet"/>
      <w:pPr>
        <w:pBdr/>
        <w:tabs>
          <w:tab w:val="num" w:leader="none" w:pos="720"/>
        </w:tabs>
        <w:spacing/>
        <w:ind w:hanging="360" w:left="720"/>
      </w:pPr>
      <w:rPr>
        <w:rFonts w:ascii="Symbol" w:hAnsi="Symbol"/>
        <w:sz w:val="20"/>
      </w:rPr>
      <w:start w:val="1"/>
      <w:suff w:val="tab"/>
    </w:lvl>
    <w:lvl w:ilvl="1">
      <w:isLgl w:val="false"/>
      <w:lvlJc w:val="left"/>
      <w:lvlText w:val="o"/>
      <w:numFmt w:val="bullet"/>
      <w:pPr>
        <w:pBdr/>
        <w:tabs>
          <w:tab w:val="num" w:leader="none" w:pos="1440"/>
        </w:tabs>
        <w:spacing/>
        <w:ind w:hanging="360" w:left="1440"/>
      </w:pPr>
      <w:rPr>
        <w:rFonts w:ascii="Courier New" w:hAnsi="Courier New"/>
        <w:sz w:val="20"/>
      </w:rPr>
      <w:start w:val="1"/>
      <w:suff w:val="tab"/>
    </w:lvl>
    <w:lvl w:ilvl="2">
      <w:isLgl w:val="false"/>
      <w:lvlJc w:val="left"/>
      <w:lvlText w:val=""/>
      <w:numFmt w:val="bullet"/>
      <w:pPr>
        <w:pBdr/>
        <w:tabs>
          <w:tab w:val="num" w:leader="none" w:pos="2160"/>
        </w:tabs>
        <w:spacing/>
        <w:ind w:hanging="360" w:left="2160"/>
      </w:pPr>
      <w:rPr>
        <w:rFonts w:ascii="Wingdings" w:hAnsi="Wingdings"/>
        <w:sz w:val="20"/>
      </w:rPr>
      <w:start w:val="1"/>
      <w:suff w:val="tab"/>
    </w:lvl>
    <w:lvl w:ilvl="3">
      <w:isLgl w:val="false"/>
      <w:lvlJc w:val="left"/>
      <w:lvlText w:val=""/>
      <w:numFmt w:val="bullet"/>
      <w:pPr>
        <w:pBdr/>
        <w:tabs>
          <w:tab w:val="num" w:leader="none" w:pos="2880"/>
        </w:tabs>
        <w:spacing/>
        <w:ind w:hanging="360" w:left="2880"/>
      </w:pPr>
      <w:rPr>
        <w:rFonts w:ascii="Wingdings" w:hAnsi="Wingdings"/>
        <w:sz w:val="20"/>
      </w:rPr>
      <w:start w:val="1"/>
      <w:suff w:val="tab"/>
    </w:lvl>
    <w:lvl w:ilvl="4">
      <w:isLgl w:val="false"/>
      <w:lvlJc w:val="left"/>
      <w:lvlText w:val=""/>
      <w:numFmt w:val="bullet"/>
      <w:pPr>
        <w:pBdr/>
        <w:tabs>
          <w:tab w:val="num" w:leader="none" w:pos="3600"/>
        </w:tabs>
        <w:spacing/>
        <w:ind w:hanging="360" w:left="3600"/>
      </w:pPr>
      <w:rPr>
        <w:rFonts w:ascii="Wingdings" w:hAnsi="Wingdings"/>
        <w:sz w:val="20"/>
      </w:rPr>
      <w:start w:val="1"/>
      <w:suff w:val="tab"/>
    </w:lvl>
    <w:lvl w:ilvl="5">
      <w:isLgl w:val="false"/>
      <w:lvlJc w:val="left"/>
      <w:lvlText w:val=""/>
      <w:numFmt w:val="bullet"/>
      <w:pPr>
        <w:pBdr/>
        <w:tabs>
          <w:tab w:val="num" w:leader="none" w:pos="4320"/>
        </w:tabs>
        <w:spacing/>
        <w:ind w:hanging="360" w:left="4320"/>
      </w:pPr>
      <w:rPr>
        <w:rFonts w:ascii="Wingdings" w:hAnsi="Wingdings"/>
        <w:sz w:val="20"/>
      </w:rPr>
      <w:start w:val="1"/>
      <w:suff w:val="tab"/>
    </w:lvl>
    <w:lvl w:ilvl="6">
      <w:isLgl w:val="false"/>
      <w:lvlJc w:val="left"/>
      <w:lvlText w:val=""/>
      <w:numFmt w:val="bullet"/>
      <w:pPr>
        <w:pBdr/>
        <w:tabs>
          <w:tab w:val="num" w:leader="none" w:pos="5040"/>
        </w:tabs>
        <w:spacing/>
        <w:ind w:hanging="360" w:left="5040"/>
      </w:pPr>
      <w:rPr>
        <w:rFonts w:ascii="Wingdings" w:hAnsi="Wingdings"/>
        <w:sz w:val="20"/>
      </w:rPr>
      <w:start w:val="1"/>
      <w:suff w:val="tab"/>
    </w:lvl>
    <w:lvl w:ilvl="7">
      <w:isLgl w:val="false"/>
      <w:lvlJc w:val="left"/>
      <w:lvlText w:val=""/>
      <w:numFmt w:val="bullet"/>
      <w:pPr>
        <w:pBdr/>
        <w:tabs>
          <w:tab w:val="num" w:leader="none" w:pos="5760"/>
        </w:tabs>
        <w:spacing/>
        <w:ind w:hanging="360" w:left="5760"/>
      </w:pPr>
      <w:rPr>
        <w:rFonts w:ascii="Wingdings" w:hAnsi="Wingdings"/>
        <w:sz w:val="20"/>
      </w:rPr>
      <w:start w:val="1"/>
      <w:suff w:val="tab"/>
    </w:lvl>
    <w:lvl w:ilvl="8">
      <w:isLgl w:val="false"/>
      <w:lvlJc w:val="left"/>
      <w:lvlText w:val=""/>
      <w:numFmt w:val="bullet"/>
      <w:pPr>
        <w:pBdr/>
        <w:tabs>
          <w:tab w:val="num" w:leader="none" w:pos="6480"/>
        </w:tabs>
        <w:spacing/>
        <w:ind w:hanging="360" w:left="6480"/>
      </w:pPr>
      <w:rPr>
        <w:rFonts w:ascii="Wingdings" w:hAnsi="Wingdings"/>
        <w:sz w:val="20"/>
      </w:rPr>
      <w:start w:val="1"/>
      <w:suff w:val="tab"/>
    </w:lvl>
  </w:abstractNum>
  <w:abstractNum w:abstractNumId="35">
    <w:nsid w:val="4506357E"/>
    <w:lvl w:ilvl="0">
      <w:isLgl w:val="false"/>
      <w:lvlJc w:val="left"/>
      <w:lvlText w:val=""/>
      <w:numFmt w:val="bullet"/>
      <w:pPr>
        <w:pBdr/>
        <w:spacing/>
        <w:ind w:hanging="360" w:left="720"/>
      </w:pPr>
      <w:rPr>
        <w:rFonts w:ascii="Symbol" w:hAnsi="Symbol"/>
      </w:rPr>
      <w:start w:val="1"/>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36">
    <w:nsid w:val="45481865"/>
    <w:lvl w:ilvl="0">
      <w:isLgl w:val="false"/>
      <w:lvlJc w:val="left"/>
      <w:lvlText w:val="%1."/>
      <w:numFmt w:val="decimal"/>
      <w:pPr>
        <w:pBdr/>
        <w:spacing/>
        <w:ind w:hanging="360" w:left="862"/>
      </w:pPr>
      <w:rPr>
        <w:b/>
        <w:i/>
        <w:sz w:val="24"/>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37">
    <w:nsid w:val="46FF6F8F"/>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47E61781"/>
    <w:lvl w:ilvl="0">
      <w:isLgl w:val="false"/>
      <w:lvlJc w:val="left"/>
      <w:lvlText w:val="%1."/>
      <w:numFmt w:val="decimal"/>
      <w:pPr>
        <w:pBdr/>
        <w:spacing/>
        <w:ind/>
      </w:pPr>
      <w:rPr>
        <w:rFonts w:ascii="Times New Roman" w:hAnsi="Times New Roman" w:eastAsia="Bookman Old Style" w:cs="Times New Roman"/>
        <w:b/>
        <w:bCs/>
        <w:i w:val="0"/>
        <w:iCs w:val="0"/>
        <w:smallCaps w:val="0"/>
        <w:strike w:val="0"/>
        <w:color w:val="000000"/>
        <w:spacing w:val="1"/>
        <w:position w:val="0"/>
        <w:sz w:val="22"/>
        <w:szCs w:val="22"/>
        <w:u w:val="none"/>
        <w:lang w:val="ru-RU" w:eastAsia="ru-RU" w:bidi="ru-RU"/>
      </w:rPr>
      <w:start w:val="2"/>
      <w:suff w:val="tab"/>
    </w:lvl>
    <w:lvl w:ilvl="1">
      <w:isLgl w:val="false"/>
      <w:lvlJc w:val="left"/>
      <w:lvlText w:val="%1.%2."/>
      <w:numFmt w:val="decimal"/>
      <w:pPr>
        <w:pBdr/>
        <w:spacing/>
        <w:ind/>
      </w:pPr>
      <w:rPr>
        <w:rFonts w:ascii="Times New Roman" w:hAnsi="Times New Roman" w:eastAsia="Bookman Old Style" w:cs="Times New Roman"/>
        <w:b w:val="0"/>
        <w:bCs w:val="0"/>
        <w:i w:val="0"/>
        <w:iCs w:val="0"/>
        <w:smallCaps w:val="0"/>
        <w:strike w:val="0"/>
        <w:color w:val="000000"/>
        <w:spacing w:val="1"/>
        <w:position w:val="0"/>
        <w:sz w:val="22"/>
        <w:szCs w:val="22"/>
        <w:u w:val="none"/>
        <w:lang w:val="ru-RU" w:eastAsia="ru-RU" w:bidi="ru-RU"/>
      </w:rPr>
      <w:start w:val="1"/>
      <w:suff w:val="tab"/>
    </w:lvl>
    <w:lvl w:ilvl="2">
      <w:isLgl w:val="false"/>
      <w:lvlJc w:val="left"/>
      <w:lvlText w:val="%1.%2.%3."/>
      <w:numFmt w:val="decimal"/>
      <w:pPr>
        <w:pBdr/>
        <w:spacing/>
        <w:ind/>
      </w:pPr>
      <w:rPr>
        <w:rFonts w:ascii="Times New Roman" w:hAnsi="Times New Roman" w:eastAsia="Bookman Old Style" w:cs="Times New Roman"/>
        <w:b w:val="0"/>
        <w:bCs w:val="0"/>
        <w:i w:val="0"/>
        <w:iCs w:val="0"/>
        <w:smallCaps w:val="0"/>
        <w:strike w:val="0"/>
        <w:color w:val="000000"/>
        <w:spacing w:val="1"/>
        <w:position w:val="0"/>
        <w:sz w:val="22"/>
        <w:szCs w:val="22"/>
        <w:u w:val="none"/>
        <w:lang w:val="ru-RU" w:eastAsia="ru-RU" w:bidi="ru-RU"/>
      </w:rPr>
      <w:start w:val="1"/>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39">
    <w:nsid w:val="4B2B7D5C"/>
    <w:lvl w:ilvl="0">
      <w:isLgl w:val="false"/>
      <w:lvlJc w:val="left"/>
      <w:lvlText w:val=""/>
      <w:numFmt w:val="bullet"/>
      <w:pPr>
        <w:pBdr/>
        <w:tabs>
          <w:tab w:val="num" w:leader="none" w:pos="720"/>
        </w:tabs>
        <w:spacing/>
        <w:ind w:hanging="360" w:left="720"/>
      </w:pPr>
      <w:rPr>
        <w:rFonts w:ascii="Symbol" w:hAnsi="Symbol"/>
        <w:sz w:val="20"/>
      </w:rPr>
      <w:start w:val="1"/>
      <w:suff w:val="tab"/>
    </w:lvl>
    <w:lvl w:ilvl="1">
      <w:isLgl w:val="false"/>
      <w:lvlJc w:val="left"/>
      <w:lvlText w:val="o"/>
      <w:numFmt w:val="bullet"/>
      <w:pPr>
        <w:pBdr/>
        <w:tabs>
          <w:tab w:val="num" w:leader="none" w:pos="1440"/>
        </w:tabs>
        <w:spacing/>
        <w:ind w:hanging="360" w:left="1440"/>
      </w:pPr>
      <w:rPr>
        <w:rFonts w:ascii="Courier New" w:hAnsi="Courier New"/>
        <w:sz w:val="20"/>
      </w:rPr>
      <w:start w:val="1"/>
      <w:suff w:val="tab"/>
    </w:lvl>
    <w:lvl w:ilvl="2">
      <w:isLgl w:val="false"/>
      <w:lvlJc w:val="left"/>
      <w:lvlText w:val=""/>
      <w:numFmt w:val="bullet"/>
      <w:pPr>
        <w:pBdr/>
        <w:tabs>
          <w:tab w:val="num" w:leader="none" w:pos="2160"/>
        </w:tabs>
        <w:spacing/>
        <w:ind w:hanging="360" w:left="2160"/>
      </w:pPr>
      <w:rPr>
        <w:rFonts w:ascii="Wingdings" w:hAnsi="Wingdings"/>
        <w:sz w:val="20"/>
      </w:rPr>
      <w:start w:val="1"/>
      <w:suff w:val="tab"/>
    </w:lvl>
    <w:lvl w:ilvl="3">
      <w:isLgl w:val="false"/>
      <w:lvlJc w:val="left"/>
      <w:lvlText w:val=""/>
      <w:numFmt w:val="bullet"/>
      <w:pPr>
        <w:pBdr/>
        <w:tabs>
          <w:tab w:val="num" w:leader="none" w:pos="2880"/>
        </w:tabs>
        <w:spacing/>
        <w:ind w:hanging="360" w:left="2880"/>
      </w:pPr>
      <w:rPr>
        <w:rFonts w:ascii="Wingdings" w:hAnsi="Wingdings"/>
        <w:sz w:val="20"/>
      </w:rPr>
      <w:start w:val="1"/>
      <w:suff w:val="tab"/>
    </w:lvl>
    <w:lvl w:ilvl="4">
      <w:isLgl w:val="false"/>
      <w:lvlJc w:val="left"/>
      <w:lvlText w:val=""/>
      <w:numFmt w:val="bullet"/>
      <w:pPr>
        <w:pBdr/>
        <w:tabs>
          <w:tab w:val="num" w:leader="none" w:pos="3600"/>
        </w:tabs>
        <w:spacing/>
        <w:ind w:hanging="360" w:left="3600"/>
      </w:pPr>
      <w:rPr>
        <w:rFonts w:ascii="Wingdings" w:hAnsi="Wingdings"/>
        <w:sz w:val="20"/>
      </w:rPr>
      <w:start w:val="1"/>
      <w:suff w:val="tab"/>
    </w:lvl>
    <w:lvl w:ilvl="5">
      <w:isLgl w:val="false"/>
      <w:lvlJc w:val="left"/>
      <w:lvlText w:val=""/>
      <w:numFmt w:val="bullet"/>
      <w:pPr>
        <w:pBdr/>
        <w:tabs>
          <w:tab w:val="num" w:leader="none" w:pos="4320"/>
        </w:tabs>
        <w:spacing/>
        <w:ind w:hanging="360" w:left="4320"/>
      </w:pPr>
      <w:rPr>
        <w:rFonts w:ascii="Wingdings" w:hAnsi="Wingdings"/>
        <w:sz w:val="20"/>
      </w:rPr>
      <w:start w:val="1"/>
      <w:suff w:val="tab"/>
    </w:lvl>
    <w:lvl w:ilvl="6">
      <w:isLgl w:val="false"/>
      <w:lvlJc w:val="left"/>
      <w:lvlText w:val=""/>
      <w:numFmt w:val="bullet"/>
      <w:pPr>
        <w:pBdr/>
        <w:tabs>
          <w:tab w:val="num" w:leader="none" w:pos="5040"/>
        </w:tabs>
        <w:spacing/>
        <w:ind w:hanging="360" w:left="5040"/>
      </w:pPr>
      <w:rPr>
        <w:rFonts w:ascii="Wingdings" w:hAnsi="Wingdings"/>
        <w:sz w:val="20"/>
      </w:rPr>
      <w:start w:val="1"/>
      <w:suff w:val="tab"/>
    </w:lvl>
    <w:lvl w:ilvl="7">
      <w:isLgl w:val="false"/>
      <w:lvlJc w:val="left"/>
      <w:lvlText w:val=""/>
      <w:numFmt w:val="bullet"/>
      <w:pPr>
        <w:pBdr/>
        <w:tabs>
          <w:tab w:val="num" w:leader="none" w:pos="5760"/>
        </w:tabs>
        <w:spacing/>
        <w:ind w:hanging="360" w:left="5760"/>
      </w:pPr>
      <w:rPr>
        <w:rFonts w:ascii="Wingdings" w:hAnsi="Wingdings"/>
        <w:sz w:val="20"/>
      </w:rPr>
      <w:start w:val="1"/>
      <w:suff w:val="tab"/>
    </w:lvl>
    <w:lvl w:ilvl="8">
      <w:isLgl w:val="false"/>
      <w:lvlJc w:val="left"/>
      <w:lvlText w:val=""/>
      <w:numFmt w:val="bullet"/>
      <w:pPr>
        <w:pBdr/>
        <w:tabs>
          <w:tab w:val="num" w:leader="none" w:pos="6480"/>
        </w:tabs>
        <w:spacing/>
        <w:ind w:hanging="360" w:left="6480"/>
      </w:pPr>
      <w:rPr>
        <w:rFonts w:ascii="Wingdings" w:hAnsi="Wingdings"/>
        <w:sz w:val="20"/>
      </w:rPr>
      <w:start w:val="1"/>
      <w:suff w:val="tab"/>
    </w:lvl>
  </w:abstractNum>
  <w:abstractNum w:abstractNumId="40">
    <w:nsid w:val="4CB7465A"/>
    <w:lvl w:ilvl="0">
      <w:isLgl w:val="false"/>
      <w:lvlJc w:val="left"/>
      <w:lvlText w:val="%1."/>
      <w:numFmt w:val="decimal"/>
      <w:pPr>
        <w:pBdr/>
        <w:spacing/>
        <w:ind w:hanging="360" w:left="1068"/>
      </w:pPr>
      <w:rPr>
        <w:b/>
      </w:rPr>
      <w:start w:val="1"/>
      <w:suff w:val="tab"/>
    </w:lvl>
    <w:lvl w:ilvl="1">
      <w:isLgl w:val="false"/>
      <w:lvlJc w:val="left"/>
      <w:lvlText w:val="%2."/>
      <w:numFmt w:val="lowerLetter"/>
      <w:pPr>
        <w:pBdr/>
        <w:spacing/>
        <w:ind w:hanging="360" w:left="1788"/>
      </w:pPr>
      <w:rPr/>
      <w:start w:val="1"/>
      <w:suff w:val="tab"/>
    </w:lvl>
    <w:lvl w:ilvl="2">
      <w:isLgl w:val="false"/>
      <w:lvlJc w:val="right"/>
      <w:lvlText w:val="%3."/>
      <w:numFmt w:val="lowerRoman"/>
      <w:pPr>
        <w:pBdr/>
        <w:spacing/>
        <w:ind w:hanging="180" w:left="2508"/>
      </w:pPr>
      <w:rPr/>
      <w:start w:val="1"/>
      <w:suff w:val="tab"/>
    </w:lvl>
    <w:lvl w:ilvl="3">
      <w:isLgl w:val="false"/>
      <w:lvlJc w:val="left"/>
      <w:lvlText w:val="%4."/>
      <w:numFmt w:val="decimal"/>
      <w:pPr>
        <w:pBdr/>
        <w:spacing/>
        <w:ind w:hanging="360" w:left="3228"/>
      </w:pPr>
      <w:rPr/>
      <w:start w:val="1"/>
      <w:suff w:val="tab"/>
    </w:lvl>
    <w:lvl w:ilvl="4">
      <w:isLgl w:val="false"/>
      <w:lvlJc w:val="left"/>
      <w:lvlText w:val="%5."/>
      <w:numFmt w:val="lowerLetter"/>
      <w:pPr>
        <w:pBdr/>
        <w:spacing/>
        <w:ind w:hanging="360" w:left="3948"/>
      </w:pPr>
      <w:rPr/>
      <w:start w:val="1"/>
      <w:suff w:val="tab"/>
    </w:lvl>
    <w:lvl w:ilvl="5">
      <w:isLgl w:val="false"/>
      <w:lvlJc w:val="right"/>
      <w:lvlText w:val="%6."/>
      <w:numFmt w:val="lowerRoman"/>
      <w:pPr>
        <w:pBdr/>
        <w:spacing/>
        <w:ind w:hanging="180" w:left="4668"/>
      </w:pPr>
      <w:rPr/>
      <w:start w:val="1"/>
      <w:suff w:val="tab"/>
    </w:lvl>
    <w:lvl w:ilvl="6">
      <w:isLgl w:val="false"/>
      <w:lvlJc w:val="left"/>
      <w:lvlText w:val="%7."/>
      <w:numFmt w:val="decimal"/>
      <w:pPr>
        <w:pBdr/>
        <w:spacing/>
        <w:ind w:hanging="360" w:left="5388"/>
      </w:pPr>
      <w:rPr/>
      <w:start w:val="1"/>
      <w:suff w:val="tab"/>
    </w:lvl>
    <w:lvl w:ilvl="7">
      <w:isLgl w:val="false"/>
      <w:lvlJc w:val="left"/>
      <w:lvlText w:val="%8."/>
      <w:numFmt w:val="lowerLetter"/>
      <w:pPr>
        <w:pBdr/>
        <w:spacing/>
        <w:ind w:hanging="360" w:left="6108"/>
      </w:pPr>
      <w:rPr/>
      <w:start w:val="1"/>
      <w:suff w:val="tab"/>
    </w:lvl>
    <w:lvl w:ilvl="8">
      <w:isLgl w:val="false"/>
      <w:lvlJc w:val="right"/>
      <w:lvlText w:val="%9."/>
      <w:numFmt w:val="lowerRoman"/>
      <w:pPr>
        <w:pBdr/>
        <w:spacing/>
        <w:ind w:hanging="180" w:left="6828"/>
      </w:pPr>
      <w:rPr/>
      <w:start w:val="1"/>
      <w:suff w:val="tab"/>
    </w:lvl>
  </w:abstractNum>
  <w:abstractNum w:abstractNumId="41">
    <w:nsid w:val="4CCF5452"/>
    <w:lvl w:ilvl="0">
      <w:isLgl w:val="false"/>
      <w:lvlJc w:val="left"/>
      <w:lvlText w:val="%1."/>
      <w:numFmt w:val="decimal"/>
      <w:pPr>
        <w:pBdr/>
        <w:spacing/>
        <w:ind w:hanging="360" w:left="380"/>
      </w:pPr>
      <w:rPr/>
      <w:start w:val="1"/>
      <w:suff w:val="tab"/>
    </w:lvl>
    <w:lvl w:ilvl="1">
      <w:isLgl w:val="false"/>
      <w:lvlJc w:val="left"/>
      <w:lvlText w:val="%2."/>
      <w:numFmt w:val="lowerLetter"/>
      <w:pPr>
        <w:pBdr/>
        <w:spacing/>
        <w:ind w:hanging="360" w:left="1100"/>
      </w:pPr>
      <w:rPr/>
      <w:start w:val="1"/>
      <w:suff w:val="tab"/>
    </w:lvl>
    <w:lvl w:ilvl="2">
      <w:isLgl w:val="false"/>
      <w:lvlJc w:val="right"/>
      <w:lvlText w:val="%3."/>
      <w:numFmt w:val="lowerRoman"/>
      <w:pPr>
        <w:pBdr/>
        <w:spacing/>
        <w:ind w:hanging="180" w:left="1820"/>
      </w:pPr>
      <w:rPr/>
      <w:start w:val="1"/>
      <w:suff w:val="tab"/>
    </w:lvl>
    <w:lvl w:ilvl="3">
      <w:isLgl w:val="false"/>
      <w:lvlJc w:val="left"/>
      <w:lvlText w:val="%4."/>
      <w:numFmt w:val="decimal"/>
      <w:pPr>
        <w:pBdr/>
        <w:spacing/>
        <w:ind w:hanging="360" w:left="2540"/>
      </w:pPr>
      <w:rPr/>
      <w:start w:val="1"/>
      <w:suff w:val="tab"/>
    </w:lvl>
    <w:lvl w:ilvl="4">
      <w:isLgl w:val="false"/>
      <w:lvlJc w:val="left"/>
      <w:lvlText w:val="%5."/>
      <w:numFmt w:val="lowerLetter"/>
      <w:pPr>
        <w:pBdr/>
        <w:spacing/>
        <w:ind w:hanging="360" w:left="3260"/>
      </w:pPr>
      <w:rPr/>
      <w:start w:val="1"/>
      <w:suff w:val="tab"/>
    </w:lvl>
    <w:lvl w:ilvl="5">
      <w:isLgl w:val="false"/>
      <w:lvlJc w:val="right"/>
      <w:lvlText w:val="%6."/>
      <w:numFmt w:val="lowerRoman"/>
      <w:pPr>
        <w:pBdr/>
        <w:spacing/>
        <w:ind w:hanging="180" w:left="3980"/>
      </w:pPr>
      <w:rPr/>
      <w:start w:val="1"/>
      <w:suff w:val="tab"/>
    </w:lvl>
    <w:lvl w:ilvl="6">
      <w:isLgl w:val="false"/>
      <w:lvlJc w:val="left"/>
      <w:lvlText w:val="%7."/>
      <w:numFmt w:val="decimal"/>
      <w:pPr>
        <w:pBdr/>
        <w:spacing/>
        <w:ind w:hanging="360" w:left="4700"/>
      </w:pPr>
      <w:rPr/>
      <w:start w:val="1"/>
      <w:suff w:val="tab"/>
    </w:lvl>
    <w:lvl w:ilvl="7">
      <w:isLgl w:val="false"/>
      <w:lvlJc w:val="left"/>
      <w:lvlText w:val="%8."/>
      <w:numFmt w:val="lowerLetter"/>
      <w:pPr>
        <w:pBdr/>
        <w:spacing/>
        <w:ind w:hanging="360" w:left="5420"/>
      </w:pPr>
      <w:rPr/>
      <w:start w:val="1"/>
      <w:suff w:val="tab"/>
    </w:lvl>
    <w:lvl w:ilvl="8">
      <w:isLgl w:val="false"/>
      <w:lvlJc w:val="right"/>
      <w:lvlText w:val="%9."/>
      <w:numFmt w:val="lowerRoman"/>
      <w:pPr>
        <w:pBdr/>
        <w:spacing/>
        <w:ind w:hanging="180" w:left="6140"/>
      </w:pPr>
      <w:rPr/>
      <w:start w:val="1"/>
      <w:suff w:val="tab"/>
    </w:lvl>
  </w:abstractNum>
  <w:abstractNum w:abstractNumId="42">
    <w:nsid w:val="528F0543"/>
    <w:lvl w:ilvl="0">
      <w:isLgl w:val="false"/>
      <w:lvlJc w:val="left"/>
      <w:lvlText w:val=""/>
      <w:numFmt w:val="bullet"/>
      <w:pPr>
        <w:pBdr/>
        <w:tabs>
          <w:tab w:val="num" w:leader="none" w:pos="720"/>
        </w:tabs>
        <w:spacing/>
        <w:ind w:hanging="360" w:left="720"/>
      </w:pPr>
      <w:rPr>
        <w:rFonts w:ascii="Symbol" w:hAnsi="Symbol"/>
        <w:sz w:val="20"/>
      </w:rPr>
      <w:start w:val="1"/>
      <w:suff w:val="tab"/>
    </w:lvl>
    <w:lvl w:ilvl="1">
      <w:isLgl w:val="false"/>
      <w:lvlJc w:val="left"/>
      <w:lvlText w:val="o"/>
      <w:numFmt w:val="bullet"/>
      <w:pPr>
        <w:pBdr/>
        <w:tabs>
          <w:tab w:val="num" w:leader="none" w:pos="1440"/>
        </w:tabs>
        <w:spacing/>
        <w:ind w:hanging="360" w:left="1440"/>
      </w:pPr>
      <w:rPr>
        <w:rFonts w:ascii="Courier New" w:hAnsi="Courier New"/>
        <w:sz w:val="20"/>
      </w:rPr>
      <w:start w:val="1"/>
      <w:suff w:val="tab"/>
    </w:lvl>
    <w:lvl w:ilvl="2">
      <w:isLgl w:val="false"/>
      <w:lvlJc w:val="left"/>
      <w:lvlText w:val=""/>
      <w:numFmt w:val="bullet"/>
      <w:pPr>
        <w:pBdr/>
        <w:tabs>
          <w:tab w:val="num" w:leader="none" w:pos="2160"/>
        </w:tabs>
        <w:spacing/>
        <w:ind w:hanging="360" w:left="2160"/>
      </w:pPr>
      <w:rPr>
        <w:rFonts w:ascii="Wingdings" w:hAnsi="Wingdings"/>
        <w:sz w:val="20"/>
      </w:rPr>
      <w:start w:val="1"/>
      <w:suff w:val="tab"/>
    </w:lvl>
    <w:lvl w:ilvl="3">
      <w:isLgl w:val="false"/>
      <w:lvlJc w:val="left"/>
      <w:lvlText w:val=""/>
      <w:numFmt w:val="bullet"/>
      <w:pPr>
        <w:pBdr/>
        <w:tabs>
          <w:tab w:val="num" w:leader="none" w:pos="2880"/>
        </w:tabs>
        <w:spacing/>
        <w:ind w:hanging="360" w:left="2880"/>
      </w:pPr>
      <w:rPr>
        <w:rFonts w:ascii="Wingdings" w:hAnsi="Wingdings"/>
        <w:sz w:val="20"/>
      </w:rPr>
      <w:start w:val="1"/>
      <w:suff w:val="tab"/>
    </w:lvl>
    <w:lvl w:ilvl="4">
      <w:isLgl w:val="false"/>
      <w:lvlJc w:val="left"/>
      <w:lvlText w:val=""/>
      <w:numFmt w:val="bullet"/>
      <w:pPr>
        <w:pBdr/>
        <w:tabs>
          <w:tab w:val="num" w:leader="none" w:pos="3600"/>
        </w:tabs>
        <w:spacing/>
        <w:ind w:hanging="360" w:left="3600"/>
      </w:pPr>
      <w:rPr>
        <w:rFonts w:ascii="Wingdings" w:hAnsi="Wingdings"/>
        <w:sz w:val="20"/>
      </w:rPr>
      <w:start w:val="1"/>
      <w:suff w:val="tab"/>
    </w:lvl>
    <w:lvl w:ilvl="5">
      <w:isLgl w:val="false"/>
      <w:lvlJc w:val="left"/>
      <w:lvlText w:val=""/>
      <w:numFmt w:val="bullet"/>
      <w:pPr>
        <w:pBdr/>
        <w:tabs>
          <w:tab w:val="num" w:leader="none" w:pos="4320"/>
        </w:tabs>
        <w:spacing/>
        <w:ind w:hanging="360" w:left="4320"/>
      </w:pPr>
      <w:rPr>
        <w:rFonts w:ascii="Wingdings" w:hAnsi="Wingdings"/>
        <w:sz w:val="20"/>
      </w:rPr>
      <w:start w:val="1"/>
      <w:suff w:val="tab"/>
    </w:lvl>
    <w:lvl w:ilvl="6">
      <w:isLgl w:val="false"/>
      <w:lvlJc w:val="left"/>
      <w:lvlText w:val=""/>
      <w:numFmt w:val="bullet"/>
      <w:pPr>
        <w:pBdr/>
        <w:tabs>
          <w:tab w:val="num" w:leader="none" w:pos="5040"/>
        </w:tabs>
        <w:spacing/>
        <w:ind w:hanging="360" w:left="5040"/>
      </w:pPr>
      <w:rPr>
        <w:rFonts w:ascii="Wingdings" w:hAnsi="Wingdings"/>
        <w:sz w:val="20"/>
      </w:rPr>
      <w:start w:val="1"/>
      <w:suff w:val="tab"/>
    </w:lvl>
    <w:lvl w:ilvl="7">
      <w:isLgl w:val="false"/>
      <w:lvlJc w:val="left"/>
      <w:lvlText w:val=""/>
      <w:numFmt w:val="bullet"/>
      <w:pPr>
        <w:pBdr/>
        <w:tabs>
          <w:tab w:val="num" w:leader="none" w:pos="5760"/>
        </w:tabs>
        <w:spacing/>
        <w:ind w:hanging="360" w:left="5760"/>
      </w:pPr>
      <w:rPr>
        <w:rFonts w:ascii="Wingdings" w:hAnsi="Wingdings"/>
        <w:sz w:val="20"/>
      </w:rPr>
      <w:start w:val="1"/>
      <w:suff w:val="tab"/>
    </w:lvl>
    <w:lvl w:ilvl="8">
      <w:isLgl w:val="false"/>
      <w:lvlJc w:val="left"/>
      <w:lvlText w:val=""/>
      <w:numFmt w:val="bullet"/>
      <w:pPr>
        <w:pBdr/>
        <w:tabs>
          <w:tab w:val="num" w:leader="none" w:pos="6480"/>
        </w:tabs>
        <w:spacing/>
        <w:ind w:hanging="360" w:left="6480"/>
      </w:pPr>
      <w:rPr>
        <w:rFonts w:ascii="Wingdings" w:hAnsi="Wingdings"/>
        <w:sz w:val="20"/>
      </w:rPr>
      <w:start w:val="1"/>
      <w:suff w:val="tab"/>
    </w:lvl>
  </w:abstractNum>
  <w:abstractNum w:abstractNumId="43">
    <w:nsid w:val="54B1569D"/>
    <w:lvl w:ilvl="0">
      <w:isLgl w:val="false"/>
      <w:lvlJc w:val="left"/>
      <w:lvlText w:val="%1."/>
      <w:numFmt w:val="decimal"/>
      <w:pPr>
        <w:pBdr/>
        <w:spacing/>
        <w:ind w:hanging="360" w:left="502"/>
      </w:pPr>
      <w:rPr/>
      <w:start w:val="1"/>
      <w:suff w:val="tab"/>
    </w:lvl>
    <w:lvl w:ilvl="1">
      <w:isLgl w:val="false"/>
      <w:lvlJc w:val="left"/>
      <w:lvlText w:val="%2."/>
      <w:numFmt w:val="lowerLetter"/>
      <w:pPr>
        <w:pBdr/>
        <w:spacing/>
        <w:ind w:hanging="360" w:left="938"/>
      </w:pPr>
      <w:rPr/>
      <w:start w:val="1"/>
      <w:suff w:val="tab"/>
    </w:lvl>
    <w:lvl w:ilvl="2">
      <w:isLgl w:val="false"/>
      <w:lvlJc w:val="right"/>
      <w:lvlText w:val="%3."/>
      <w:numFmt w:val="lowerRoman"/>
      <w:pPr>
        <w:pBdr/>
        <w:spacing/>
        <w:ind w:hanging="180" w:left="1658"/>
      </w:pPr>
      <w:rPr/>
      <w:start w:val="1"/>
      <w:suff w:val="tab"/>
    </w:lvl>
    <w:lvl w:ilvl="3">
      <w:isLgl w:val="false"/>
      <w:lvlJc w:val="left"/>
      <w:lvlText w:val="%4."/>
      <w:numFmt w:val="decimal"/>
      <w:pPr>
        <w:pBdr/>
        <w:spacing/>
        <w:ind w:hanging="360" w:left="2378"/>
      </w:pPr>
      <w:rPr/>
      <w:start w:val="1"/>
      <w:suff w:val="tab"/>
    </w:lvl>
    <w:lvl w:ilvl="4">
      <w:isLgl w:val="false"/>
      <w:lvlJc w:val="left"/>
      <w:lvlText w:val="%5."/>
      <w:numFmt w:val="lowerLetter"/>
      <w:pPr>
        <w:pBdr/>
        <w:spacing/>
        <w:ind w:hanging="360" w:left="3098"/>
      </w:pPr>
      <w:rPr/>
      <w:start w:val="1"/>
      <w:suff w:val="tab"/>
    </w:lvl>
    <w:lvl w:ilvl="5">
      <w:isLgl w:val="false"/>
      <w:lvlJc w:val="right"/>
      <w:lvlText w:val="%6."/>
      <w:numFmt w:val="lowerRoman"/>
      <w:pPr>
        <w:pBdr/>
        <w:spacing/>
        <w:ind w:hanging="180" w:left="3818"/>
      </w:pPr>
      <w:rPr/>
      <w:start w:val="1"/>
      <w:suff w:val="tab"/>
    </w:lvl>
    <w:lvl w:ilvl="6">
      <w:isLgl w:val="false"/>
      <w:lvlJc w:val="left"/>
      <w:lvlText w:val="%7."/>
      <w:numFmt w:val="decimal"/>
      <w:pPr>
        <w:pBdr/>
        <w:spacing/>
        <w:ind w:hanging="360" w:left="4538"/>
      </w:pPr>
      <w:rPr/>
      <w:start w:val="1"/>
      <w:suff w:val="tab"/>
    </w:lvl>
    <w:lvl w:ilvl="7">
      <w:isLgl w:val="false"/>
      <w:lvlJc w:val="left"/>
      <w:lvlText w:val="%8."/>
      <w:numFmt w:val="lowerLetter"/>
      <w:pPr>
        <w:pBdr/>
        <w:spacing/>
        <w:ind w:hanging="360" w:left="5258"/>
      </w:pPr>
      <w:rPr/>
      <w:start w:val="1"/>
      <w:suff w:val="tab"/>
    </w:lvl>
    <w:lvl w:ilvl="8">
      <w:isLgl w:val="false"/>
      <w:lvlJc w:val="right"/>
      <w:lvlText w:val="%9."/>
      <w:numFmt w:val="lowerRoman"/>
      <w:pPr>
        <w:pBdr/>
        <w:spacing/>
        <w:ind w:hanging="180" w:left="5978"/>
      </w:pPr>
      <w:rPr/>
      <w:start w:val="1"/>
      <w:suff w:val="tab"/>
    </w:lvl>
  </w:abstractNum>
  <w:abstractNum w:abstractNumId="44">
    <w:nsid w:val="675A470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5">
    <w:nsid w:val="6CAB26C6"/>
    <w:lvl w:ilvl="0">
      <w:isLgl w:val="false"/>
      <w:lvlJc w:val="left"/>
      <w:lvlText w:val=""/>
      <w:numFmt w:val="bullet"/>
      <w:pPr>
        <w:pBdr/>
        <w:tabs>
          <w:tab w:val="num" w:leader="none" w:pos="720"/>
        </w:tabs>
        <w:spacing/>
        <w:ind w:hanging="360" w:left="720"/>
      </w:pPr>
      <w:rPr>
        <w:rFonts w:ascii="Symbol" w:hAnsi="Symbol"/>
        <w:sz w:val="20"/>
      </w:rPr>
      <w:start w:val="1"/>
      <w:suff w:val="tab"/>
    </w:lvl>
    <w:lvl w:ilvl="1">
      <w:isLgl w:val="false"/>
      <w:lvlJc w:val="left"/>
      <w:lvlText w:val="o"/>
      <w:numFmt w:val="bullet"/>
      <w:pPr>
        <w:pBdr/>
        <w:tabs>
          <w:tab w:val="num" w:leader="none" w:pos="1440"/>
        </w:tabs>
        <w:spacing/>
        <w:ind w:hanging="360" w:left="1440"/>
      </w:pPr>
      <w:rPr>
        <w:rFonts w:ascii="Courier New" w:hAnsi="Courier New"/>
        <w:sz w:val="20"/>
      </w:rPr>
      <w:start w:val="1"/>
      <w:suff w:val="tab"/>
    </w:lvl>
    <w:lvl w:ilvl="2">
      <w:isLgl w:val="false"/>
      <w:lvlJc w:val="left"/>
      <w:lvlText w:val=""/>
      <w:numFmt w:val="bullet"/>
      <w:pPr>
        <w:pBdr/>
        <w:tabs>
          <w:tab w:val="num" w:leader="none" w:pos="2160"/>
        </w:tabs>
        <w:spacing/>
        <w:ind w:hanging="360" w:left="2160"/>
      </w:pPr>
      <w:rPr>
        <w:rFonts w:ascii="Wingdings" w:hAnsi="Wingdings"/>
        <w:sz w:val="20"/>
      </w:rPr>
      <w:start w:val="1"/>
      <w:suff w:val="tab"/>
    </w:lvl>
    <w:lvl w:ilvl="3">
      <w:isLgl w:val="false"/>
      <w:lvlJc w:val="left"/>
      <w:lvlText w:val=""/>
      <w:numFmt w:val="bullet"/>
      <w:pPr>
        <w:pBdr/>
        <w:tabs>
          <w:tab w:val="num" w:leader="none" w:pos="2880"/>
        </w:tabs>
        <w:spacing/>
        <w:ind w:hanging="360" w:left="2880"/>
      </w:pPr>
      <w:rPr>
        <w:rFonts w:ascii="Wingdings" w:hAnsi="Wingdings"/>
        <w:sz w:val="20"/>
      </w:rPr>
      <w:start w:val="1"/>
      <w:suff w:val="tab"/>
    </w:lvl>
    <w:lvl w:ilvl="4">
      <w:isLgl w:val="false"/>
      <w:lvlJc w:val="left"/>
      <w:lvlText w:val=""/>
      <w:numFmt w:val="bullet"/>
      <w:pPr>
        <w:pBdr/>
        <w:tabs>
          <w:tab w:val="num" w:leader="none" w:pos="3600"/>
        </w:tabs>
        <w:spacing/>
        <w:ind w:hanging="360" w:left="3600"/>
      </w:pPr>
      <w:rPr>
        <w:rFonts w:ascii="Wingdings" w:hAnsi="Wingdings"/>
        <w:sz w:val="20"/>
      </w:rPr>
      <w:start w:val="1"/>
      <w:suff w:val="tab"/>
    </w:lvl>
    <w:lvl w:ilvl="5">
      <w:isLgl w:val="false"/>
      <w:lvlJc w:val="left"/>
      <w:lvlText w:val=""/>
      <w:numFmt w:val="bullet"/>
      <w:pPr>
        <w:pBdr/>
        <w:tabs>
          <w:tab w:val="num" w:leader="none" w:pos="4320"/>
        </w:tabs>
        <w:spacing/>
        <w:ind w:hanging="360" w:left="4320"/>
      </w:pPr>
      <w:rPr>
        <w:rFonts w:ascii="Wingdings" w:hAnsi="Wingdings"/>
        <w:sz w:val="20"/>
      </w:rPr>
      <w:start w:val="1"/>
      <w:suff w:val="tab"/>
    </w:lvl>
    <w:lvl w:ilvl="6">
      <w:isLgl w:val="false"/>
      <w:lvlJc w:val="left"/>
      <w:lvlText w:val=""/>
      <w:numFmt w:val="bullet"/>
      <w:pPr>
        <w:pBdr/>
        <w:tabs>
          <w:tab w:val="num" w:leader="none" w:pos="5040"/>
        </w:tabs>
        <w:spacing/>
        <w:ind w:hanging="360" w:left="5040"/>
      </w:pPr>
      <w:rPr>
        <w:rFonts w:ascii="Wingdings" w:hAnsi="Wingdings"/>
        <w:sz w:val="20"/>
      </w:rPr>
      <w:start w:val="1"/>
      <w:suff w:val="tab"/>
    </w:lvl>
    <w:lvl w:ilvl="7">
      <w:isLgl w:val="false"/>
      <w:lvlJc w:val="left"/>
      <w:lvlText w:val=""/>
      <w:numFmt w:val="bullet"/>
      <w:pPr>
        <w:pBdr/>
        <w:tabs>
          <w:tab w:val="num" w:leader="none" w:pos="5760"/>
        </w:tabs>
        <w:spacing/>
        <w:ind w:hanging="360" w:left="5760"/>
      </w:pPr>
      <w:rPr>
        <w:rFonts w:ascii="Wingdings" w:hAnsi="Wingdings"/>
        <w:sz w:val="20"/>
      </w:rPr>
      <w:start w:val="1"/>
      <w:suff w:val="tab"/>
    </w:lvl>
    <w:lvl w:ilvl="8">
      <w:isLgl w:val="false"/>
      <w:lvlJc w:val="left"/>
      <w:lvlText w:val=""/>
      <w:numFmt w:val="bullet"/>
      <w:pPr>
        <w:pBdr/>
        <w:tabs>
          <w:tab w:val="num" w:leader="none" w:pos="6480"/>
        </w:tabs>
        <w:spacing/>
        <w:ind w:hanging="360" w:left="6480"/>
      </w:pPr>
      <w:rPr>
        <w:rFonts w:ascii="Wingdings" w:hAnsi="Wingdings"/>
        <w:sz w:val="20"/>
      </w:rPr>
      <w:start w:val="1"/>
      <w:suff w:val="tab"/>
    </w:lvl>
  </w:abstractNum>
  <w:abstractNum w:abstractNumId="46">
    <w:nsid w:val="6CDA466B"/>
    <w:lvl w:ilvl="0">
      <w:isLgl w:val="false"/>
      <w:lvlJc w:val="left"/>
      <w:lvlText w:val="1.%1."/>
      <w:numFmt w:val="decimal"/>
      <w:pPr>
        <w:pBdr/>
        <w:spacing/>
        <w:ind/>
      </w:pPr>
      <w:rPr>
        <w:rFonts w:ascii="Bookman Old Style" w:hAnsi="Bookman Old Style" w:eastAsia="Bookman Old Style" w:cs="Bookman Old Style"/>
        <w:b w:val="0"/>
        <w:bCs/>
        <w:i w:val="0"/>
        <w:iCs w:val="0"/>
        <w:smallCaps w:val="0"/>
        <w:strike w:val="0"/>
        <w:color w:val="000000"/>
        <w:spacing w:val="1"/>
        <w:position w:val="0"/>
        <w:sz w:val="22"/>
        <w:szCs w:val="22"/>
        <w:u w:val="none"/>
        <w:lang w:val="ru-RU" w:eastAsia="ru-RU" w:bidi="ru-RU"/>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47">
    <w:nsid w:val="6F77005A"/>
    <w:lvl w:ilvl="0">
      <w:isLgl w:val="false"/>
      <w:lvlJc w:val="left"/>
      <w:lvlText w:val="%1."/>
      <w:numFmt w:val="decimal"/>
      <w:pPr>
        <w:pBdr/>
        <w:spacing/>
        <w:ind w:hanging="360" w:left="862"/>
      </w:pPr>
      <w:rPr>
        <w:b/>
        <w:i/>
        <w:sz w:val="24"/>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48">
    <w:nsid w:val="75062DD3"/>
    <w:lvl w:ilvl="0">
      <w:isLgl w:val="false"/>
      <w:lvlJc w:val="left"/>
      <w:lvlText w:val="%1."/>
      <w:numFmt w:val="decimal"/>
      <w:pPr>
        <w:pBdr/>
        <w:spacing/>
        <w:ind w:hanging="360" w:left="360"/>
      </w:pPr>
      <w:rPr>
        <w:rFonts w:ascii="Times New Roman" w:hAnsi="Times New Roman" w:cs="Times New Roman"/>
        <w:b/>
        <w:sz w:val="24"/>
        <w:szCs w:val="24"/>
      </w:rPr>
      <w:start w:val="1"/>
      <w:suff w:val="tab"/>
    </w:lvl>
    <w:lvl w:ilvl="1">
      <w:isLgl w:val="false"/>
      <w:lvlJc w:val="left"/>
      <w:lvlText w:val="%1.%2."/>
      <w:numFmt w:val="decimal"/>
      <w:pPr>
        <w:pBdr/>
        <w:tabs>
          <w:tab w:val="num" w:leader="none" w:pos="992"/>
        </w:tabs>
        <w:spacing/>
        <w:ind w:hanging="432" w:left="1000"/>
      </w:pPr>
      <w:rPr>
        <w:rFonts w:ascii="Times New Roman" w:hAnsi="Times New Roman" w:cs="Times New Roman"/>
        <w:b/>
        <w:sz w:val="24"/>
        <w:szCs w:val="24"/>
      </w:rPr>
      <w:start w:val="1"/>
      <w:suff w:val="tab"/>
    </w:lvl>
    <w:lvl w:ilvl="2">
      <w:isLgl w:val="false"/>
      <w:lvlJc w:val="left"/>
      <w:lvlText w:val="%1.%2.%3."/>
      <w:numFmt w:val="decimal"/>
      <w:pPr>
        <w:pBdr/>
        <w:tabs>
          <w:tab w:val="num" w:leader="none" w:pos="708"/>
        </w:tabs>
        <w:spacing/>
        <w:ind w:hanging="504" w:left="646"/>
      </w:pPr>
      <w:rPr>
        <w:rFonts w:ascii="Times New Roman" w:hAnsi="Times New Roman" w:cs="Times New Roman"/>
        <w:sz w:val="24"/>
        <w:szCs w:val="24"/>
      </w:rPr>
      <w:start w:val="1"/>
      <w:suff w:val="tab"/>
    </w:lvl>
    <w:lvl w:ilvl="3">
      <w:isLgl w:val="false"/>
      <w:lvlJc w:val="left"/>
      <w:lvlText w:val="%1.%2.%3.%4."/>
      <w:numFmt w:val="decimal"/>
      <w:pPr>
        <w:pBdr/>
        <w:spacing/>
        <w:ind w:hanging="648" w:left="648"/>
      </w:pPr>
      <w:rPr>
        <w:rFonts w:ascii="Times New Roman" w:hAnsi="Times New Roman" w:cs="Times New Roman"/>
        <w:sz w:val="24"/>
        <w:szCs w:val="24"/>
      </w:rPr>
      <w:start w:val="1"/>
      <w:suff w:val="tab"/>
    </w:lvl>
    <w:lvl w:ilvl="4">
      <w:isLgl w:val="false"/>
      <w:lvlJc w:val="left"/>
      <w:lvlText w:val="%1.%2.%3.%4.%5."/>
      <w:numFmt w:val="decimal"/>
      <w:pPr>
        <w:pBdr/>
        <w:spacing/>
        <w:ind w:hanging="792" w:left="2069"/>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49">
    <w:nsid w:val="7D394CC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39"/>
  </w:num>
  <w:num w:numId="2">
    <w:abstractNumId w:val="4"/>
  </w:num>
  <w:num w:numId="3">
    <w:abstractNumId w:val="0"/>
  </w:num>
  <w:num w:numId="4">
    <w:abstractNumId w:val="26"/>
  </w:num>
  <w:num w:numId="5">
    <w:abstractNumId w:val="33"/>
  </w:num>
  <w:num w:numId="6">
    <w:abstractNumId w:val="16"/>
  </w:num>
  <w:num w:numId="7">
    <w:abstractNumId w:val="48"/>
  </w:num>
  <w:num w:numId="8">
    <w:abstractNumId w:val="27"/>
  </w:num>
  <w:num w:numId="9">
    <w:abstractNumId w:val="46"/>
  </w:num>
  <w:num w:numId="10">
    <w:abstractNumId w:val="22"/>
  </w:num>
  <w:num w:numId="11">
    <w:abstractNumId w:val="38"/>
  </w:num>
  <w:num w:numId="12">
    <w:abstractNumId w:val="31"/>
  </w:num>
  <w:num w:numId="13">
    <w:abstractNumId w:val="21"/>
  </w:num>
  <w:num w:numId="14">
    <w:abstractNumId w:val="18"/>
  </w:num>
  <w:num w:numId="15">
    <w:abstractNumId w:val="28"/>
  </w:num>
  <w:num w:numId="16">
    <w:abstractNumId w:val="24"/>
  </w:num>
  <w:num w:numId="17">
    <w:abstractNumId w:val="14"/>
  </w:num>
  <w:num w:numId="18">
    <w:abstractNumId w:val="17"/>
  </w:num>
  <w:num w:numId="19">
    <w:abstractNumId w:val="3"/>
  </w:num>
  <w:num w:numId="20">
    <w:abstractNumId w:val="2"/>
  </w:num>
  <w:num w:numId="21">
    <w:abstractNumId w:val="20"/>
  </w:num>
  <w:num w:numId="22">
    <w:abstractNumId w:val="15"/>
  </w:num>
  <w:num w:numId="23">
    <w:abstractNumId w:val="7"/>
  </w:num>
  <w:num w:numId="24">
    <w:abstractNumId w:val="49"/>
  </w:num>
  <w:num w:numId="25">
    <w:abstractNumId w:val="30"/>
  </w:num>
  <w:num w:numId="26">
    <w:abstractNumId w:val="40"/>
  </w:num>
  <w:num w:numId="27">
    <w:abstractNumId w:val="1"/>
  </w:num>
  <w:num w:numId="28">
    <w:abstractNumId w:val="44"/>
  </w:num>
  <w:num w:numId="29">
    <w:abstractNumId w:val="29"/>
  </w:num>
  <w:num w:numId="30">
    <w:abstractNumId w:val="10"/>
  </w:num>
  <w:num w:numId="31">
    <w:abstractNumId w:val="9"/>
  </w:num>
  <w:num w:numId="32">
    <w:abstractNumId w:val="37"/>
  </w:num>
  <w:num w:numId="33">
    <w:abstractNumId w:val="42"/>
  </w:num>
  <w:num w:numId="34">
    <w:abstractNumId w:val="45"/>
  </w:num>
  <w:num w:numId="35">
    <w:abstractNumId w:val="11"/>
  </w:num>
  <w:num w:numId="36">
    <w:abstractNumId w:val="34"/>
  </w:num>
  <w:num w:numId="37">
    <w:abstractNumId w:val="23"/>
  </w:num>
  <w:num w:numId="38">
    <w:abstractNumId w:val="32"/>
  </w:num>
  <w:num w:numId="39">
    <w:abstractNumId w:val="43"/>
  </w:num>
  <w:num w:numId="40">
    <w:abstractNumId w:val="19"/>
  </w:num>
  <w:num w:numId="41">
    <w:abstractNumId w:val="47"/>
  </w:num>
  <w:num w:numId="42">
    <w:abstractNumId w:val="25"/>
  </w:num>
  <w:num w:numId="43">
    <w:abstractNumId w:val="13"/>
  </w:num>
  <w:num w:numId="44">
    <w:abstractNumId w:val="36"/>
  </w:num>
  <w:num w:numId="45">
    <w:abstractNumId w:val="6"/>
  </w:num>
  <w:num w:numId="46">
    <w:abstractNumId w:val="12"/>
  </w:num>
  <w:num w:numId="47">
    <w:abstractNumId w:val="35"/>
  </w:num>
  <w:num w:numId="48">
    <w:abstractNumId w:val="8"/>
  </w:num>
  <w:num w:numId="49">
    <w:abstractNumId w:val="41"/>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00" w:default="1">
    <w:name w:val="Normal"/>
    <w:qFormat/>
    <w:pPr>
      <w:pBdr/>
      <w:spacing/>
      <w:ind/>
    </w:pPr>
    <w:rPr>
      <w:sz w:val="24"/>
      <w:szCs w:val="24"/>
      <w:lang w:eastAsia="ru-RU"/>
    </w:rPr>
  </w:style>
  <w:style w:type="paragraph" w:styleId="801">
    <w:name w:val="Heading 1"/>
    <w:basedOn w:val="800"/>
    <w:next w:val="800"/>
    <w:link w:val="1037"/>
    <w:uiPriority w:val="99"/>
    <w:qFormat/>
    <w:pPr>
      <w:keepNext w:val="true"/>
      <w:pBdr/>
      <w:spacing w:after="60" w:before="240"/>
      <w:ind/>
      <w:outlineLvl w:val="0"/>
    </w:pPr>
    <w:rPr>
      <w:rFonts w:ascii="Arial" w:hAnsi="Arial"/>
      <w:b/>
      <w:bCs/>
      <w:sz w:val="32"/>
      <w:szCs w:val="32"/>
      <w:lang w:val="en-US" w:eastAsia="en-US"/>
    </w:rPr>
  </w:style>
  <w:style w:type="paragraph" w:styleId="802">
    <w:name w:val="Heading 2"/>
    <w:basedOn w:val="800"/>
    <w:next w:val="800"/>
    <w:link w:val="950"/>
    <w:uiPriority w:val="9"/>
    <w:unhideWhenUsed/>
    <w:qFormat/>
    <w:pPr>
      <w:keepNext w:val="true"/>
      <w:keepLines w:val="true"/>
      <w:pBdr/>
      <w:spacing w:after="80" w:before="160"/>
      <w:ind/>
      <w:outlineLvl w:val="1"/>
    </w:pPr>
    <w:rPr>
      <w:rFonts w:ascii="Arial" w:hAnsi="Arial" w:eastAsia="Arial" w:cs="Arial"/>
      <w:color w:val="365f91" w:themeColor="accent1" w:themeShade="BF"/>
      <w:sz w:val="32"/>
      <w:szCs w:val="32"/>
    </w:rPr>
  </w:style>
  <w:style w:type="paragraph" w:styleId="803">
    <w:name w:val="Heading 3"/>
    <w:basedOn w:val="800"/>
    <w:next w:val="800"/>
    <w:link w:val="1038"/>
    <w:uiPriority w:val="9"/>
    <w:qFormat/>
    <w:pPr>
      <w:keepNext w:val="true"/>
      <w:pBdr/>
      <w:spacing w:after="60" w:before="240"/>
      <w:ind/>
      <w:outlineLvl w:val="2"/>
    </w:pPr>
    <w:rPr>
      <w:rFonts w:ascii="Arial" w:hAnsi="Arial" w:eastAsia="Calibri"/>
      <w:b/>
      <w:bCs/>
      <w:sz w:val="26"/>
      <w:szCs w:val="26"/>
      <w:lang w:val="en-US" w:eastAsia="en-US"/>
    </w:rPr>
  </w:style>
  <w:style w:type="paragraph" w:styleId="804">
    <w:name w:val="Heading 4"/>
    <w:basedOn w:val="800"/>
    <w:next w:val="800"/>
    <w:link w:val="1039"/>
    <w:qFormat/>
    <w:pPr>
      <w:keepNext w:val="true"/>
      <w:pBdr/>
      <w:spacing w:after="60" w:before="240"/>
      <w:ind/>
      <w:outlineLvl w:val="3"/>
    </w:pPr>
    <w:rPr>
      <w:b/>
      <w:bCs/>
      <w:sz w:val="28"/>
      <w:szCs w:val="28"/>
      <w:lang w:val="en-US" w:eastAsia="en-US"/>
    </w:rPr>
  </w:style>
  <w:style w:type="paragraph" w:styleId="805">
    <w:name w:val="Heading 5"/>
    <w:basedOn w:val="800"/>
    <w:next w:val="800"/>
    <w:link w:val="952"/>
    <w:uiPriority w:val="9"/>
    <w:unhideWhenUsed/>
    <w:qFormat/>
    <w:pPr>
      <w:keepNext w:val="true"/>
      <w:keepLines w:val="true"/>
      <w:pBdr/>
      <w:spacing w:after="40" w:before="80"/>
      <w:ind/>
      <w:outlineLvl w:val="4"/>
    </w:pPr>
    <w:rPr>
      <w:rFonts w:ascii="Arial" w:hAnsi="Arial" w:eastAsia="Arial" w:cs="Arial"/>
      <w:color w:val="365f91" w:themeColor="accent1" w:themeShade="BF"/>
    </w:rPr>
  </w:style>
  <w:style w:type="paragraph" w:styleId="806">
    <w:name w:val="Heading 6"/>
    <w:basedOn w:val="800"/>
    <w:next w:val="800"/>
    <w:link w:val="953"/>
    <w:uiPriority w:val="9"/>
    <w:unhideWhenUsed/>
    <w:qFormat/>
    <w:pPr>
      <w:keepNext w:val="true"/>
      <w:keepLines w:val="true"/>
      <w:pBdr/>
      <w:spacing w:before="40"/>
      <w:ind/>
      <w:outlineLvl w:val="5"/>
    </w:pPr>
    <w:rPr>
      <w:rFonts w:ascii="Arial" w:hAnsi="Arial" w:eastAsia="Arial" w:cs="Arial"/>
      <w:i/>
      <w:iCs/>
      <w:color w:val="595959" w:themeColor="text1" w:themeTint="A6"/>
    </w:rPr>
  </w:style>
  <w:style w:type="paragraph" w:styleId="807">
    <w:name w:val="Heading 7"/>
    <w:basedOn w:val="800"/>
    <w:next w:val="800"/>
    <w:link w:val="954"/>
    <w:uiPriority w:val="9"/>
    <w:unhideWhenUsed/>
    <w:qFormat/>
    <w:pPr>
      <w:keepNext w:val="true"/>
      <w:keepLines w:val="true"/>
      <w:pBdr/>
      <w:spacing w:before="40"/>
      <w:ind/>
      <w:outlineLvl w:val="6"/>
    </w:pPr>
    <w:rPr>
      <w:rFonts w:ascii="Arial" w:hAnsi="Arial" w:eastAsia="Arial" w:cs="Arial"/>
      <w:color w:val="595959" w:themeColor="text1" w:themeTint="A6"/>
    </w:rPr>
  </w:style>
  <w:style w:type="paragraph" w:styleId="808">
    <w:name w:val="Heading 8"/>
    <w:basedOn w:val="800"/>
    <w:next w:val="800"/>
    <w:link w:val="955"/>
    <w:uiPriority w:val="9"/>
    <w:unhideWhenUsed/>
    <w:qFormat/>
    <w:pPr>
      <w:keepNext w:val="true"/>
      <w:keepLines w:val="true"/>
      <w:pBdr/>
      <w:spacing/>
      <w:ind/>
      <w:outlineLvl w:val="7"/>
    </w:pPr>
    <w:rPr>
      <w:rFonts w:ascii="Arial" w:hAnsi="Arial" w:eastAsia="Arial" w:cs="Arial"/>
      <w:i/>
      <w:iCs/>
      <w:color w:val="272727" w:themeColor="text1" w:themeTint="D8"/>
    </w:rPr>
  </w:style>
  <w:style w:type="paragraph" w:styleId="809">
    <w:name w:val="Heading 9"/>
    <w:basedOn w:val="800"/>
    <w:next w:val="800"/>
    <w:link w:val="956"/>
    <w:uiPriority w:val="9"/>
    <w:unhideWhenUsed/>
    <w:qFormat/>
    <w:pPr>
      <w:keepNext w:val="true"/>
      <w:keepLines w:val="true"/>
      <w:pBdr/>
      <w:spacing/>
      <w:ind/>
      <w:outlineLvl w:val="8"/>
    </w:pPr>
    <w:rPr>
      <w:rFonts w:ascii="Arial" w:hAnsi="Arial" w:eastAsia="Arial" w:cs="Arial"/>
      <w:i/>
      <w:iCs/>
      <w:color w:val="272727" w:themeColor="text1" w:themeTint="D8"/>
    </w:rPr>
  </w:style>
  <w:style w:type="character" w:styleId="810" w:default="1">
    <w:name w:val="Default Paragraph Font"/>
    <w:uiPriority w:val="1"/>
    <w:semiHidden/>
    <w:unhideWhenUsed/>
    <w:pPr>
      <w:pBdr/>
      <w:spacing/>
      <w:ind/>
    </w:pPr>
  </w:style>
  <w:style w:type="table" w:styleId="8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12" w:default="1">
    <w:name w:val="No List"/>
    <w:uiPriority w:val="99"/>
    <w:semiHidden/>
    <w:unhideWhenUsed/>
    <w:pPr>
      <w:pBdr/>
      <w:spacing/>
      <w:ind/>
    </w:pPr>
  </w:style>
  <w:style w:type="character" w:styleId="813" w:customStyle="1">
    <w:name w:val="Heading 2 Char"/>
    <w:basedOn w:val="810"/>
    <w:uiPriority w:val="9"/>
    <w:pPr>
      <w:pBdr/>
      <w:spacing/>
      <w:ind/>
    </w:pPr>
    <w:rPr>
      <w:rFonts w:ascii="Arial" w:hAnsi="Arial" w:eastAsia="Arial" w:cs="Arial"/>
      <w:color w:val="365f91" w:themeColor="accent1" w:themeShade="BF"/>
      <w:sz w:val="32"/>
      <w:szCs w:val="32"/>
    </w:rPr>
  </w:style>
  <w:style w:type="character" w:styleId="814" w:customStyle="1">
    <w:name w:val="Heading 5 Char"/>
    <w:basedOn w:val="810"/>
    <w:uiPriority w:val="9"/>
    <w:pPr>
      <w:pBdr/>
      <w:spacing/>
      <w:ind/>
    </w:pPr>
    <w:rPr>
      <w:rFonts w:ascii="Arial" w:hAnsi="Arial" w:eastAsia="Arial" w:cs="Arial"/>
      <w:color w:val="365f91" w:themeColor="accent1" w:themeShade="BF"/>
    </w:rPr>
  </w:style>
  <w:style w:type="character" w:styleId="815" w:customStyle="1">
    <w:name w:val="Heading 6 Char"/>
    <w:basedOn w:val="810"/>
    <w:uiPriority w:val="9"/>
    <w:pPr>
      <w:pBdr/>
      <w:spacing/>
      <w:ind/>
    </w:pPr>
    <w:rPr>
      <w:rFonts w:ascii="Arial" w:hAnsi="Arial" w:eastAsia="Arial" w:cs="Arial"/>
      <w:i/>
      <w:iCs/>
      <w:color w:val="595959" w:themeColor="text1" w:themeTint="A6"/>
    </w:rPr>
  </w:style>
  <w:style w:type="character" w:styleId="816" w:customStyle="1">
    <w:name w:val="Heading 7 Char"/>
    <w:basedOn w:val="810"/>
    <w:uiPriority w:val="9"/>
    <w:pPr>
      <w:pBdr/>
      <w:spacing/>
      <w:ind/>
    </w:pPr>
    <w:rPr>
      <w:rFonts w:ascii="Arial" w:hAnsi="Arial" w:eastAsia="Arial" w:cs="Arial"/>
      <w:color w:val="595959" w:themeColor="text1" w:themeTint="A6"/>
    </w:rPr>
  </w:style>
  <w:style w:type="character" w:styleId="817" w:customStyle="1">
    <w:name w:val="Heading 8 Char"/>
    <w:basedOn w:val="810"/>
    <w:uiPriority w:val="9"/>
    <w:pPr>
      <w:pBdr/>
      <w:spacing/>
      <w:ind/>
    </w:pPr>
    <w:rPr>
      <w:rFonts w:ascii="Arial" w:hAnsi="Arial" w:eastAsia="Arial" w:cs="Arial"/>
      <w:i/>
      <w:iCs/>
      <w:color w:val="272727" w:themeColor="text1" w:themeTint="D8"/>
    </w:rPr>
  </w:style>
  <w:style w:type="character" w:styleId="818" w:customStyle="1">
    <w:name w:val="Heading 9 Char"/>
    <w:basedOn w:val="810"/>
    <w:uiPriority w:val="9"/>
    <w:pPr>
      <w:pBdr/>
      <w:spacing/>
      <w:ind/>
    </w:pPr>
    <w:rPr>
      <w:rFonts w:ascii="Arial" w:hAnsi="Arial" w:eastAsia="Arial" w:cs="Arial"/>
      <w:i/>
      <w:iCs/>
      <w:color w:val="272727" w:themeColor="text1" w:themeTint="D8"/>
    </w:rPr>
  </w:style>
  <w:style w:type="character" w:styleId="819" w:customStyle="1">
    <w:name w:val="Title Char"/>
    <w:basedOn w:val="810"/>
    <w:uiPriority w:val="10"/>
    <w:pPr>
      <w:pBdr/>
      <w:spacing/>
      <w:ind/>
    </w:pPr>
    <w:rPr>
      <w:rFonts w:ascii="Arial" w:hAnsi="Arial" w:eastAsia="Arial" w:cs="Arial"/>
      <w:spacing w:val="-10"/>
      <w:sz w:val="56"/>
      <w:szCs w:val="56"/>
    </w:rPr>
  </w:style>
  <w:style w:type="character" w:styleId="820" w:customStyle="1">
    <w:name w:val="Subtitle Char"/>
    <w:basedOn w:val="810"/>
    <w:uiPriority w:val="11"/>
    <w:pPr>
      <w:pBdr/>
      <w:spacing/>
      <w:ind/>
    </w:pPr>
    <w:rPr>
      <w:color w:val="595959" w:themeColor="text1" w:themeTint="A6"/>
      <w:spacing w:val="15"/>
      <w:sz w:val="28"/>
      <w:szCs w:val="28"/>
    </w:rPr>
  </w:style>
  <w:style w:type="character" w:styleId="821" w:customStyle="1">
    <w:name w:val="Quote Char"/>
    <w:basedOn w:val="810"/>
    <w:uiPriority w:val="29"/>
    <w:pPr>
      <w:pBdr/>
      <w:spacing/>
      <w:ind/>
    </w:pPr>
    <w:rPr>
      <w:i/>
      <w:iCs/>
      <w:color w:val="404040" w:themeColor="text1" w:themeTint="BF"/>
    </w:rPr>
  </w:style>
  <w:style w:type="character" w:styleId="822" w:customStyle="1">
    <w:name w:val="Intense Quote Char"/>
    <w:basedOn w:val="810"/>
    <w:uiPriority w:val="30"/>
    <w:pPr>
      <w:pBdr/>
      <w:spacing/>
      <w:ind/>
    </w:pPr>
    <w:rPr>
      <w:i/>
      <w:iCs/>
      <w:color w:val="365f91" w:themeColor="accent1" w:themeShade="BF"/>
    </w:rPr>
  </w:style>
  <w:style w:type="table" w:styleId="823">
    <w:name w:val="Table Grid"/>
    <w:basedOn w:val="811"/>
    <w:uiPriority w:val="59"/>
    <w:pPr>
      <w:pBdr/>
      <w:spacing/>
      <w:ind/>
    </w:pPr>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Table Grid Light"/>
    <w:basedOn w:val="81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Plain Table 1"/>
    <w:basedOn w:val="81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Plain Table 2"/>
    <w:basedOn w:val="811"/>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Plain Table 3"/>
    <w:basedOn w:val="81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Plain Table 4"/>
    <w:basedOn w:val="81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Plain Table 5"/>
    <w:basedOn w:val="81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1 Light"/>
    <w:basedOn w:val="811"/>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1 Light - Accent 1"/>
    <w:basedOn w:val="811"/>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1 Light - Accent 2"/>
    <w:basedOn w:val="811"/>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1 Light - Accent 3"/>
    <w:basedOn w:val="811"/>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1 Light - Accent 4"/>
    <w:basedOn w:val="811"/>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1 Light - Accent 5"/>
    <w:basedOn w:val="811"/>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1 Light - Accent 6"/>
    <w:basedOn w:val="811"/>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2"/>
    <w:basedOn w:val="81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2 - Accent 1"/>
    <w:basedOn w:val="81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2 - Accent 2"/>
    <w:basedOn w:val="81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2 - Accent 3"/>
    <w:basedOn w:val="81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2 - Accent 4"/>
    <w:basedOn w:val="81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2 - Accent 5"/>
    <w:basedOn w:val="81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2 - Accent 6"/>
    <w:basedOn w:val="81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3"/>
    <w:basedOn w:val="81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3 - Accent 1"/>
    <w:basedOn w:val="81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3 - Accent 2"/>
    <w:basedOn w:val="81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3 - Accent 3"/>
    <w:basedOn w:val="81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3 - Accent 4"/>
    <w:basedOn w:val="81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3 - Accent 5"/>
    <w:basedOn w:val="81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3 - Accent 6"/>
    <w:basedOn w:val="81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4"/>
    <w:basedOn w:val="811"/>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4 - Accent 1"/>
    <w:basedOn w:val="811"/>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4 - Accent 2"/>
    <w:basedOn w:val="811"/>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4 - Accent 3"/>
    <w:basedOn w:val="811"/>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4 - Accent 4"/>
    <w:basedOn w:val="811"/>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4 - Accent 5"/>
    <w:basedOn w:val="811"/>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4 - Accent 6"/>
    <w:basedOn w:val="811"/>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5 Dark"/>
    <w:basedOn w:val="81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5 Dark- Accent 1"/>
    <w:basedOn w:val="81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5 Dark - Accent 2"/>
    <w:basedOn w:val="81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5 Dark - Accent 3"/>
    <w:basedOn w:val="81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5 Dark- Accent 4"/>
    <w:basedOn w:val="81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5 Dark - Accent 5"/>
    <w:basedOn w:val="81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5 Dark - Accent 6"/>
    <w:basedOn w:val="81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6 Colorful"/>
    <w:basedOn w:val="811"/>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6 Colorful - Accent 1"/>
    <w:basedOn w:val="811"/>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6 Colorful - Accent 2"/>
    <w:basedOn w:val="81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6 Colorful - Accent 3"/>
    <w:basedOn w:val="811"/>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6 Colorful - Accent 4"/>
    <w:basedOn w:val="81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6 Colorful - Accent 5"/>
    <w:basedOn w:val="811"/>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6 Colorful - Accent 6"/>
    <w:basedOn w:val="811"/>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7 Colorful"/>
    <w:basedOn w:val="811"/>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7 Colorful - Accent 1"/>
    <w:basedOn w:val="811"/>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7 Colorful - Accent 2"/>
    <w:basedOn w:val="811"/>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7 Colorful - Accent 3"/>
    <w:basedOn w:val="811"/>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7 Colorful - Accent 4"/>
    <w:basedOn w:val="811"/>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7 Colorful - Accent 5"/>
    <w:basedOn w:val="811"/>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7 Colorful - Accent 6"/>
    <w:basedOn w:val="811"/>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1 Light"/>
    <w:basedOn w:val="811"/>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1 Light - Accent 1"/>
    <w:basedOn w:val="811"/>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1 Light - Accent 2"/>
    <w:basedOn w:val="811"/>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1 Light - Accent 3"/>
    <w:basedOn w:val="811"/>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1 Light - Accent 4"/>
    <w:basedOn w:val="811"/>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1 Light - Accent 5"/>
    <w:basedOn w:val="811"/>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1 Light - Accent 6"/>
    <w:basedOn w:val="811"/>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2"/>
    <w:basedOn w:val="811"/>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2 - Accent 1"/>
    <w:basedOn w:val="811"/>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2 - Accent 2"/>
    <w:basedOn w:val="811"/>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2 - Accent 3"/>
    <w:basedOn w:val="811"/>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2 - Accent 4"/>
    <w:basedOn w:val="811"/>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2 - Accent 5"/>
    <w:basedOn w:val="811"/>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2 - Accent 6"/>
    <w:basedOn w:val="811"/>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3"/>
    <w:basedOn w:val="81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3 - Accent 1"/>
    <w:basedOn w:val="811"/>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3 - Accent 2"/>
    <w:basedOn w:val="81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3 - Accent 3"/>
    <w:basedOn w:val="811"/>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3 - Accent 4"/>
    <w:basedOn w:val="81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3 - Accent 5"/>
    <w:basedOn w:val="811"/>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3 - Accent 6"/>
    <w:basedOn w:val="811"/>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4"/>
    <w:basedOn w:val="81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4 - Accent 1"/>
    <w:basedOn w:val="811"/>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4 - Accent 2"/>
    <w:basedOn w:val="811"/>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4 - Accent 3"/>
    <w:basedOn w:val="811"/>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4 - Accent 4"/>
    <w:basedOn w:val="811"/>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4 - Accent 5"/>
    <w:basedOn w:val="811"/>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4 - Accent 6"/>
    <w:basedOn w:val="811"/>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5 Dark"/>
    <w:basedOn w:val="811"/>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5 Dark - Accent 1"/>
    <w:basedOn w:val="811"/>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5 Dark - Accent 2"/>
    <w:basedOn w:val="811"/>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5 Dark - Accent 3"/>
    <w:basedOn w:val="811"/>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5 Dark - Accent 4"/>
    <w:basedOn w:val="811"/>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5 Dark - Accent 5"/>
    <w:basedOn w:val="811"/>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5 Dark - Accent 6"/>
    <w:basedOn w:val="811"/>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6 Colorful"/>
    <w:basedOn w:val="811"/>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6 Colorful - Accent 1"/>
    <w:basedOn w:val="811"/>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6 Colorful - Accent 2"/>
    <w:basedOn w:val="811"/>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6 Colorful - Accent 3"/>
    <w:basedOn w:val="811"/>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6 Colorful - Accent 4"/>
    <w:basedOn w:val="811"/>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6 Colorful - Accent 5"/>
    <w:basedOn w:val="811"/>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6 Colorful - Accent 6"/>
    <w:basedOn w:val="811"/>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7 Colorful"/>
    <w:basedOn w:val="811"/>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7 Colorful - Accent 1"/>
    <w:basedOn w:val="811"/>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7 Colorful - Accent 2"/>
    <w:basedOn w:val="811"/>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7 Colorful - Accent 3"/>
    <w:basedOn w:val="811"/>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7 Colorful - Accent 4"/>
    <w:basedOn w:val="811"/>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7 Colorful - Accent 5"/>
    <w:basedOn w:val="811"/>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7 Colorful - Accent 6"/>
    <w:basedOn w:val="811"/>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ned - Accent"/>
    <w:basedOn w:val="81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ned - Accent 1"/>
    <w:basedOn w:val="81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ned - Accent 2"/>
    <w:basedOn w:val="81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ned - Accent 3"/>
    <w:basedOn w:val="81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ned - Accent 4"/>
    <w:basedOn w:val="81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ned - Accent 5"/>
    <w:basedOn w:val="81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ned - Accent 6"/>
    <w:basedOn w:val="81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Bordered &amp; Lined - Accent"/>
    <w:basedOn w:val="811"/>
    <w:uiPriority w:val="99"/>
    <w:pPr>
      <w:pBdr/>
      <w:spacing/>
      <w:ind/>
    </w:pPr>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Bordered &amp; Lined - Accent 1"/>
    <w:basedOn w:val="811"/>
    <w:uiPriority w:val="99"/>
    <w:pPr>
      <w:pBdr/>
      <w:spacing/>
      <w:ind/>
    </w:pPr>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Bordered &amp; Lined - Accent 2"/>
    <w:basedOn w:val="811"/>
    <w:uiPriority w:val="99"/>
    <w:pPr>
      <w:pBdr/>
      <w:spacing/>
      <w:ind/>
    </w:pPr>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amp; Lined - Accent 3"/>
    <w:basedOn w:val="811"/>
    <w:uiPriority w:val="99"/>
    <w:pPr>
      <w:pBdr/>
      <w:spacing/>
      <w:ind/>
    </w:pPr>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amp; Lined - Accent 4"/>
    <w:basedOn w:val="811"/>
    <w:uiPriority w:val="99"/>
    <w:pPr>
      <w:pBdr/>
      <w:spacing/>
      <w:ind/>
    </w:pPr>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amp; Lined - Accent 5"/>
    <w:basedOn w:val="811"/>
    <w:uiPriority w:val="99"/>
    <w:pPr>
      <w:pBdr/>
      <w:spacing/>
      <w:ind/>
    </w:pPr>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amp; Lined - Accent 6"/>
    <w:basedOn w:val="811"/>
    <w:uiPriority w:val="99"/>
    <w:pPr>
      <w:pBdr/>
      <w:spacing/>
      <w:ind/>
    </w:pPr>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w:basedOn w:val="811"/>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 Accent 1"/>
    <w:basedOn w:val="811"/>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 Accent 2"/>
    <w:basedOn w:val="811"/>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 Accent 3"/>
    <w:basedOn w:val="811"/>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 Accent 4"/>
    <w:basedOn w:val="811"/>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 Accent 5"/>
    <w:basedOn w:val="811"/>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 Accent 6"/>
    <w:basedOn w:val="811"/>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49" w:customStyle="1">
    <w:name w:val="Heading 1 Char"/>
    <w:basedOn w:val="810"/>
    <w:uiPriority w:val="9"/>
    <w:pPr>
      <w:pBdr/>
      <w:spacing/>
      <w:ind/>
    </w:pPr>
    <w:rPr>
      <w:rFonts w:ascii="Arial" w:hAnsi="Arial" w:eastAsia="Arial" w:cs="Arial"/>
      <w:color w:val="365f91" w:themeColor="accent1" w:themeShade="BF"/>
      <w:sz w:val="40"/>
      <w:szCs w:val="40"/>
    </w:rPr>
  </w:style>
  <w:style w:type="character" w:styleId="950" w:customStyle="1">
    <w:name w:val="Заголовок 2 Знак"/>
    <w:basedOn w:val="810"/>
    <w:link w:val="802"/>
    <w:uiPriority w:val="9"/>
    <w:pPr>
      <w:pBdr/>
      <w:spacing/>
      <w:ind/>
    </w:pPr>
    <w:rPr>
      <w:rFonts w:ascii="Arial" w:hAnsi="Arial" w:eastAsia="Arial" w:cs="Arial"/>
      <w:color w:val="365f91" w:themeColor="accent1" w:themeShade="BF"/>
      <w:sz w:val="32"/>
      <w:szCs w:val="32"/>
    </w:rPr>
  </w:style>
  <w:style w:type="character" w:styleId="951" w:customStyle="1">
    <w:name w:val="Heading 4 Char"/>
    <w:basedOn w:val="810"/>
    <w:uiPriority w:val="9"/>
    <w:pPr>
      <w:pBdr/>
      <w:spacing/>
      <w:ind/>
    </w:pPr>
    <w:rPr>
      <w:rFonts w:ascii="Arial" w:hAnsi="Arial" w:eastAsia="Arial" w:cs="Arial"/>
      <w:i/>
      <w:iCs/>
      <w:color w:val="365f91" w:themeColor="accent1" w:themeShade="BF"/>
    </w:rPr>
  </w:style>
  <w:style w:type="character" w:styleId="952" w:customStyle="1">
    <w:name w:val="Заголовок 5 Знак"/>
    <w:basedOn w:val="810"/>
    <w:link w:val="805"/>
    <w:uiPriority w:val="9"/>
    <w:pPr>
      <w:pBdr/>
      <w:spacing/>
      <w:ind/>
    </w:pPr>
    <w:rPr>
      <w:rFonts w:ascii="Arial" w:hAnsi="Arial" w:eastAsia="Arial" w:cs="Arial"/>
      <w:color w:val="365f91" w:themeColor="accent1" w:themeShade="BF"/>
    </w:rPr>
  </w:style>
  <w:style w:type="character" w:styleId="953" w:customStyle="1">
    <w:name w:val="Заголовок 6 Знак"/>
    <w:basedOn w:val="810"/>
    <w:link w:val="806"/>
    <w:uiPriority w:val="9"/>
    <w:pPr>
      <w:pBdr/>
      <w:spacing/>
      <w:ind/>
    </w:pPr>
    <w:rPr>
      <w:rFonts w:ascii="Arial" w:hAnsi="Arial" w:eastAsia="Arial" w:cs="Arial"/>
      <w:i/>
      <w:iCs/>
      <w:color w:val="595959" w:themeColor="text1" w:themeTint="A6"/>
    </w:rPr>
  </w:style>
  <w:style w:type="character" w:styleId="954" w:customStyle="1">
    <w:name w:val="Заголовок 7 Знак"/>
    <w:basedOn w:val="810"/>
    <w:link w:val="807"/>
    <w:uiPriority w:val="9"/>
    <w:pPr>
      <w:pBdr/>
      <w:spacing/>
      <w:ind/>
    </w:pPr>
    <w:rPr>
      <w:rFonts w:ascii="Arial" w:hAnsi="Arial" w:eastAsia="Arial" w:cs="Arial"/>
      <w:color w:val="595959" w:themeColor="text1" w:themeTint="A6"/>
    </w:rPr>
  </w:style>
  <w:style w:type="character" w:styleId="955" w:customStyle="1">
    <w:name w:val="Заголовок 8 Знак"/>
    <w:basedOn w:val="810"/>
    <w:link w:val="808"/>
    <w:uiPriority w:val="9"/>
    <w:pPr>
      <w:pBdr/>
      <w:spacing/>
      <w:ind/>
    </w:pPr>
    <w:rPr>
      <w:rFonts w:ascii="Arial" w:hAnsi="Arial" w:eastAsia="Arial" w:cs="Arial"/>
      <w:i/>
      <w:iCs/>
      <w:color w:val="272727" w:themeColor="text1" w:themeTint="D8"/>
    </w:rPr>
  </w:style>
  <w:style w:type="character" w:styleId="956" w:customStyle="1">
    <w:name w:val="Заголовок 9 Знак"/>
    <w:basedOn w:val="810"/>
    <w:link w:val="809"/>
    <w:uiPriority w:val="9"/>
    <w:pPr>
      <w:pBdr/>
      <w:spacing/>
      <w:ind/>
    </w:pPr>
    <w:rPr>
      <w:rFonts w:ascii="Arial" w:hAnsi="Arial" w:eastAsia="Arial" w:cs="Arial"/>
      <w:i/>
      <w:iCs/>
      <w:color w:val="272727" w:themeColor="text1" w:themeTint="D8"/>
    </w:rPr>
  </w:style>
  <w:style w:type="paragraph" w:styleId="957">
    <w:name w:val="Title"/>
    <w:basedOn w:val="800"/>
    <w:next w:val="800"/>
    <w:link w:val="958"/>
    <w:uiPriority w:val="10"/>
    <w:qFormat/>
    <w:pPr>
      <w:pBdr/>
      <w:spacing w:after="80"/>
      <w:ind/>
      <w:contextualSpacing w:val="true"/>
    </w:pPr>
    <w:rPr>
      <w:rFonts w:ascii="Arial" w:hAnsi="Arial" w:eastAsia="Arial" w:cs="Arial"/>
      <w:spacing w:val="-10"/>
      <w:sz w:val="56"/>
      <w:szCs w:val="56"/>
    </w:rPr>
  </w:style>
  <w:style w:type="character" w:styleId="958" w:customStyle="1">
    <w:name w:val="Заголовок Знак"/>
    <w:basedOn w:val="810"/>
    <w:link w:val="957"/>
    <w:uiPriority w:val="10"/>
    <w:pPr>
      <w:pBdr/>
      <w:spacing/>
      <w:ind/>
    </w:pPr>
    <w:rPr>
      <w:rFonts w:ascii="Arial" w:hAnsi="Arial" w:eastAsia="Arial" w:cs="Arial"/>
      <w:spacing w:val="-10"/>
      <w:sz w:val="56"/>
      <w:szCs w:val="56"/>
    </w:rPr>
  </w:style>
  <w:style w:type="paragraph" w:styleId="959">
    <w:name w:val="Subtitle"/>
    <w:basedOn w:val="800"/>
    <w:next w:val="800"/>
    <w:link w:val="960"/>
    <w:uiPriority w:val="11"/>
    <w:qFormat/>
    <w:pPr>
      <w:numPr>
        <w:ilvl w:val="1"/>
      </w:numPr>
      <w:pBdr/>
      <w:spacing/>
      <w:ind/>
    </w:pPr>
    <w:rPr>
      <w:color w:val="595959" w:themeColor="text1" w:themeTint="A6"/>
      <w:spacing w:val="15"/>
      <w:sz w:val="28"/>
      <w:szCs w:val="28"/>
    </w:rPr>
  </w:style>
  <w:style w:type="character" w:styleId="960" w:customStyle="1">
    <w:name w:val="Подзаголовок Знак"/>
    <w:basedOn w:val="810"/>
    <w:link w:val="959"/>
    <w:uiPriority w:val="11"/>
    <w:pPr>
      <w:pBdr/>
      <w:spacing/>
      <w:ind/>
    </w:pPr>
    <w:rPr>
      <w:color w:val="595959" w:themeColor="text1" w:themeTint="A6"/>
      <w:spacing w:val="15"/>
      <w:sz w:val="28"/>
      <w:szCs w:val="28"/>
    </w:rPr>
  </w:style>
  <w:style w:type="paragraph" w:styleId="961">
    <w:name w:val="Quote"/>
    <w:basedOn w:val="800"/>
    <w:next w:val="800"/>
    <w:link w:val="962"/>
    <w:uiPriority w:val="29"/>
    <w:qFormat/>
    <w:pPr>
      <w:pBdr/>
      <w:spacing w:before="160"/>
      <w:ind/>
      <w:jc w:val="center"/>
    </w:pPr>
    <w:rPr>
      <w:i/>
      <w:iCs/>
      <w:color w:val="404040" w:themeColor="text1" w:themeTint="BF"/>
    </w:rPr>
  </w:style>
  <w:style w:type="character" w:styleId="962" w:customStyle="1">
    <w:name w:val="Цитата 2 Знак"/>
    <w:basedOn w:val="810"/>
    <w:link w:val="961"/>
    <w:uiPriority w:val="29"/>
    <w:pPr>
      <w:pBdr/>
      <w:spacing/>
      <w:ind/>
    </w:pPr>
    <w:rPr>
      <w:i/>
      <w:iCs/>
      <w:color w:val="404040" w:themeColor="text1" w:themeTint="BF"/>
    </w:rPr>
  </w:style>
  <w:style w:type="character" w:styleId="963">
    <w:name w:val="Intense Emphasis"/>
    <w:basedOn w:val="810"/>
    <w:uiPriority w:val="21"/>
    <w:qFormat/>
    <w:pPr>
      <w:pBdr/>
      <w:spacing/>
      <w:ind/>
    </w:pPr>
    <w:rPr>
      <w:i/>
      <w:iCs/>
      <w:color w:val="365f91" w:themeColor="accent1" w:themeShade="BF"/>
    </w:rPr>
  </w:style>
  <w:style w:type="paragraph" w:styleId="964">
    <w:name w:val="Intense Quote"/>
    <w:basedOn w:val="800"/>
    <w:next w:val="800"/>
    <w:link w:val="965"/>
    <w:uiPriority w:val="30"/>
    <w:qFormat/>
    <w:pPr>
      <w:pBdr>
        <w:top w:val="single" w:color="365f91" w:themeColor="accent1" w:themeShade="BF" w:sz="4" w:space="10"/>
        <w:bottom w:val="single" w:color="365f91" w:themeColor="accent1" w:themeShade="BF" w:sz="4" w:space="10"/>
      </w:pBdr>
      <w:spacing w:after="360" w:before="360"/>
      <w:ind w:right="864" w:left="864"/>
      <w:jc w:val="center"/>
    </w:pPr>
    <w:rPr>
      <w:i/>
      <w:iCs/>
      <w:color w:val="365f91" w:themeColor="accent1" w:themeShade="BF"/>
    </w:rPr>
  </w:style>
  <w:style w:type="character" w:styleId="965" w:customStyle="1">
    <w:name w:val="Выделенная цитата Знак"/>
    <w:basedOn w:val="810"/>
    <w:link w:val="964"/>
    <w:uiPriority w:val="30"/>
    <w:pPr>
      <w:pBdr/>
      <w:spacing/>
      <w:ind/>
    </w:pPr>
    <w:rPr>
      <w:i/>
      <w:iCs/>
      <w:color w:val="365f91" w:themeColor="accent1" w:themeShade="BF"/>
    </w:rPr>
  </w:style>
  <w:style w:type="character" w:styleId="966">
    <w:name w:val="Intense Reference"/>
    <w:basedOn w:val="810"/>
    <w:uiPriority w:val="32"/>
    <w:qFormat/>
    <w:pPr>
      <w:pBdr/>
      <w:spacing/>
      <w:ind/>
    </w:pPr>
    <w:rPr>
      <w:b/>
      <w:bCs/>
      <w:smallCaps/>
      <w:color w:val="365f91" w:themeColor="accent1" w:themeShade="BF"/>
      <w:spacing w:val="5"/>
    </w:rPr>
  </w:style>
  <w:style w:type="character" w:styleId="967">
    <w:name w:val="Subtle Emphasis"/>
    <w:basedOn w:val="810"/>
    <w:uiPriority w:val="19"/>
    <w:qFormat/>
    <w:pPr>
      <w:pBdr/>
      <w:spacing/>
      <w:ind/>
    </w:pPr>
    <w:rPr>
      <w:i/>
      <w:iCs/>
      <w:color w:val="404040" w:themeColor="text1" w:themeTint="BF"/>
    </w:rPr>
  </w:style>
  <w:style w:type="character" w:styleId="968">
    <w:name w:val="Emphasis"/>
    <w:basedOn w:val="810"/>
    <w:uiPriority w:val="20"/>
    <w:qFormat/>
    <w:pPr>
      <w:pBdr/>
      <w:spacing/>
      <w:ind/>
    </w:pPr>
    <w:rPr>
      <w:i/>
      <w:iCs/>
    </w:rPr>
  </w:style>
  <w:style w:type="character" w:styleId="969">
    <w:name w:val="Strong"/>
    <w:basedOn w:val="810"/>
    <w:uiPriority w:val="22"/>
    <w:qFormat/>
    <w:pPr>
      <w:pBdr/>
      <w:spacing/>
      <w:ind/>
    </w:pPr>
    <w:rPr>
      <w:b/>
      <w:bCs/>
    </w:rPr>
  </w:style>
  <w:style w:type="character" w:styleId="970">
    <w:name w:val="Subtle Reference"/>
    <w:basedOn w:val="810"/>
    <w:uiPriority w:val="31"/>
    <w:qFormat/>
    <w:pPr>
      <w:pBdr/>
      <w:spacing/>
      <w:ind/>
    </w:pPr>
    <w:rPr>
      <w:smallCaps/>
      <w:color w:val="5a5a5a" w:themeColor="text1" w:themeTint="A5"/>
    </w:rPr>
  </w:style>
  <w:style w:type="character" w:styleId="971">
    <w:name w:val="Book Title"/>
    <w:basedOn w:val="810"/>
    <w:uiPriority w:val="33"/>
    <w:qFormat/>
    <w:pPr>
      <w:pBdr/>
      <w:spacing/>
      <w:ind/>
    </w:pPr>
    <w:rPr>
      <w:b/>
      <w:bCs/>
      <w:i/>
      <w:iCs/>
      <w:spacing w:val="5"/>
    </w:rPr>
  </w:style>
  <w:style w:type="paragraph" w:styleId="972">
    <w:name w:val="Header"/>
    <w:basedOn w:val="800"/>
    <w:link w:val="1067"/>
    <w:pPr>
      <w:pBdr/>
      <w:tabs>
        <w:tab w:val="center" w:leader="none" w:pos="4677"/>
        <w:tab w:val="right" w:leader="none" w:pos="9355"/>
      </w:tabs>
      <w:spacing/>
      <w:ind/>
    </w:pPr>
    <w:rPr>
      <w:lang w:val="en-US" w:eastAsia="en-US"/>
    </w:rPr>
  </w:style>
  <w:style w:type="character" w:styleId="973" w:customStyle="1">
    <w:name w:val="Header Char"/>
    <w:basedOn w:val="810"/>
    <w:uiPriority w:val="99"/>
    <w:pPr>
      <w:pBdr/>
      <w:spacing/>
      <w:ind/>
    </w:pPr>
  </w:style>
  <w:style w:type="paragraph" w:styleId="974">
    <w:name w:val="Footer"/>
    <w:basedOn w:val="800"/>
    <w:link w:val="1068"/>
    <w:pPr>
      <w:pBdr/>
      <w:tabs>
        <w:tab w:val="center" w:leader="none" w:pos="4677"/>
        <w:tab w:val="right" w:leader="none" w:pos="9355"/>
      </w:tabs>
      <w:spacing/>
      <w:ind/>
    </w:pPr>
    <w:rPr>
      <w:lang w:val="en-US" w:eastAsia="en-US"/>
    </w:rPr>
  </w:style>
  <w:style w:type="character" w:styleId="975" w:customStyle="1">
    <w:name w:val="Footer Char"/>
    <w:basedOn w:val="810"/>
    <w:uiPriority w:val="99"/>
    <w:pPr>
      <w:pBdr/>
      <w:spacing/>
      <w:ind/>
    </w:pPr>
  </w:style>
  <w:style w:type="paragraph" w:styleId="976">
    <w:name w:val="Caption"/>
    <w:basedOn w:val="800"/>
    <w:qFormat/>
    <w:pPr>
      <w:suppressLineNumbers w:val="true"/>
      <w:pBdr/>
      <w:spacing w:after="120" w:before="120"/>
      <w:ind/>
    </w:pPr>
    <w:rPr>
      <w:rFonts w:cs="FreeSans"/>
      <w:i/>
      <w:iCs/>
    </w:rPr>
  </w:style>
  <w:style w:type="paragraph" w:styleId="977">
    <w:name w:val="footnote text"/>
    <w:basedOn w:val="800"/>
    <w:link w:val="1069"/>
    <w:pPr>
      <w:pBdr/>
      <w:spacing/>
      <w:ind/>
    </w:pPr>
    <w:rPr>
      <w:sz w:val="20"/>
      <w:szCs w:val="20"/>
      <w:lang w:val="en-US" w:eastAsia="en-US"/>
    </w:rPr>
  </w:style>
  <w:style w:type="character" w:styleId="978" w:customStyle="1">
    <w:name w:val="Footnote Text Char"/>
    <w:basedOn w:val="810"/>
    <w:uiPriority w:val="99"/>
    <w:semiHidden/>
    <w:pPr>
      <w:pBdr/>
      <w:spacing/>
      <w:ind/>
    </w:pPr>
    <w:rPr>
      <w:sz w:val="20"/>
      <w:szCs w:val="20"/>
    </w:rPr>
  </w:style>
  <w:style w:type="character" w:styleId="979">
    <w:name w:val="footnote reference"/>
    <w:basedOn w:val="810"/>
    <w:uiPriority w:val="99"/>
    <w:unhideWhenUsed/>
    <w:pPr>
      <w:pBdr/>
      <w:spacing/>
      <w:ind/>
    </w:pPr>
    <w:rPr>
      <w:vertAlign w:val="superscript"/>
    </w:rPr>
  </w:style>
  <w:style w:type="paragraph" w:styleId="980">
    <w:name w:val="endnote text"/>
    <w:basedOn w:val="800"/>
    <w:link w:val="1070"/>
    <w:pPr>
      <w:pBdr/>
      <w:spacing/>
      <w:ind/>
    </w:pPr>
    <w:rPr>
      <w:sz w:val="20"/>
      <w:szCs w:val="20"/>
      <w:lang w:val="en-US" w:eastAsia="en-US"/>
    </w:rPr>
  </w:style>
  <w:style w:type="character" w:styleId="981" w:customStyle="1">
    <w:name w:val="Endnote Text Char"/>
    <w:basedOn w:val="810"/>
    <w:uiPriority w:val="99"/>
    <w:semiHidden/>
    <w:pPr>
      <w:pBdr/>
      <w:spacing/>
      <w:ind/>
    </w:pPr>
    <w:rPr>
      <w:sz w:val="20"/>
      <w:szCs w:val="20"/>
    </w:rPr>
  </w:style>
  <w:style w:type="character" w:styleId="982">
    <w:name w:val="endnote reference"/>
    <w:basedOn w:val="810"/>
    <w:uiPriority w:val="99"/>
    <w:unhideWhenUsed/>
    <w:pPr>
      <w:pBdr/>
      <w:spacing/>
      <w:ind/>
    </w:pPr>
    <w:rPr>
      <w:vertAlign w:val="superscript"/>
    </w:rPr>
  </w:style>
  <w:style w:type="character" w:styleId="983">
    <w:name w:val="Hyperlink"/>
    <w:basedOn w:val="810"/>
    <w:pPr>
      <w:pBdr/>
      <w:spacing/>
      <w:ind/>
    </w:pPr>
    <w:rPr>
      <w:rFonts w:cs="Times New Roman"/>
      <w:color w:val="0000ff"/>
      <w:u w:val="single"/>
    </w:rPr>
  </w:style>
  <w:style w:type="character" w:styleId="984">
    <w:name w:val="FollowedHyperlink"/>
    <w:basedOn w:val="810"/>
    <w:uiPriority w:val="99"/>
    <w:semiHidden/>
    <w:unhideWhenUsed/>
    <w:pPr>
      <w:pBdr/>
      <w:spacing/>
      <w:ind/>
    </w:pPr>
    <w:rPr>
      <w:color w:val="800080" w:themeColor="followedHyperlink"/>
      <w:u w:val="single"/>
    </w:rPr>
  </w:style>
  <w:style w:type="paragraph" w:styleId="985">
    <w:name w:val="toc 1"/>
    <w:basedOn w:val="800"/>
    <w:next w:val="800"/>
    <w:uiPriority w:val="39"/>
    <w:unhideWhenUsed/>
    <w:pPr>
      <w:pBdr/>
      <w:spacing w:after="100"/>
      <w:ind/>
    </w:pPr>
  </w:style>
  <w:style w:type="paragraph" w:styleId="986">
    <w:name w:val="toc 2"/>
    <w:basedOn w:val="800"/>
    <w:next w:val="800"/>
    <w:uiPriority w:val="39"/>
    <w:unhideWhenUsed/>
    <w:pPr>
      <w:pBdr/>
      <w:spacing w:after="100"/>
      <w:ind w:left="220"/>
    </w:pPr>
  </w:style>
  <w:style w:type="paragraph" w:styleId="987">
    <w:name w:val="toc 3"/>
    <w:basedOn w:val="800"/>
    <w:next w:val="800"/>
    <w:uiPriority w:val="39"/>
    <w:unhideWhenUsed/>
    <w:pPr>
      <w:pBdr/>
      <w:spacing w:after="100"/>
      <w:ind w:left="440"/>
    </w:pPr>
  </w:style>
  <w:style w:type="paragraph" w:styleId="988">
    <w:name w:val="toc 4"/>
    <w:basedOn w:val="800"/>
    <w:next w:val="800"/>
    <w:uiPriority w:val="39"/>
    <w:unhideWhenUsed/>
    <w:pPr>
      <w:pBdr/>
      <w:spacing w:after="100"/>
      <w:ind w:left="660"/>
    </w:pPr>
  </w:style>
  <w:style w:type="paragraph" w:styleId="989">
    <w:name w:val="toc 5"/>
    <w:basedOn w:val="800"/>
    <w:next w:val="800"/>
    <w:uiPriority w:val="39"/>
    <w:unhideWhenUsed/>
    <w:pPr>
      <w:pBdr/>
      <w:spacing w:after="100"/>
      <w:ind w:left="880"/>
    </w:pPr>
  </w:style>
  <w:style w:type="paragraph" w:styleId="990">
    <w:name w:val="toc 6"/>
    <w:basedOn w:val="800"/>
    <w:next w:val="800"/>
    <w:uiPriority w:val="39"/>
    <w:unhideWhenUsed/>
    <w:pPr>
      <w:pBdr/>
      <w:spacing w:after="100"/>
      <w:ind w:left="1100"/>
    </w:pPr>
  </w:style>
  <w:style w:type="paragraph" w:styleId="991">
    <w:name w:val="toc 7"/>
    <w:basedOn w:val="800"/>
    <w:next w:val="800"/>
    <w:uiPriority w:val="39"/>
    <w:unhideWhenUsed/>
    <w:pPr>
      <w:pBdr/>
      <w:spacing w:after="100"/>
      <w:ind w:left="1320"/>
    </w:pPr>
  </w:style>
  <w:style w:type="paragraph" w:styleId="992">
    <w:name w:val="toc 8"/>
    <w:basedOn w:val="800"/>
    <w:next w:val="800"/>
    <w:uiPriority w:val="39"/>
    <w:unhideWhenUsed/>
    <w:pPr>
      <w:pBdr/>
      <w:spacing w:after="100"/>
      <w:ind w:left="1540"/>
    </w:pPr>
  </w:style>
  <w:style w:type="paragraph" w:styleId="993">
    <w:name w:val="toc 9"/>
    <w:basedOn w:val="800"/>
    <w:next w:val="800"/>
    <w:uiPriority w:val="39"/>
    <w:unhideWhenUsed/>
    <w:pPr>
      <w:pBdr/>
      <w:spacing w:after="100"/>
      <w:ind w:left="1760"/>
    </w:pPr>
  </w:style>
  <w:style w:type="character" w:styleId="994">
    <w:name w:val="Placeholder Text"/>
    <w:basedOn w:val="810"/>
    <w:uiPriority w:val="99"/>
    <w:semiHidden/>
    <w:pPr>
      <w:pBdr/>
      <w:spacing/>
      <w:ind/>
    </w:pPr>
    <w:rPr>
      <w:color w:val="666666"/>
    </w:rPr>
  </w:style>
  <w:style w:type="paragraph" w:styleId="995">
    <w:name w:val="TOC Heading"/>
    <w:uiPriority w:val="39"/>
    <w:unhideWhenUsed/>
    <w:pPr>
      <w:pBdr/>
      <w:spacing/>
      <w:ind/>
    </w:pPr>
  </w:style>
  <w:style w:type="paragraph" w:styleId="996">
    <w:name w:val="table of figures"/>
    <w:basedOn w:val="800"/>
    <w:next w:val="800"/>
    <w:uiPriority w:val="99"/>
    <w:unhideWhenUsed/>
    <w:pPr>
      <w:pBdr/>
      <w:spacing/>
      <w:ind/>
    </w:pPr>
  </w:style>
  <w:style w:type="character" w:styleId="997" w:customStyle="1">
    <w:name w:val="Heading 3 Char"/>
    <w:pPr>
      <w:pBdr/>
      <w:spacing/>
      <w:ind/>
    </w:pPr>
    <w:rPr>
      <w:rFonts w:ascii="Cambria" w:hAnsi="Cambria" w:cs="Times New Roman"/>
      <w:b/>
      <w:bCs/>
      <w:sz w:val="26"/>
      <w:szCs w:val="26"/>
    </w:rPr>
  </w:style>
  <w:style w:type="character" w:styleId="998" w:customStyle="1">
    <w:name w:val="Balloon Text Char"/>
    <w:pPr>
      <w:pBdr/>
      <w:spacing/>
      <w:ind/>
    </w:pPr>
    <w:rPr>
      <w:rFonts w:ascii="Tahoma" w:hAnsi="Tahoma" w:cs="Tahoma"/>
      <w:sz w:val="16"/>
      <w:szCs w:val="16"/>
      <w:lang w:eastAsia="ru-RU"/>
    </w:rPr>
  </w:style>
  <w:style w:type="character" w:styleId="999" w:customStyle="1">
    <w:name w:val="ListLabel 1"/>
    <w:pPr>
      <w:pBdr/>
      <w:spacing/>
      <w:ind/>
    </w:pPr>
    <w:rPr>
      <w:rFonts w:cs="Times New Roman"/>
    </w:rPr>
  </w:style>
  <w:style w:type="character" w:styleId="1000" w:customStyle="1">
    <w:name w:val="ListLabel 2"/>
    <w:pPr>
      <w:pBdr/>
      <w:spacing/>
      <w:ind/>
    </w:pPr>
    <w:rPr>
      <w:rFonts w:cs="Times New Roman"/>
    </w:rPr>
  </w:style>
  <w:style w:type="character" w:styleId="1001" w:customStyle="1">
    <w:name w:val="ListLabel 3"/>
    <w:pPr>
      <w:pBdr/>
      <w:spacing/>
      <w:ind/>
    </w:pPr>
    <w:rPr>
      <w:rFonts w:cs="Times New Roman"/>
    </w:rPr>
  </w:style>
  <w:style w:type="character" w:styleId="1002" w:customStyle="1">
    <w:name w:val="ListLabel 4"/>
    <w:pPr>
      <w:pBdr/>
      <w:spacing/>
      <w:ind/>
    </w:pPr>
    <w:rPr>
      <w:rFonts w:cs="Times New Roman"/>
    </w:rPr>
  </w:style>
  <w:style w:type="character" w:styleId="1003" w:customStyle="1">
    <w:name w:val="ListLabel 5"/>
    <w:pPr>
      <w:pBdr/>
      <w:spacing/>
      <w:ind/>
    </w:pPr>
    <w:rPr>
      <w:rFonts w:cs="Times New Roman"/>
    </w:rPr>
  </w:style>
  <w:style w:type="paragraph" w:styleId="1004" w:customStyle="1">
    <w:name w:val="Название"/>
    <w:basedOn w:val="800"/>
    <w:next w:val="1005"/>
    <w:pPr>
      <w:keepNext w:val="true"/>
      <w:pBdr/>
      <w:spacing w:after="120" w:before="240"/>
      <w:ind/>
    </w:pPr>
    <w:rPr>
      <w:rFonts w:ascii="Liberation Sans" w:hAnsi="Liberation Sans" w:eastAsia="Noto Sans CJK SC Regular" w:cs="FreeSans"/>
      <w:sz w:val="28"/>
      <w:szCs w:val="28"/>
    </w:rPr>
  </w:style>
  <w:style w:type="paragraph" w:styleId="1005">
    <w:name w:val="Body Text"/>
    <w:basedOn w:val="800"/>
    <w:link w:val="1040"/>
    <w:pPr>
      <w:pBdr/>
      <w:spacing w:after="140" w:line="288" w:lineRule="auto"/>
      <w:ind/>
    </w:pPr>
    <w:rPr>
      <w:lang w:val="en-US" w:eastAsia="en-US"/>
    </w:rPr>
  </w:style>
  <w:style w:type="paragraph" w:styleId="1006">
    <w:name w:val="List"/>
    <w:basedOn w:val="1005"/>
    <w:pPr>
      <w:pBdr/>
      <w:spacing/>
      <w:ind/>
    </w:pPr>
    <w:rPr>
      <w:rFonts w:cs="FreeSans"/>
    </w:rPr>
  </w:style>
  <w:style w:type="paragraph" w:styleId="1007" w:customStyle="1">
    <w:name w:val="Указатель1"/>
    <w:basedOn w:val="800"/>
    <w:pPr>
      <w:suppressLineNumbers w:val="true"/>
      <w:pBdr/>
      <w:spacing/>
      <w:ind/>
    </w:pPr>
    <w:rPr>
      <w:rFonts w:cs="FreeSans"/>
    </w:rPr>
  </w:style>
  <w:style w:type="paragraph" w:styleId="1008" w:customStyle="1">
    <w:name w:val="ConsPlusNormal"/>
    <w:link w:val="1034"/>
    <w:qFormat/>
    <w:pPr>
      <w:widowControl w:val="false"/>
      <w:pBdr/>
      <w:spacing/>
      <w:ind/>
    </w:pPr>
    <w:rPr>
      <w:rFonts w:ascii="Calibri" w:hAnsi="Calibri"/>
      <w:sz w:val="24"/>
    </w:rPr>
  </w:style>
  <w:style w:type="paragraph" w:styleId="1009" w:customStyle="1">
    <w:name w:val="ConsPlusNonformat"/>
    <w:pPr>
      <w:widowControl w:val="false"/>
      <w:pBdr/>
      <w:spacing/>
      <w:ind/>
    </w:pPr>
    <w:rPr>
      <w:rFonts w:ascii="Courier New" w:hAnsi="Courier New" w:cs="Courier New"/>
      <w:lang w:eastAsia="ru-RU"/>
    </w:rPr>
  </w:style>
  <w:style w:type="paragraph" w:styleId="1010" w:customStyle="1">
    <w:name w:val="ConsPlusTitle"/>
    <w:pPr>
      <w:widowControl w:val="false"/>
      <w:pBdr/>
      <w:spacing/>
      <w:ind/>
    </w:pPr>
    <w:rPr>
      <w:rFonts w:ascii="Calibri" w:hAnsi="Calibri" w:cs="Calibri"/>
      <w:b/>
      <w:sz w:val="24"/>
      <w:lang w:eastAsia="ru-RU"/>
    </w:rPr>
  </w:style>
  <w:style w:type="paragraph" w:styleId="1011" w:customStyle="1">
    <w:name w:val="ConsPlusCell"/>
    <w:pPr>
      <w:widowControl w:val="false"/>
      <w:pBdr/>
      <w:spacing/>
      <w:ind/>
    </w:pPr>
    <w:rPr>
      <w:rFonts w:ascii="Courier New" w:hAnsi="Courier New" w:cs="Courier New"/>
      <w:lang w:eastAsia="ru-RU"/>
    </w:rPr>
  </w:style>
  <w:style w:type="paragraph" w:styleId="1012" w:customStyle="1">
    <w:name w:val="ConsPlusDocList"/>
    <w:pPr>
      <w:widowControl w:val="false"/>
      <w:pBdr/>
      <w:spacing/>
      <w:ind/>
    </w:pPr>
    <w:rPr>
      <w:rFonts w:ascii="Courier New" w:hAnsi="Courier New" w:cs="Courier New"/>
      <w:lang w:eastAsia="ru-RU"/>
    </w:rPr>
  </w:style>
  <w:style w:type="paragraph" w:styleId="1013" w:customStyle="1">
    <w:name w:val="ConsPlusTitlePage"/>
    <w:pPr>
      <w:widowControl w:val="false"/>
      <w:pBdr/>
      <w:spacing/>
      <w:ind/>
    </w:pPr>
    <w:rPr>
      <w:rFonts w:ascii="Tahoma" w:hAnsi="Tahoma" w:cs="Tahoma"/>
      <w:lang w:eastAsia="ru-RU"/>
    </w:rPr>
  </w:style>
  <w:style w:type="paragraph" w:styleId="1014" w:customStyle="1">
    <w:name w:val="ConsPlusJurTerm"/>
    <w:pPr>
      <w:widowControl w:val="false"/>
      <w:pBdr/>
      <w:spacing/>
      <w:ind/>
    </w:pPr>
    <w:rPr>
      <w:rFonts w:ascii="Tahoma" w:hAnsi="Tahoma" w:cs="Tahoma"/>
      <w:sz w:val="26"/>
      <w:lang w:eastAsia="ru-RU"/>
    </w:rPr>
  </w:style>
  <w:style w:type="paragraph" w:styleId="1015" w:customStyle="1">
    <w:name w:val="ConsPlusTextList"/>
    <w:pPr>
      <w:widowControl w:val="false"/>
      <w:pBdr/>
      <w:spacing/>
      <w:ind/>
    </w:pPr>
    <w:rPr>
      <w:rFonts w:ascii="Arial" w:hAnsi="Arial" w:cs="Arial"/>
      <w:lang w:eastAsia="ru-RU"/>
    </w:rPr>
  </w:style>
  <w:style w:type="paragraph" w:styleId="1016">
    <w:name w:val="Balloon Text"/>
    <w:basedOn w:val="800"/>
    <w:link w:val="1035"/>
    <w:uiPriority w:val="99"/>
    <w:pPr>
      <w:pBdr/>
      <w:spacing/>
      <w:ind/>
    </w:pPr>
    <w:rPr>
      <w:rFonts w:ascii="Tahoma" w:hAnsi="Tahoma"/>
      <w:sz w:val="16"/>
      <w:szCs w:val="16"/>
      <w:lang w:val="en-US" w:eastAsia="en-US"/>
    </w:rPr>
  </w:style>
  <w:style w:type="paragraph" w:styleId="1017">
    <w:name w:val="List Paragraph"/>
    <w:basedOn w:val="800"/>
    <w:link w:val="1049"/>
    <w:uiPriority w:val="34"/>
    <w:qFormat/>
    <w:pPr>
      <w:pBdr/>
      <w:spacing w:after="200" w:line="276" w:lineRule="auto"/>
      <w:ind w:left="720"/>
      <w:contextualSpacing w:val="true"/>
    </w:pPr>
    <w:rPr>
      <w:rFonts w:ascii="Calibri" w:hAnsi="Calibri" w:eastAsia="Calibri"/>
      <w:sz w:val="22"/>
      <w:szCs w:val="22"/>
      <w:lang w:val="en-US" w:eastAsia="en-US"/>
    </w:rPr>
  </w:style>
  <w:style w:type="character" w:styleId="1018" w:customStyle="1">
    <w:name w:val="extra_fields_value"/>
    <w:basedOn w:val="810"/>
    <w:pPr>
      <w:pBdr/>
      <w:spacing/>
      <w:ind/>
    </w:pPr>
  </w:style>
  <w:style w:type="character" w:styleId="1019" w:customStyle="1">
    <w:name w:val="extra_fields_name"/>
    <w:basedOn w:val="810"/>
    <w:pPr>
      <w:pBdr/>
      <w:spacing/>
      <w:ind/>
    </w:pPr>
  </w:style>
  <w:style w:type="character" w:styleId="1020" w:customStyle="1">
    <w:name w:val="val hastip locate"/>
    <w:basedOn w:val="810"/>
    <w:pPr>
      <w:pBdr/>
      <w:spacing/>
      <w:ind/>
    </w:pPr>
  </w:style>
  <w:style w:type="character" w:styleId="1021" w:customStyle="1">
    <w:name w:val="thname"/>
    <w:basedOn w:val="810"/>
    <w:pPr>
      <w:pBdr/>
      <w:spacing/>
      <w:ind/>
    </w:pPr>
  </w:style>
  <w:style w:type="character" w:styleId="1022" w:customStyle="1">
    <w:name w:val="thvalue"/>
    <w:basedOn w:val="810"/>
    <w:pPr>
      <w:pBdr/>
      <w:spacing/>
      <w:ind/>
    </w:pPr>
  </w:style>
  <w:style w:type="character" w:styleId="1023" w:customStyle="1">
    <w:name w:val="extended-text__short"/>
    <w:basedOn w:val="810"/>
    <w:pPr>
      <w:pBdr/>
      <w:spacing/>
      <w:ind/>
    </w:pPr>
  </w:style>
  <w:style w:type="paragraph" w:styleId="1024">
    <w:name w:val="Normal (Web)"/>
    <w:basedOn w:val="800"/>
    <w:uiPriority w:val="99"/>
    <w:pPr>
      <w:pBdr/>
      <w:spacing w:after="100" w:afterAutospacing="1" w:before="100" w:beforeAutospacing="1"/>
      <w:ind/>
    </w:pPr>
  </w:style>
  <w:style w:type="character" w:styleId="1025" w:customStyle="1">
    <w:name w:val="features-list-name"/>
    <w:basedOn w:val="810"/>
    <w:pPr>
      <w:pBdr/>
      <w:spacing/>
      <w:ind/>
    </w:pPr>
  </w:style>
  <w:style w:type="character" w:styleId="1026" w:customStyle="1">
    <w:name w:val="features-list-value"/>
    <w:basedOn w:val="810"/>
    <w:pPr>
      <w:pBdr/>
      <w:spacing/>
      <w:ind/>
    </w:pPr>
  </w:style>
  <w:style w:type="character" w:styleId="1027" w:customStyle="1">
    <w:name w:val="val"/>
    <w:basedOn w:val="810"/>
    <w:pPr>
      <w:pBdr/>
      <w:spacing/>
      <w:ind/>
    </w:pPr>
  </w:style>
  <w:style w:type="character" w:styleId="1028" w:customStyle="1">
    <w:name w:val="td25"/>
    <w:pPr>
      <w:pBdr/>
      <w:spacing/>
      <w:ind/>
    </w:pPr>
    <w:rPr>
      <w:rFonts w:cs="Times New Roman"/>
    </w:rPr>
  </w:style>
  <w:style w:type="paragraph" w:styleId="1029">
    <w:name w:val="No Spacing"/>
    <w:link w:val="1089"/>
    <w:uiPriority w:val="1"/>
    <w:qFormat/>
    <w:pPr>
      <w:pBdr/>
      <w:spacing/>
      <w:ind/>
    </w:pPr>
    <w:rPr>
      <w:sz w:val="24"/>
      <w:szCs w:val="24"/>
      <w:lang w:eastAsia="ru-RU"/>
    </w:rPr>
  </w:style>
  <w:style w:type="character" w:styleId="1030" w:customStyle="1">
    <w:name w:val="extended-text__full"/>
    <w:basedOn w:val="810"/>
    <w:pPr>
      <w:pBdr/>
      <w:spacing/>
      <w:ind/>
    </w:pPr>
  </w:style>
  <w:style w:type="paragraph" w:styleId="1031">
    <w:name w:val="HTML Top of Form"/>
    <w:basedOn w:val="800"/>
    <w:next w:val="800"/>
    <w:link w:val="1041"/>
    <w:hidden/>
    <w:pPr>
      <w:pBdr>
        <w:bottom w:val="single" w:color="000000" w:sz="6" w:space="1"/>
      </w:pBdr>
      <w:spacing/>
      <w:ind/>
      <w:jc w:val="center"/>
    </w:pPr>
    <w:rPr>
      <w:rFonts w:ascii="Arial" w:hAnsi="Arial"/>
      <w:vanish/>
      <w:sz w:val="16"/>
      <w:szCs w:val="16"/>
      <w:lang w:val="en-US" w:eastAsia="en-US"/>
    </w:rPr>
  </w:style>
  <w:style w:type="paragraph" w:styleId="1032">
    <w:name w:val="HTML Bottom of Form"/>
    <w:basedOn w:val="800"/>
    <w:next w:val="800"/>
    <w:link w:val="1042"/>
    <w:hidden/>
    <w:pPr>
      <w:pBdr>
        <w:top w:val="single" w:color="000000" w:sz="6" w:space="1"/>
      </w:pBdr>
      <w:spacing/>
      <w:ind/>
      <w:jc w:val="center"/>
    </w:pPr>
    <w:rPr>
      <w:rFonts w:ascii="Arial" w:hAnsi="Arial"/>
      <w:vanish/>
      <w:sz w:val="16"/>
      <w:szCs w:val="16"/>
      <w:lang w:val="en-US" w:eastAsia="en-US"/>
    </w:rPr>
  </w:style>
  <w:style w:type="paragraph" w:styleId="1033" w:customStyle="1">
    <w:name w:val="msonormalcxspmiddle"/>
    <w:basedOn w:val="800"/>
    <w:pPr>
      <w:pBdr/>
      <w:spacing w:after="100" w:afterAutospacing="1" w:before="100" w:beforeAutospacing="1"/>
      <w:ind/>
    </w:pPr>
  </w:style>
  <w:style w:type="character" w:styleId="1034" w:customStyle="1">
    <w:name w:val="ConsPlusNormal Знак"/>
    <w:link w:val="1008"/>
    <w:pPr>
      <w:pBdr/>
      <w:spacing/>
      <w:ind/>
    </w:pPr>
    <w:rPr>
      <w:rFonts w:ascii="Calibri" w:hAnsi="Calibri"/>
      <w:sz w:val="24"/>
      <w:lang w:bidi="ar-SA"/>
    </w:rPr>
  </w:style>
  <w:style w:type="character" w:styleId="1035" w:customStyle="1">
    <w:name w:val="Текст выноски Знак"/>
    <w:link w:val="1016"/>
    <w:uiPriority w:val="99"/>
    <w:pPr>
      <w:pBdr/>
      <w:spacing/>
      <w:ind/>
    </w:pPr>
    <w:rPr>
      <w:rFonts w:ascii="Tahoma" w:hAnsi="Tahoma" w:cs="Tahoma"/>
      <w:sz w:val="16"/>
      <w:szCs w:val="16"/>
    </w:rPr>
  </w:style>
  <w:style w:type="character" w:styleId="1036" w:customStyle="1">
    <w:name w:val="value"/>
    <w:uiPriority w:val="99"/>
    <w:pPr>
      <w:pBdr/>
      <w:spacing/>
      <w:ind/>
    </w:pPr>
    <w:rPr>
      <w:rFonts w:cs="Times New Roman"/>
    </w:rPr>
  </w:style>
  <w:style w:type="character" w:styleId="1037" w:customStyle="1">
    <w:name w:val="Заголовок 1 Знак"/>
    <w:link w:val="801"/>
    <w:uiPriority w:val="99"/>
    <w:pPr>
      <w:pBdr/>
      <w:spacing/>
      <w:ind/>
    </w:pPr>
    <w:rPr>
      <w:rFonts w:ascii="Arial" w:hAnsi="Arial" w:cs="Arial"/>
      <w:b/>
      <w:bCs/>
      <w:sz w:val="32"/>
      <w:szCs w:val="32"/>
    </w:rPr>
  </w:style>
  <w:style w:type="character" w:styleId="1038" w:customStyle="1">
    <w:name w:val="Заголовок 3 Знак"/>
    <w:link w:val="803"/>
    <w:uiPriority w:val="9"/>
    <w:pPr>
      <w:pBdr/>
      <w:spacing/>
      <w:ind/>
    </w:pPr>
    <w:rPr>
      <w:rFonts w:ascii="Arial" w:hAnsi="Arial" w:eastAsia="Calibri" w:cs="Arial"/>
      <w:b/>
      <w:bCs/>
      <w:sz w:val="26"/>
      <w:szCs w:val="26"/>
    </w:rPr>
  </w:style>
  <w:style w:type="character" w:styleId="1039" w:customStyle="1">
    <w:name w:val="Заголовок 4 Знак"/>
    <w:link w:val="804"/>
    <w:pPr>
      <w:pBdr/>
      <w:spacing/>
      <w:ind/>
    </w:pPr>
    <w:rPr>
      <w:b/>
      <w:bCs/>
      <w:sz w:val="28"/>
      <w:szCs w:val="28"/>
    </w:rPr>
  </w:style>
  <w:style w:type="character" w:styleId="1040" w:customStyle="1">
    <w:name w:val="Основной текст Знак"/>
    <w:link w:val="1005"/>
    <w:pPr>
      <w:pBdr/>
      <w:spacing/>
      <w:ind/>
    </w:pPr>
    <w:rPr>
      <w:sz w:val="24"/>
      <w:szCs w:val="24"/>
    </w:rPr>
  </w:style>
  <w:style w:type="character" w:styleId="1041" w:customStyle="1">
    <w:name w:val="z-Начало формы Знак"/>
    <w:link w:val="1031"/>
    <w:pPr>
      <w:pBdr/>
      <w:spacing/>
      <w:ind/>
    </w:pPr>
    <w:rPr>
      <w:rFonts w:ascii="Arial" w:hAnsi="Arial" w:cs="Arial"/>
      <w:vanish/>
      <w:sz w:val="16"/>
      <w:szCs w:val="16"/>
    </w:rPr>
  </w:style>
  <w:style w:type="character" w:styleId="1042" w:customStyle="1">
    <w:name w:val="z-Конец формы Знак"/>
    <w:link w:val="1032"/>
    <w:pPr>
      <w:pBdr/>
      <w:spacing/>
      <w:ind/>
    </w:pPr>
    <w:rPr>
      <w:rFonts w:ascii="Arial" w:hAnsi="Arial" w:cs="Arial"/>
      <w:vanish/>
      <w:sz w:val="16"/>
      <w:szCs w:val="16"/>
    </w:rPr>
  </w:style>
  <w:style w:type="paragraph" w:styleId="1043">
    <w:name w:val="List Bullet"/>
    <w:basedOn w:val="800"/>
    <w:pPr>
      <w:numPr>
        <w:numId w:val="3"/>
      </w:numPr>
      <w:pBdr/>
      <w:spacing/>
      <w:ind/>
      <w:contextualSpacing w:val="true"/>
    </w:pPr>
  </w:style>
  <w:style w:type="character" w:styleId="1044">
    <w:name w:val="annotation reference"/>
    <w:pPr>
      <w:pBdr/>
      <w:spacing/>
      <w:ind/>
    </w:pPr>
    <w:rPr>
      <w:sz w:val="16"/>
      <w:szCs w:val="16"/>
    </w:rPr>
  </w:style>
  <w:style w:type="paragraph" w:styleId="1045">
    <w:name w:val="annotation text"/>
    <w:basedOn w:val="800"/>
    <w:link w:val="1046"/>
    <w:pPr>
      <w:pBdr/>
      <w:spacing/>
      <w:ind/>
    </w:pPr>
    <w:rPr>
      <w:sz w:val="20"/>
      <w:szCs w:val="20"/>
      <w:lang w:val="en-US" w:eastAsia="en-US"/>
    </w:rPr>
  </w:style>
  <w:style w:type="character" w:styleId="1046" w:customStyle="1">
    <w:name w:val="Текст примечания Знак"/>
    <w:link w:val="1045"/>
    <w:pPr>
      <w:pBdr/>
      <w:spacing/>
      <w:ind/>
    </w:pPr>
  </w:style>
  <w:style w:type="paragraph" w:styleId="1047">
    <w:name w:val="annotation subject"/>
    <w:basedOn w:val="1045"/>
    <w:next w:val="1045"/>
    <w:link w:val="1048"/>
    <w:pPr>
      <w:pBdr/>
      <w:spacing/>
      <w:ind/>
    </w:pPr>
    <w:rPr>
      <w:b/>
      <w:bCs/>
    </w:rPr>
  </w:style>
  <w:style w:type="character" w:styleId="1048" w:customStyle="1">
    <w:name w:val="Тема примечания Знак"/>
    <w:link w:val="1047"/>
    <w:pPr>
      <w:pBdr/>
      <w:spacing/>
      <w:ind/>
    </w:pPr>
    <w:rPr>
      <w:b/>
      <w:bCs/>
    </w:rPr>
  </w:style>
  <w:style w:type="character" w:styleId="1049" w:customStyle="1">
    <w:name w:val="Абзац списка Знак"/>
    <w:link w:val="1017"/>
    <w:uiPriority w:val="34"/>
    <w:qFormat/>
    <w:pPr>
      <w:pBdr/>
      <w:spacing/>
      <w:ind/>
    </w:pPr>
    <w:rPr>
      <w:rFonts w:ascii="Calibri" w:hAnsi="Calibri" w:eastAsia="Calibri"/>
      <w:sz w:val="22"/>
      <w:szCs w:val="22"/>
      <w:lang w:eastAsia="en-US"/>
    </w:rPr>
  </w:style>
  <w:style w:type="paragraph" w:styleId="1050" w:customStyle="1">
    <w:name w:val="Обычный1"/>
    <w:qFormat/>
    <w:pPr>
      <w:widowControl w:val="false"/>
      <w:pBdr/>
      <w:tabs>
        <w:tab w:val="left" w:leader="none" w:pos="709"/>
      </w:tabs>
      <w:spacing/>
      <w:ind/>
    </w:pPr>
    <w:rPr>
      <w:rFonts w:cs="Lohit Hindi"/>
      <w:color w:val="00000a"/>
      <w:sz w:val="24"/>
      <w:szCs w:val="24"/>
      <w:lang w:bidi="hi-IN"/>
    </w:rPr>
  </w:style>
  <w:style w:type="table" w:styleId="1051" w:customStyle="1">
    <w:name w:val="Сетка таблицы1"/>
    <w:basedOn w:val="811"/>
    <w:next w:val="823"/>
    <w:uiPriority w:val="99"/>
    <w:pPr>
      <w:pBdr/>
      <w:spacing/>
      <w:ind/>
    </w:pPr>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52" w:customStyle="1">
    <w:name w:val="Нет списка1"/>
    <w:next w:val="812"/>
    <w:uiPriority w:val="99"/>
    <w:semiHidden/>
    <w:unhideWhenUsed/>
    <w:pPr>
      <w:pBdr/>
      <w:spacing/>
      <w:ind/>
    </w:pPr>
  </w:style>
  <w:style w:type="paragraph" w:styleId="1053" w:customStyle="1">
    <w:name w:val="Верхний колонтитул1"/>
    <w:basedOn w:val="800"/>
    <w:next w:val="972"/>
    <w:link w:val="1054"/>
    <w:uiPriority w:val="99"/>
    <w:unhideWhenUsed/>
    <w:pPr>
      <w:pBdr/>
      <w:tabs>
        <w:tab w:val="center" w:leader="none" w:pos="4677"/>
        <w:tab w:val="right" w:leader="none" w:pos="9355"/>
      </w:tabs>
      <w:spacing/>
      <w:ind/>
    </w:pPr>
    <w:rPr>
      <w:sz w:val="20"/>
      <w:szCs w:val="20"/>
      <w:lang w:val="en-US"/>
    </w:rPr>
  </w:style>
  <w:style w:type="character" w:styleId="1054" w:customStyle="1">
    <w:name w:val="Верхний колонтитул Знак"/>
    <w:link w:val="1053"/>
    <w:uiPriority w:val="99"/>
    <w:pPr>
      <w:pBdr/>
      <w:spacing/>
      <w:ind/>
    </w:pPr>
    <w:rPr>
      <w:rFonts w:eastAsia="Times New Roman"/>
      <w:lang w:eastAsia="ru-RU"/>
    </w:rPr>
  </w:style>
  <w:style w:type="paragraph" w:styleId="1055" w:customStyle="1">
    <w:name w:val="Нижний колонтитул1"/>
    <w:basedOn w:val="800"/>
    <w:next w:val="974"/>
    <w:link w:val="1056"/>
    <w:uiPriority w:val="99"/>
    <w:unhideWhenUsed/>
    <w:pPr>
      <w:pBdr/>
      <w:tabs>
        <w:tab w:val="center" w:leader="none" w:pos="4677"/>
        <w:tab w:val="right" w:leader="none" w:pos="9355"/>
      </w:tabs>
      <w:spacing/>
      <w:ind/>
    </w:pPr>
    <w:rPr>
      <w:sz w:val="20"/>
      <w:szCs w:val="20"/>
      <w:lang w:val="en-US"/>
    </w:rPr>
  </w:style>
  <w:style w:type="character" w:styleId="1056" w:customStyle="1">
    <w:name w:val="Нижний колонтитул Знак"/>
    <w:link w:val="1055"/>
    <w:uiPriority w:val="99"/>
    <w:pPr>
      <w:pBdr/>
      <w:spacing/>
      <w:ind/>
    </w:pPr>
    <w:rPr>
      <w:rFonts w:eastAsia="Times New Roman"/>
      <w:lang w:eastAsia="ru-RU"/>
    </w:rPr>
  </w:style>
  <w:style w:type="paragraph" w:styleId="1057" w:customStyle="1">
    <w:name w:val="Style5"/>
    <w:basedOn w:val="800"/>
    <w:uiPriority w:val="99"/>
    <w:pPr>
      <w:widowControl w:val="false"/>
      <w:pBdr/>
      <w:spacing w:line="259" w:lineRule="exact"/>
      <w:ind/>
      <w:jc w:val="both"/>
    </w:pPr>
  </w:style>
  <w:style w:type="character" w:styleId="1058" w:customStyle="1">
    <w:name w:val="Font Style17"/>
    <w:uiPriority w:val="99"/>
    <w:pPr>
      <w:pBdr/>
      <w:spacing/>
      <w:ind/>
    </w:pPr>
    <w:rPr>
      <w:rFonts w:ascii="Times New Roman" w:hAnsi="Times New Roman" w:cs="Times New Roman"/>
      <w:sz w:val="24"/>
      <w:szCs w:val="24"/>
    </w:rPr>
  </w:style>
  <w:style w:type="paragraph" w:styleId="1059" w:customStyle="1">
    <w:name w:val="ListNum"/>
    <w:basedOn w:val="800"/>
    <w:pPr>
      <w:numPr>
        <w:numId w:val="29"/>
      </w:numPr>
      <w:pBdr/>
      <w:tabs>
        <w:tab w:val="left" w:leader="none" w:pos="284"/>
      </w:tabs>
      <w:spacing w:before="60"/>
      <w:ind/>
      <w:jc w:val="both"/>
    </w:pPr>
    <w:rPr>
      <w:sz w:val="22"/>
    </w:rPr>
  </w:style>
  <w:style w:type="character" w:styleId="1060" w:customStyle="1">
    <w:name w:val="apple-converted-space"/>
    <w:pPr>
      <w:pBdr/>
      <w:spacing/>
      <w:ind/>
    </w:pPr>
  </w:style>
  <w:style w:type="character" w:styleId="1061" w:customStyle="1">
    <w:name w:val="apple-tab-span"/>
    <w:pPr>
      <w:pBdr/>
      <w:spacing/>
      <w:ind/>
    </w:pPr>
  </w:style>
  <w:style w:type="paragraph" w:styleId="1062" w:customStyle="1">
    <w:name w:val="Без интервала1"/>
    <w:next w:val="1029"/>
    <w:uiPriority w:val="1"/>
    <w:qFormat/>
    <w:pPr>
      <w:pBdr/>
      <w:spacing/>
      <w:ind/>
    </w:pPr>
    <w:rPr>
      <w:rFonts w:ascii="Calibri" w:hAnsi="Calibri"/>
      <w:sz w:val="22"/>
      <w:szCs w:val="22"/>
      <w:lang w:eastAsia="ru-RU"/>
    </w:rPr>
  </w:style>
  <w:style w:type="paragraph" w:styleId="1063" w:customStyle="1">
    <w:name w:val="Текст сноски1"/>
    <w:basedOn w:val="800"/>
    <w:next w:val="977"/>
    <w:link w:val="1064"/>
    <w:uiPriority w:val="99"/>
    <w:unhideWhenUsed/>
    <w:pPr>
      <w:pBdr/>
      <w:spacing/>
      <w:ind/>
    </w:pPr>
    <w:rPr>
      <w:sz w:val="20"/>
      <w:szCs w:val="20"/>
      <w:lang w:val="en-US"/>
    </w:rPr>
  </w:style>
  <w:style w:type="character" w:styleId="1064" w:customStyle="1">
    <w:name w:val="Текст сноски Знак"/>
    <w:link w:val="1063"/>
    <w:uiPriority w:val="99"/>
    <w:pPr>
      <w:pBdr/>
      <w:spacing/>
      <w:ind/>
    </w:pPr>
    <w:rPr>
      <w:rFonts w:eastAsia="Times New Roman"/>
      <w:sz w:val="20"/>
      <w:szCs w:val="20"/>
      <w:lang w:eastAsia="ru-RU"/>
    </w:rPr>
  </w:style>
  <w:style w:type="paragraph" w:styleId="1065" w:customStyle="1">
    <w:name w:val="Текст концевой сноски1"/>
    <w:basedOn w:val="800"/>
    <w:next w:val="980"/>
    <w:link w:val="1066"/>
    <w:uiPriority w:val="99"/>
    <w:semiHidden/>
    <w:unhideWhenUsed/>
    <w:pPr>
      <w:pBdr/>
      <w:spacing/>
      <w:ind/>
    </w:pPr>
    <w:rPr>
      <w:sz w:val="20"/>
      <w:szCs w:val="20"/>
      <w:lang w:val="en-US" w:eastAsia="en-US"/>
    </w:rPr>
  </w:style>
  <w:style w:type="character" w:styleId="1066" w:customStyle="1">
    <w:name w:val="Текст концевой сноски Знак"/>
    <w:link w:val="1065"/>
    <w:uiPriority w:val="99"/>
    <w:semiHidden/>
    <w:pPr>
      <w:pBdr/>
      <w:spacing/>
      <w:ind/>
    </w:pPr>
    <w:rPr>
      <w:sz w:val="20"/>
      <w:szCs w:val="20"/>
    </w:rPr>
  </w:style>
  <w:style w:type="character" w:styleId="1067" w:customStyle="1">
    <w:name w:val="Верхний колонтитул Знак1"/>
    <w:link w:val="972"/>
    <w:pPr>
      <w:pBdr/>
      <w:spacing/>
      <w:ind/>
    </w:pPr>
    <w:rPr>
      <w:sz w:val="24"/>
      <w:szCs w:val="24"/>
    </w:rPr>
  </w:style>
  <w:style w:type="character" w:styleId="1068" w:customStyle="1">
    <w:name w:val="Нижний колонтитул Знак1"/>
    <w:link w:val="974"/>
    <w:pPr>
      <w:pBdr/>
      <w:spacing/>
      <w:ind/>
    </w:pPr>
    <w:rPr>
      <w:sz w:val="24"/>
      <w:szCs w:val="24"/>
    </w:rPr>
  </w:style>
  <w:style w:type="character" w:styleId="1069" w:customStyle="1">
    <w:name w:val="Текст сноски Знак1"/>
    <w:link w:val="977"/>
    <w:pPr>
      <w:pBdr/>
      <w:spacing/>
      <w:ind/>
    </w:pPr>
  </w:style>
  <w:style w:type="character" w:styleId="1070" w:customStyle="1">
    <w:name w:val="Текст концевой сноски Знак1"/>
    <w:link w:val="980"/>
    <w:pPr>
      <w:pBdr/>
      <w:spacing/>
      <w:ind/>
    </w:pPr>
  </w:style>
  <w:style w:type="character" w:styleId="1071" w:customStyle="1">
    <w:name w:val="section__info2"/>
    <w:pPr>
      <w:pBdr/>
      <w:spacing/>
      <w:ind/>
    </w:pPr>
  </w:style>
  <w:style w:type="paragraph" w:styleId="1072" w:customStyle="1">
    <w:name w:val="Контракт-раздел"/>
    <w:basedOn w:val="800"/>
    <w:next w:val="1073"/>
    <w:pPr>
      <w:keepNext w:val="true"/>
      <w:numPr>
        <w:numId w:val="46"/>
      </w:numPr>
      <w:pBdr/>
      <w:tabs>
        <w:tab w:val="left" w:leader="none" w:pos="540"/>
      </w:tabs>
      <w:spacing w:after="120" w:before="360"/>
      <w:ind/>
      <w:jc w:val="center"/>
      <w:outlineLvl w:val="3"/>
    </w:pPr>
    <w:rPr>
      <w:b/>
      <w:bCs/>
      <w:caps/>
      <w:smallCaps/>
    </w:rPr>
  </w:style>
  <w:style w:type="paragraph" w:styleId="1073" w:customStyle="1">
    <w:name w:val="Контракт-пункт"/>
    <w:basedOn w:val="800"/>
    <w:pPr>
      <w:numPr>
        <w:ilvl w:val="1"/>
        <w:numId w:val="46"/>
      </w:numPr>
      <w:pBdr/>
      <w:spacing/>
      <w:ind/>
      <w:jc w:val="both"/>
    </w:pPr>
  </w:style>
  <w:style w:type="paragraph" w:styleId="1074" w:customStyle="1">
    <w:name w:val="Контракт-подпункт"/>
    <w:basedOn w:val="800"/>
    <w:pPr>
      <w:numPr>
        <w:ilvl w:val="2"/>
        <w:numId w:val="46"/>
      </w:numPr>
      <w:pBdr/>
      <w:spacing/>
      <w:ind/>
      <w:jc w:val="both"/>
    </w:pPr>
  </w:style>
  <w:style w:type="paragraph" w:styleId="1075" w:customStyle="1">
    <w:name w:val="Контракт-подподпункт"/>
    <w:basedOn w:val="800"/>
    <w:pPr>
      <w:numPr>
        <w:ilvl w:val="3"/>
        <w:numId w:val="46"/>
      </w:numPr>
      <w:pBdr/>
      <w:spacing/>
      <w:ind/>
      <w:jc w:val="both"/>
    </w:pPr>
  </w:style>
  <w:style w:type="character" w:styleId="1076" w:customStyle="1">
    <w:name w:val="apple-style-span"/>
    <w:basedOn w:val="810"/>
    <w:pPr>
      <w:pBdr/>
      <w:spacing/>
      <w:ind/>
    </w:pPr>
  </w:style>
  <w:style w:type="character" w:styleId="1077" w:customStyle="1">
    <w:name w:val="money"/>
    <w:basedOn w:val="810"/>
    <w:pPr>
      <w:pBdr/>
      <w:spacing/>
      <w:ind/>
    </w:pPr>
  </w:style>
  <w:style w:type="paragraph" w:styleId="1078">
    <w:name w:val="Plain Text"/>
    <w:basedOn w:val="800"/>
    <w:link w:val="1079"/>
    <w:uiPriority w:val="99"/>
    <w:pPr>
      <w:pBdr/>
      <w:spacing/>
      <w:ind w:firstLine="709"/>
      <w:jc w:val="both"/>
    </w:pPr>
    <w:rPr>
      <w:rFonts w:ascii="Courier New" w:hAnsi="Courier New" w:eastAsia="MS Mincho"/>
      <w:sz w:val="20"/>
      <w:szCs w:val="20"/>
    </w:rPr>
  </w:style>
  <w:style w:type="character" w:styleId="1079" w:customStyle="1">
    <w:name w:val="Текст Знак"/>
    <w:basedOn w:val="810"/>
    <w:link w:val="1078"/>
    <w:uiPriority w:val="99"/>
    <w:pPr>
      <w:pBdr/>
      <w:spacing/>
      <w:ind/>
    </w:pPr>
    <w:rPr>
      <w:rFonts w:ascii="Courier New" w:hAnsi="Courier New" w:eastAsia="MS Mincho"/>
    </w:rPr>
  </w:style>
  <w:style w:type="paragraph" w:styleId="1080" w:customStyle="1">
    <w:name w:val="center"/>
    <w:basedOn w:val="800"/>
    <w:pPr>
      <w:pBdr/>
      <w:spacing w:after="100" w:afterAutospacing="1" w:before="100" w:beforeAutospacing="1"/>
      <w:ind/>
      <w:jc w:val="center"/>
    </w:pPr>
  </w:style>
  <w:style w:type="paragraph" w:styleId="1081" w:customStyle="1">
    <w:name w:val="Default"/>
    <w:qFormat/>
    <w:pPr>
      <w:pBdr/>
      <w:spacing/>
      <w:ind/>
    </w:pPr>
    <w:rPr>
      <w:rFonts w:ascii="Arial" w:hAnsi="Arial" w:cs="Arial"/>
      <w:color w:val="000000"/>
      <w:sz w:val="24"/>
      <w:szCs w:val="24"/>
      <w:lang w:eastAsia="ru-RU"/>
    </w:rPr>
  </w:style>
  <w:style w:type="paragraph" w:styleId="1082" w:customStyle="1">
    <w:name w:val="Body Text 21"/>
    <w:basedOn w:val="800"/>
    <w:qFormat/>
    <w:pPr>
      <w:pBdr/>
      <w:spacing/>
      <w:ind/>
      <w:jc w:val="both"/>
    </w:pPr>
    <w:rPr>
      <w:szCs w:val="20"/>
    </w:rPr>
  </w:style>
  <w:style w:type="paragraph" w:styleId="1083" w:customStyle="1">
    <w:name w:val="111"/>
    <w:basedOn w:val="800"/>
    <w:link w:val="1084"/>
    <w:qFormat/>
    <w:pPr>
      <w:pBdr/>
      <w:spacing/>
      <w:ind/>
    </w:pPr>
    <w:rPr>
      <w:sz w:val="20"/>
      <w:szCs w:val="20"/>
    </w:rPr>
  </w:style>
  <w:style w:type="character" w:styleId="1084" w:customStyle="1">
    <w:name w:val="111 Знак"/>
    <w:basedOn w:val="810"/>
    <w:link w:val="1083"/>
    <w:pPr>
      <w:pBdr/>
      <w:spacing/>
      <w:ind/>
    </w:pPr>
  </w:style>
  <w:style w:type="paragraph" w:styleId="1085" w:customStyle="1">
    <w:name w:val="Standard"/>
    <w:qFormat/>
    <w:pPr>
      <w:pBdr/>
      <w:spacing/>
      <w:ind/>
    </w:pPr>
    <w:rPr>
      <w:rFonts w:ascii="Liberation Serif" w:hAnsi="Liberation Serif" w:eastAsia="SimSun" w:cs="Mangal"/>
      <w:sz w:val="24"/>
      <w:szCs w:val="24"/>
      <w:lang w:eastAsia="ru-RU"/>
    </w:rPr>
  </w:style>
  <w:style w:type="character" w:styleId="1086" w:customStyle="1">
    <w:name w:val="copy_title"/>
    <w:basedOn w:val="810"/>
    <w:pPr>
      <w:pBdr/>
      <w:spacing/>
      <w:ind/>
    </w:pPr>
  </w:style>
  <w:style w:type="character" w:styleId="1087" w:customStyle="1">
    <w:name w:val="copy_target"/>
    <w:basedOn w:val="810"/>
    <w:pPr>
      <w:pBdr/>
      <w:spacing/>
      <w:ind/>
    </w:pPr>
  </w:style>
  <w:style w:type="character" w:styleId="1088" w:customStyle="1">
    <w:name w:val="cardmaininfo__content"/>
    <w:basedOn w:val="810"/>
    <w:pPr>
      <w:pBdr/>
      <w:spacing/>
      <w:ind/>
    </w:pPr>
  </w:style>
  <w:style w:type="character" w:styleId="1089" w:customStyle="1">
    <w:name w:val="Без интервала Знак"/>
    <w:basedOn w:val="810"/>
    <w:link w:val="1029"/>
    <w:uiPriority w:val="1"/>
    <w:pPr>
      <w:pBdr/>
      <w:spacing/>
      <w:ind/>
    </w:pPr>
    <w:rPr>
      <w:sz w:val="24"/>
      <w:szCs w:val="24"/>
      <w:lang w:val="ru-RU" w:eastAsia="ru-RU"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zakupki.gov.ru/epz/orderplan/pg2020/specialPurchase/special-purchase-info.html?plan-number=202603221000038001&amp;position-number=202603221000038001000006&amp;version=0"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ONLYOFFICE/9.2.1.43</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16</dc:title>
  <dc:creator>snab</dc:creator>
  <cp:revision>273</cp:revision>
  <dcterms:created xsi:type="dcterms:W3CDTF">2021-08-23T08:18:00Z</dcterms:created>
  <dcterms:modified xsi:type="dcterms:W3CDTF">2026-07-29T02:14:58Z</dcterms:modified>
  <cp:version>786432</cp:version>
</cp:coreProperties>
</file>