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ТЕХНИЧЕСКАЯ ЧАСТЬ</w:t>
      </w:r>
      <w:r>
        <w:rPr>
          <w:rFonts w:ascii="Times New Roman" w:hAnsi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ОБ ОБЪЕКТЕ ЗАКУПКИ</w:t>
      </w:r>
      <w:r>
        <w:rPr>
          <w:rFonts w:ascii="Times New Roman" w:hAnsi="Times New Roman"/>
          <w:b/>
          <w:color w:val="ff0000"/>
          <w:sz w:val="24"/>
          <w:szCs w:val="24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 Общие требования к условиям закупки: поставляемый товар должен соответствовать техническим требованиям настоящей части. В этих случаях товар считается соответствующий требованиям: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1.1. Товар, поставка которого предусмотрена требованиям настоящей технической части, должен быть разрешен к применению на территории Российской Федерации.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1.2. Поставляемый товар должен быть новым, ранее не использованным, не подвергнутый восстановлению, в</w:t>
      </w:r>
      <w:r>
        <w:rPr>
          <w:rFonts w:ascii="Times New Roman" w:hAnsi="Times New Roman"/>
          <w:lang w:eastAsia="ru-RU"/>
        </w:rPr>
        <w:t xml:space="preserve"> том числе в качестве выставочного образца и свободным от прав третьих лиц.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1.3. Поставляемый товар должен быть упакован в заводских условиях. Упаковка каждой единицы товара должна быть выполнена в соответствии с техническими условиями производителя и соот</w:t>
      </w:r>
      <w:r>
        <w:rPr>
          <w:rFonts w:ascii="Times New Roman" w:hAnsi="Times New Roman"/>
          <w:lang w:eastAsia="ru-RU"/>
        </w:rPr>
        <w:t xml:space="preserve">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производителем), номер и серию партии, дату изготовления и срок годности. Информа</w:t>
      </w:r>
      <w:r>
        <w:rPr>
          <w:rFonts w:ascii="Times New Roman" w:hAnsi="Times New Roman"/>
          <w:lang w:eastAsia="ru-RU"/>
        </w:rPr>
        <w:t xml:space="preserve">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соответствующего вида продукции на территории Российской Федерации, упаковка так</w:t>
      </w:r>
      <w:r>
        <w:rPr>
          <w:rFonts w:ascii="Times New Roman" w:hAnsi="Times New Roman"/>
          <w:lang w:eastAsia="ru-RU"/>
        </w:rPr>
        <w:t xml:space="preserve">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1.4. Товар должен соответствовать современным нормам качества и функци</w:t>
      </w:r>
      <w:r>
        <w:rPr>
          <w:rFonts w:ascii="Times New Roman" w:hAnsi="Times New Roman"/>
          <w:lang w:eastAsia="ru-RU"/>
        </w:rPr>
        <w:t xml:space="preserve">ональности. Участник обязан гарантировать качество и годность продукции к эксплуатации, при использовании, в целях, для которых предназначен данный товар. </w:t>
      </w:r>
      <w:r>
        <w:rPr>
          <w:rFonts w:ascii="Times New Roman" w:hAnsi="Times New Roman"/>
        </w:rPr>
        <w:t xml:space="preserve">Остаточный гарантийный срок хранения (срок годности Товара)</w:t>
      </w:r>
      <w:r>
        <w:rPr>
          <w:rFonts w:ascii="Times New Roman" w:hAnsi="Times New Roman"/>
          <w:lang w:eastAsia="ru-RU"/>
        </w:rPr>
        <w:t xml:space="preserve">, гарантии каждого вида товара должны соот</w:t>
      </w:r>
      <w:r>
        <w:rPr>
          <w:rFonts w:ascii="Times New Roman" w:hAnsi="Times New Roman"/>
          <w:lang w:eastAsia="ru-RU"/>
        </w:rPr>
        <w:t xml:space="preserve">ветствовать, указанным в настоящей технической части.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1.5. Товар должен соответствовать его функциональному назначению. Внешний вид товара, его целостность, дизайн, стиль, производственное исполнение должны удовлетворять эстетические потребности человека. 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1.6. Товар должен быть безопасными для окружающей среды и человека. Гигиенические характеристики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</w:t>
      </w:r>
      <w:r>
        <w:rPr>
          <w:rFonts w:ascii="Times New Roman" w:hAnsi="Times New Roman"/>
          <w:lang w:eastAsia="ru-RU"/>
        </w:rPr>
        <w:t xml:space="preserve">и письмами или иными документами на усмотрение участника (документы не являются обязательными). </w:t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 На поверхностях товара недопустимо наличие сколов, трещин, вмятин.</w:t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Требования к функциональным, техническим, качественным и эксплуатационным характер</w:t>
      </w:r>
      <w:r>
        <w:rPr>
          <w:rFonts w:ascii="Times New Roman" w:hAnsi="Times New Roman"/>
        </w:rPr>
        <w:t xml:space="preserve">истикам, требования к безопасности товаров и их количество предусмотрены настоящей технической частью.</w:t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должен поставить товар в соответствии с положениями настоящей технической частью. </w:t>
      </w:r>
      <w:r>
        <w:rPr>
          <w:rFonts w:ascii="Times New Roman" w:hAnsi="Times New Roman"/>
        </w:rPr>
      </w:r>
    </w:p>
    <w:p>
      <w:pPr>
        <w:pBdr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Частичная поставка не допускается.</w:t>
      </w:r>
      <w:r>
        <w:rPr>
          <w:rFonts w:ascii="Times New Roman" w:hAnsi="Times New Roman"/>
        </w:rPr>
      </w:r>
    </w:p>
    <w:p>
      <w:pPr>
        <w:pBdr/>
        <w:spacing w:after="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Место поставки: </w:t>
      </w:r>
      <w:r>
        <w:rPr>
          <w:rFonts w:ascii="Times New Roman" w:hAnsi="Times New Roman"/>
          <w:sz w:val="22"/>
          <w:szCs w:val="22"/>
        </w:rPr>
        <w:t xml:space="preserve">г. Хабаро</w:t>
      </w:r>
      <w:r>
        <w:rPr>
          <w:rFonts w:ascii="Times New Roman" w:hAnsi="Times New Roman"/>
          <w:sz w:val="22"/>
          <w:szCs w:val="22"/>
        </w:rPr>
        <w:t xml:space="preserve">вск, ул. Муравьева-Амурского, д.35</w:t>
      </w:r>
      <w:r>
        <w:rPr>
          <w:rFonts w:ascii="Times New Roman" w:hAnsi="Times New Roman"/>
          <w:sz w:val="22"/>
          <w:szCs w:val="22"/>
        </w:rPr>
      </w:r>
    </w:p>
    <w:p>
      <w:pPr>
        <w:pStyle w:val="926"/>
        <w:pBdr/>
        <w:spacing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Срок поставки: </w:t>
      </w:r>
      <w:r>
        <w:rPr>
          <w:rFonts w:ascii="Times New Roman" w:hAnsi="Times New Roman"/>
          <w:sz w:val="22"/>
          <w:szCs w:val="22"/>
        </w:rPr>
        <w:t xml:space="preserve">в течение 5 (пяти) дней после заключения контракта.</w:t>
      </w:r>
      <w:r>
        <w:rPr>
          <w:rFonts w:ascii="Times New Roman" w:hAnsi="Times New Roman"/>
          <w:sz w:val="22"/>
          <w:szCs w:val="22"/>
        </w:rPr>
      </w:r>
    </w:p>
    <w:p>
      <w:pPr>
        <w:pStyle w:val="926"/>
        <w:pBdr/>
        <w:spacing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Количество к поставке</w:t>
      </w:r>
      <w:r>
        <w:rPr>
          <w:rFonts w:ascii="Times New Roman" w:hAnsi="Times New Roman"/>
        </w:rPr>
      </w:r>
    </w:p>
    <w:tbl>
      <w:tblPr>
        <w:tblStyle w:val="924"/>
        <w:tblW w:w="10443" w:type="dxa"/>
        <w:tblBorders/>
        <w:tblLayout w:type="fixed"/>
        <w:tblLook w:val="04A0" w:firstRow="1" w:lastRow="0" w:firstColumn="1" w:lastColumn="0" w:noHBand="0" w:noVBand="1"/>
      </w:tblPr>
      <w:tblGrid>
        <w:gridCol w:w="630"/>
        <w:gridCol w:w="4183"/>
        <w:gridCol w:w="873"/>
        <w:gridCol w:w="898"/>
        <w:gridCol w:w="1518"/>
        <w:gridCol w:w="2341"/>
      </w:tblGrid>
      <w:tr>
        <w:trPr>
          <w:trHeight w:val="565"/>
        </w:trPr>
        <w:tc>
          <w:tcPr>
            <w:tcBorders/>
            <w:tcW w:w="6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п/п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418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товара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Ед. изм.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89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151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ОКПД 2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234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КТРУ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rPr>
          <w:trHeight w:val="191"/>
        </w:trPr>
        <w:tc>
          <w:tcPr>
            <w:tcBorders/>
            <w:tcW w:w="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41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Кабели связи симметричные для цифровых систем передачи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7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2440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5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27.32.13.159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23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3"/>
        </w:trPr>
        <w:tc>
          <w:tcPr>
            <w:tcBorders/>
            <w:tcW w:w="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418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Лоток кабельный пластиковый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7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15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22.29.29.190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234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22.29.29.190-00000060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Bdr/>
        <w:spacing w:after="0"/>
        <w:ind w:firstLine="709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</w:t>
      </w:r>
      <w:r>
        <w:rPr>
          <w:rFonts w:ascii="Times New Roman" w:hAnsi="Times New Roman"/>
        </w:rPr>
      </w:r>
    </w:p>
    <w:p>
      <w:pPr>
        <w:pBdr/>
        <w:spacing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  <w:lang w:eastAsia="ru-RU"/>
        </w:rPr>
        <w:t xml:space="preserve">Функциональные, технические и качественные характеристики, эксплуатационные характеристики товара.</w:t>
      </w:r>
      <w:r>
        <w:rPr>
          <w:rFonts w:ascii="Times New Roman" w:hAnsi="Times New Roman" w:eastAsia="Times New Roman"/>
          <w:b/>
          <w:bCs/>
        </w:rPr>
        <w:t xml:space="preserve"> </w:t>
      </w:r>
      <w:r>
        <w:rPr>
          <w:rFonts w:ascii="Times New Roman" w:hAnsi="Times New Roman" w:eastAsia="Times New Roman"/>
          <w:b/>
          <w:bCs/>
          <w:lang w:eastAsia="ru-RU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 w:eastAsia="Times New Roman"/>
          <w:b/>
          <w:bCs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Times New Roman"/>
          <w:b/>
          <w:bCs/>
          <w:lang w:eastAsia="ru-RU"/>
        </w:rPr>
      </w:pPr>
      <w:r>
        <w:rPr>
          <w:rFonts w:ascii="Times New Roman" w:hAnsi="Times New Roman" w:eastAsia="Times New Roman"/>
          <w:b/>
          <w:bCs/>
          <w:lang w:eastAsia="ru-RU"/>
        </w:rPr>
      </w:r>
      <w:r>
        <w:rPr>
          <w:rFonts w:ascii="Times New Roman" w:hAnsi="Times New Roman" w:eastAsia="Times New Roman"/>
          <w:b/>
          <w:bCs/>
          <w:lang w:eastAsia="ru-RU"/>
        </w:rPr>
      </w:r>
    </w:p>
    <w:tbl>
      <w:tblPr>
        <w:tblStyle w:val="924"/>
        <w:tblW w:w="10443" w:type="dxa"/>
        <w:tblBorders/>
        <w:tblLayout w:type="fixed"/>
        <w:tblLook w:val="04A0" w:firstRow="1" w:lastRow="0" w:firstColumn="1" w:lastColumn="0" w:noHBand="0" w:noVBand="1"/>
      </w:tblPr>
      <w:tblGrid>
        <w:gridCol w:w="522"/>
        <w:gridCol w:w="3471"/>
        <w:gridCol w:w="3332"/>
        <w:gridCol w:w="3118"/>
      </w:tblGrid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                п/</w:t>
            </w:r>
            <w:r>
              <w:rPr>
                <w:rFonts w:ascii="Times New Roman" w:hAnsi="Times New Roman"/>
                <w:b/>
              </w:rPr>
              <w:t xml:space="preserve">п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Наименование, характ</w:t>
            </w:r>
            <w:r>
              <w:rPr>
                <w:rFonts w:ascii="Times New Roman" w:hAnsi="Times New Roman"/>
                <w:b/>
              </w:rPr>
              <w:t xml:space="preserve">еристики, параметры </w:t>
            </w:r>
            <w:r>
              <w:rPr>
                <w:rFonts w:ascii="Times New Roman" w:hAnsi="Times New Roman"/>
                <w:b/>
              </w:rPr>
              <w:t xml:space="preserve">товара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3332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Требуемое значение, величина параметра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Обоснование включение дополнительной </w:t>
            </w:r>
            <w:r>
              <w:rPr>
                <w:rFonts w:ascii="Times New Roman" w:hAnsi="Times New Roman"/>
                <w:b/>
              </w:rPr>
              <w:t xml:space="preserve">информации и сведений о товаре</w:t>
            </w: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Кабели связи симметричные для цифровых систем передачи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line="240" w:lineRule="auto"/>
              <w:ind/>
              <w:contextualSpacing w:val="true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Общие сведения:</w:t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Товарный знак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Область применения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в структурированных кабельных системах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происхождения: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84"/>
        </w:trPr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Технические характеристики: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Тип скрутки элементов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парная скрутка (</w:t>
            </w:r>
            <w:r>
              <w:rPr>
                <w:rFonts w:ascii="Times New Roman" w:hAnsi="Times New Roman"/>
                <w:lang w:val="en-US"/>
              </w:rPr>
              <w:t xml:space="preserve">UTP</w:t>
            </w:r>
            <w:r>
              <w:rPr>
                <w:rFonts w:ascii="Times New Roman" w:hAnsi="Times New Roman"/>
              </w:rPr>
              <w:t xml:space="preserve">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Категория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291"/>
        </w:trPr>
        <w:tc>
          <w:tcPr>
            <w:tcBorders/>
            <w:tcW w:w="52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Число пар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жил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 проводника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Медь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Толщина сечения жилы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передачи»), миллиметр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≥0</w:t>
            </w:r>
            <w:r>
              <w:rPr>
                <w:rFonts w:ascii="Times New Roman" w:hAnsi="Times New Roman"/>
              </w:rPr>
              <w:t xml:space="preserve">,5 и </w:t>
            </w:r>
            <w:r>
              <w:rPr>
                <w:rFonts w:ascii="Times New Roman" w:hAnsi="Times New Roman"/>
                <w:lang w:val="en-US"/>
              </w:rPr>
              <w:t xml:space="preserve">≤</w:t>
            </w:r>
            <w:r>
              <w:rPr>
                <w:rFonts w:ascii="Times New Roman" w:hAnsi="Times New Roman"/>
              </w:rPr>
              <w:t xml:space="preserve">0,65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 диэлектрика 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(согласно ГОСТ Р 54429-2011 «Кабели связи симметричные для цифровых систем передачи»)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PVC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Длина кабеля в единице упаковки, метр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&gt;</w:t>
            </w:r>
            <w:r>
              <w:rPr>
                <w:rFonts w:ascii="Times New Roman" w:hAnsi="Times New Roman"/>
              </w:rPr>
              <w:t xml:space="preserve">300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/>
                <w:bCs/>
                <w:lang w:eastAsia="ru-RU"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Упаковка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бухта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Лоток кабельный пластиковый</w:t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  <w:lang w:eastAsia="ru-RU"/>
              </w:rPr>
              <w:t xml:space="preserve">Общие сведения:</w:t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в соответствии с техническим паспортом и/или руководством по эксплуатации и/или этикеткой производителя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Товарный знак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для монтажа на архитектурную поверхность (стену, пол, потолок) и заключения в своём объёме проводов и кабелей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происхождения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Технические характеристики: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Высота (внешняя), миллиметр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≥ 60 и &lt; 80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6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Ширина (внешняя), миллиметр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≥ 100 и &lt; 120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7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Длина, миллиметр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≥ 2000 и &lt; 3000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>
          <w:trHeight w:val="291"/>
        </w:trPr>
        <w:tc>
          <w:tcPr>
            <w:tcBorders/>
            <w:tcW w:w="52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8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Наличие крышки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Да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9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Тип монтажа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Парапетные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</w:r>
            <w:r>
              <w:rPr>
                <w:rFonts w:ascii="Times New Roman" w:hAnsi="Times New Roman" w:eastAsia="Times New Roman"/>
                <w:b/>
                <w:bCs/>
              </w:rPr>
            </w:r>
          </w:p>
        </w:tc>
      </w:tr>
      <w:tr>
        <w:trPr/>
        <w:tc>
          <w:tcPr>
            <w:tcBorders/>
            <w:tcW w:w="5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10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47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bCs/>
              </w:rPr>
            </w:pPr>
            <w:r>
              <w:rPr>
                <w:rFonts w:ascii="Times New Roman" w:hAnsi="Times New Roman" w:eastAsia="Times New Roman"/>
                <w:bCs/>
              </w:rPr>
              <w:t xml:space="preserve">Цвет</w:t>
            </w:r>
            <w:r>
              <w:rPr>
                <w:rFonts w:ascii="Times New Roman" w:hAnsi="Times New Roman" w:eastAsia="Times New Roman"/>
                <w:bCs/>
              </w:rPr>
            </w:r>
          </w:p>
        </w:tc>
        <w:tc>
          <w:tcPr>
            <w:tcBorders/>
            <w:tcW w:w="33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Белый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Для обеспечения единообразия и целостности интерьера</w:t>
            </w:r>
            <w:r>
              <w:rPr>
                <w:rFonts w:ascii="Times New Roman" w:hAnsi="Times New Roman" w:eastAsia="Times New Roman"/>
              </w:rPr>
            </w:r>
          </w:p>
        </w:tc>
      </w:tr>
    </w:tbl>
    <w:p w14:paraId="2DB8AEC4">
      <w:pPr>
        <w:pStyle w:val="943"/>
        <w:pBdr/>
        <w:spacing/>
        <w:ind w:firstLine="567"/>
        <w:jc w:val="center"/>
        <w:rPr>
          <w:b/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highlight w:val="none"/>
        </w:rPr>
      </w:r>
      <w:r>
        <w:rPr>
          <w:b/>
          <w:color w:val="000000"/>
          <w:sz w:val="22"/>
          <w:szCs w:val="22"/>
          <w:highlight w:val="none"/>
        </w:rPr>
      </w:r>
      <w:r>
        <w:rPr>
          <w:b/>
          <w:color w:val="000000"/>
          <w:sz w:val="22"/>
          <w:szCs w:val="22"/>
          <w:highlight w:val="none"/>
        </w:rPr>
      </w:r>
    </w:p>
    <w:p w14:paraId="27B5AFCE">
      <w:pPr>
        <w:pStyle w:val="943"/>
        <w:pBdr/>
        <w:spacing/>
        <w:ind w:firstLine="567"/>
        <w:jc w:val="center"/>
        <w:rPr>
          <w:b/>
          <w:bCs/>
          <w:color w:val="000000"/>
          <w:sz w:val="22"/>
          <w:szCs w:val="22"/>
          <w:highlight w:val="none"/>
        </w:rPr>
      </w:pPr>
      <w:r>
        <w:rPr>
          <w:b/>
          <w:color w:val="000000"/>
          <w:sz w:val="22"/>
          <w:szCs w:val="22"/>
        </w:rPr>
        <w:t xml:space="preserve">Место и условия поставки товара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 w14:paraId="0B229385">
      <w:pPr>
        <w:pStyle w:val="943"/>
        <w:pBdr/>
        <w:spacing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Поставка Товара осуществляется си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en-US"/>
        </w:rPr>
        <w:t xml:space="preserve">лами и за счет средств Поставщика на условиях поставки, разгрузки в месте доставки Товара, с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кладирования в месте поставки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 по адресу Заказчика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en-US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en-US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  <w:lang w:eastAsia="en-US"/>
        </w:rPr>
      </w:r>
    </w:p>
    <w:p w14:paraId="6BC63E8E">
      <w:pPr>
        <w:pStyle w:val="926"/>
        <w:pBdr/>
        <w:tabs>
          <w:tab w:val="left" w:leader="none" w:pos="9923"/>
        </w:tabs>
        <w:spacing w:line="240" w:lineRule="auto"/>
        <w:ind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  <w:t xml:space="preserve">Место поставки: </w:t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</w:rPr>
      </w:r>
    </w:p>
    <w:tbl>
      <w:tblPr>
        <w:tblInd w:w="108" w:type="dxa"/>
        <w:tblW w:w="489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2240"/>
        <w:gridCol w:w="1702"/>
        <w:gridCol w:w="1308"/>
        <w:gridCol w:w="1306"/>
        <w:gridCol w:w="1355"/>
        <w:gridCol w:w="17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1" w:type="pct"/>
            <w:vAlign w:val="center"/>
            <w:textDirection w:val="lrTb"/>
            <w:noWrap w:val="false"/>
          </w:tcPr>
          <w:p w14:paraId="1CF2AA56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N 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7" w:type="pct"/>
            <w:vAlign w:val="center"/>
            <w:textDirection w:val="lrTb"/>
            <w:noWrap w:val="false"/>
          </w:tcPr>
          <w:p w14:paraId="5C4ACDEE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Наименование товара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pct"/>
            <w:vAlign w:val="center"/>
            <w:textDirection w:val="lrTb"/>
            <w:noWrap w:val="false"/>
          </w:tcPr>
          <w:p w14:paraId="5496DE4F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ОКДП2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" w:type="pct"/>
            <w:vAlign w:val="center"/>
            <w:textDirection w:val="lrTb"/>
            <w:noWrap w:val="false"/>
          </w:tcPr>
          <w:p w14:paraId="52E084D8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Единицы измерения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pct"/>
            <w:vAlign w:val="center"/>
            <w:textDirection w:val="lrTb"/>
            <w:noWrap w:val="false"/>
          </w:tcPr>
          <w:p w14:paraId="3250B8AF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Количество в единицах измерения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pct"/>
            <w:vAlign w:val="center"/>
            <w:textDirection w:val="lrTb"/>
            <w:noWrap w:val="false"/>
          </w:tcPr>
          <w:p w14:paraId="2B309AA6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Получатель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pct"/>
            <w:vAlign w:val="center"/>
            <w:textDirection w:val="lrTb"/>
            <w:noWrap w:val="false"/>
          </w:tcPr>
          <w:p w14:paraId="3C3F9165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Место (адрес) доставки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rPr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1" w:type="pct"/>
            <w:vAlign w:val="center"/>
            <w:textDirection w:val="lrTb"/>
            <w:noWrap w:val="false"/>
          </w:tcPr>
          <w:p w14:paraId="44E5978D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7" w:type="pct"/>
            <w:vAlign w:val="center"/>
            <w:textDirection w:val="lrTb"/>
            <w:noWrap w:val="false"/>
          </w:tcPr>
          <w:p w14:paraId="20BA9A5F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pct"/>
            <w:vAlign w:val="center"/>
            <w:textDirection w:val="lrTb"/>
            <w:noWrap w:val="false"/>
          </w:tcPr>
          <w:p w14:paraId="678144D9">
            <w:pPr>
              <w:pBdr/>
              <w:spacing w:line="240" w:lineRule="auto"/>
              <w: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27.32.13.159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" w:type="pct"/>
            <w:vAlign w:val="center"/>
            <w:textDirection w:val="lrTb"/>
            <w:noWrap w:val="false"/>
          </w:tcPr>
          <w:p w14:paraId="4CBE72D2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2440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pct"/>
            <w:vAlign w:val="center"/>
            <w:textDirection w:val="lrTb"/>
            <w:noWrap w:val="false"/>
          </w:tcPr>
          <w:p w14:paraId="56C29165">
            <w:pPr>
              <w:pBdr/>
              <w:spacing w:line="240" w:lineRule="auto"/>
              <w: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метр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pct"/>
            <w:vAlign w:val="center"/>
            <w:textDirection w:val="lrTb"/>
            <w:noWrap w:val="false"/>
          </w:tcPr>
          <w:p w14:paraId="24DA0B54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Склад ДВГМУ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pct"/>
            <w:vAlign w:val="center"/>
            <w:textDirection w:val="lrTb"/>
            <w:noWrap w:val="false"/>
          </w:tcPr>
          <w:p w14:paraId="01B5B102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680000, Хабаровский край, г. Хабаровск, ул.  Муравьева-Амурского 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</w:tr>
      <w:tr>
        <w:trPr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1" w:type="pct"/>
            <w:vAlign w:val="center"/>
            <w:textDirection w:val="lrTb"/>
            <w:noWrap w:val="false"/>
          </w:tcPr>
          <w:p w14:paraId="70D488C6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97" w:type="pct"/>
            <w:vAlign w:val="center"/>
            <w:textDirection w:val="lrTb"/>
            <w:noWrap w:val="false"/>
          </w:tcPr>
          <w:p w14:paraId="78F0EB97">
            <w:pPr>
              <w:pBdr/>
              <w:spacing w:line="240" w:lineRule="auto"/>
              <w: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pct"/>
            <w:vAlign w:val="center"/>
            <w:textDirection w:val="lrTb"/>
            <w:noWrap w:val="false"/>
          </w:tcPr>
          <w:p w14:paraId="6DD06492">
            <w:pPr>
              <w:pBdr/>
              <w:spacing w:line="240" w:lineRule="auto"/>
              <w: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22.29.29.190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1" w:type="pct"/>
            <w:vAlign w:val="center"/>
            <w:textDirection w:val="lrTb"/>
            <w:noWrap w:val="false"/>
          </w:tcPr>
          <w:p w14:paraId="052FDCFF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0" w:type="pct"/>
            <w:vAlign w:val="center"/>
            <w:textDirection w:val="lrTb"/>
            <w:noWrap w:val="false"/>
          </w:tcPr>
          <w:p w14:paraId="172873AD">
            <w:pPr>
              <w:pBdr/>
              <w:spacing w:line="240" w:lineRule="auto"/>
              <w: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штука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pct"/>
            <w:vAlign w:val="center"/>
            <w:textDirection w:val="lrTb"/>
            <w:noWrap w:val="false"/>
          </w:tcPr>
          <w:p w14:paraId="3087E042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Склад ДВГМУ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pct"/>
            <w:vAlign w:val="center"/>
            <w:textDirection w:val="lrTb"/>
            <w:noWrap w:val="false"/>
          </w:tcPr>
          <w:p w14:paraId="4CBF0CD7">
            <w:pPr>
              <w:widowControl w:val="false"/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680000, Хабаровский край, г. Хабаровск, ул.  Муравьева-Амурского 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2"/>
                <w:szCs w:val="22"/>
              </w:rPr>
            </w:r>
          </w:p>
        </w:tc>
      </w:tr>
    </w:tbl>
    <w:p w14:paraId="2739ADF8">
      <w:pPr>
        <w:pStyle w:val="945"/>
        <w:pBdr/>
        <w:shd w:val="clear" w:color="auto" w:fill="ffffff"/>
        <w:spacing/>
        <w:ind w:right="34"/>
        <w:contextualSpacing w:val="true"/>
        <w:jc w:val="both"/>
        <w:rPr>
          <w:rFonts w:eastAsia="Calibri" w:cs="Times New Roman"/>
          <w:sz w:val="22"/>
          <w:szCs w:val="22"/>
          <w:lang w:eastAsia="ru-RU"/>
        </w:rPr>
      </w:pPr>
      <w:r>
        <w:rPr>
          <w:rFonts w:eastAsia="Calibri" w:cs="Times New Roman"/>
          <w:b/>
          <w:color w:val="000000"/>
          <w:sz w:val="22"/>
          <w:szCs w:val="22"/>
          <w:lang w:eastAsia="ru-RU" w:bidi="ar-SA"/>
        </w:rPr>
        <w:tab/>
      </w:r>
      <w:r>
        <w:rPr>
          <w:rFonts w:eastAsia="Calibri" w:cs="Times New Roman"/>
          <w:sz w:val="22"/>
          <w:szCs w:val="22"/>
          <w:lang w:eastAsia="ru-RU"/>
        </w:rPr>
        <w:t xml:space="preserve">Поставка производится в рабочие дни с 9-00 час. до 17-00 час. (время местное). Поставщик уведомляет Заказчика о предполагаемой дате доставки Товара не менее чем за 5 рабочих дней.</w:t>
      </w:r>
      <w:r>
        <w:rPr>
          <w:rFonts w:eastAsia="Calibri" w:cs="Times New Roman"/>
          <w:sz w:val="22"/>
          <w:szCs w:val="22"/>
          <w:lang w:eastAsia="ru-RU"/>
        </w:rPr>
      </w:r>
      <w:r>
        <w:rPr>
          <w:rFonts w:eastAsia="Calibri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</w:rPr>
      </w:r>
      <w:r>
        <w:rPr>
          <w:rFonts w:ascii="Times New Roman" w:hAnsi="Times New Roman" w:eastAsia="Times New Roman"/>
          <w:b/>
          <w:bCs/>
        </w:rPr>
      </w:r>
    </w:p>
    <w:p>
      <w:pPr>
        <w:pBdr/>
        <w:spacing w:after="0" w:line="240" w:lineRule="auto"/>
        <w:ind w:firstLine="708"/>
        <w:contextualSpacing w:val="true"/>
        <w:jc w:val="center"/>
        <w:rPr>
          <w:rFonts w:ascii="Times New Roman" w:hAnsi="Times New Roman" w:eastAsia="Times New Roman"/>
          <w:b/>
          <w:lang w:eastAsia="zh-CN"/>
        </w:rPr>
      </w:pPr>
      <w:r>
        <w:rPr>
          <w:rFonts w:ascii="Times New Roman" w:hAnsi="Times New Roman" w:eastAsia="Times New Roman"/>
          <w:b/>
          <w:lang w:eastAsia="zh-CN"/>
        </w:rPr>
        <w:t xml:space="preserve"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условий:</w:t>
      </w:r>
      <w:r>
        <w:rPr>
          <w:rFonts w:ascii="Times New Roman" w:hAnsi="Times New Roman" w:eastAsia="Times New Roman"/>
          <w:b/>
          <w:lang w:eastAsia="zh-CN"/>
        </w:rPr>
      </w:r>
    </w:p>
    <w:p>
      <w:pPr>
        <w:pBdr/>
        <w:spacing w:after="0" w:line="240" w:lineRule="auto"/>
        <w:ind w:firstLine="708"/>
        <w:contextualSpacing w:val="true"/>
        <w:jc w:val="both"/>
        <w:rPr>
          <w:rFonts w:ascii="Times New Roman" w:hAnsi="Times New Roman" w:eastAsia="Times New Roman"/>
          <w:lang w:eastAsia="zh-CN"/>
        </w:rPr>
      </w:pPr>
      <w:r>
        <w:rPr>
          <w:rFonts w:ascii="Times New Roman" w:hAnsi="Times New Roman" w:eastAsia="Times New Roman"/>
          <w:lang w:eastAsia="zh-CN"/>
        </w:rPr>
        <w:t xml:space="preserve">Безопасность товара должна соответствовать требованиям технических регламентов и ГОСТ, действующих на территории Российской Федерации.</w:t>
      </w:r>
      <w:r>
        <w:rPr>
          <w:rFonts w:ascii="Times New Roman" w:hAnsi="Times New Roman" w:eastAsia="Times New Roman"/>
          <w:lang w:eastAsia="zh-CN"/>
        </w:rPr>
      </w:r>
    </w:p>
    <w:p>
      <w:pPr>
        <w:pBdr/>
        <w:spacing w:after="0" w:line="240" w:lineRule="auto"/>
        <w:ind w:firstLine="708"/>
        <w:contextualSpacing w:val="true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Товар должен поставляться в упаковке, обеспечивающей защиту Товара от внешних воздействующих факторов (в т.ч. климатическ</w:t>
      </w:r>
      <w:r>
        <w:rPr>
          <w:rFonts w:ascii="Times New Roman" w:hAnsi="Times New Roman"/>
          <w:lang w:eastAsia="zh-CN"/>
        </w:rPr>
        <w:t xml:space="preserve">их, механических) при транспортировании, хранении и погрузочно-разгрузочных работах.</w:t>
      </w:r>
      <w:r>
        <w:rPr>
          <w:rFonts w:ascii="Times New Roman" w:hAnsi="Times New Roman"/>
          <w:lang w:eastAsia="zh-CN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Маркировка Товара и тары (упаковки) Товара, должна содержать информацию о наименовании Товара, наименовании изготовителя, адресе изготовителя, дате изготовления Товара</w:t>
      </w:r>
      <w:r>
        <w:rPr>
          <w:rFonts w:ascii="Times New Roman" w:hAnsi="Times New Roman" w:eastAsia="Times New Roman"/>
          <w:lang w:eastAsia="zh-CN"/>
        </w:rPr>
        <w:t xml:space="preserve">.</w:t>
      </w:r>
      <w:r>
        <w:rPr>
          <w:rFonts w:ascii="Times New Roman" w:hAnsi="Times New Roman" w:eastAsia="Times New Roman"/>
          <w:lang w:eastAsia="zh-CN"/>
        </w:rPr>
      </w:r>
    </w:p>
    <w:p>
      <w:pPr>
        <w:pBdr/>
        <w:spacing w:after="0" w:line="240" w:lineRule="auto"/>
        <w:ind w:firstLine="708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</w:t>
      </w:r>
      <w:r>
        <w:rPr>
          <w:rFonts w:ascii="Times New Roman" w:hAnsi="Times New Roman"/>
        </w:rPr>
        <w:t xml:space="preserve">ебования к сопроводительным документам: копия документа, подтверждающего соответствие качества Товара, выданного уполномоченными органами (организациями).</w:t>
      </w:r>
      <w:r>
        <w:rPr>
          <w:rFonts w:ascii="Times New Roman" w:hAnsi="Times New Roman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Прослеживание товара в системе «Честный знак». Маркировка товара согласно действующему законодательст</w:t>
      </w:r>
      <w:r>
        <w:rPr>
          <w:rFonts w:ascii="Times New Roman" w:hAnsi="Times New Roman"/>
          <w:lang w:eastAsia="zh-CN"/>
        </w:rPr>
        <w:t xml:space="preserve">ву Российской Федерации.</w:t>
      </w:r>
      <w:r>
        <w:rPr>
          <w:rFonts w:ascii="Times New Roman" w:hAnsi="Times New Roman"/>
          <w:lang w:eastAsia="zh-CN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jc w:val="center"/>
        <w:tblW w:w="4961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1732"/>
        <w:gridCol w:w="6706"/>
        <w:gridCol w:w="1750"/>
      </w:tblGrid>
      <w:tr>
        <w:trPr>
          <w:jc w:val="center"/>
          <w:trHeight w:val="20"/>
        </w:trPr>
        <w:tc>
          <w:tcPr>
            <w:gridSpan w:val="3"/>
            <w:shd w:val="clear" w:color="ffffff" w:fill="ffffff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1.Требования к документам</w:t>
            </w:r>
            <w:r>
              <w:rPr>
                <w:rFonts w:ascii="Times New Roman" w:hAnsi="Times New Roman" w:eastAsia="Times New Roman"/>
                <w:vertAlign w:val="superscript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85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1.1.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/>
            <w:tcW w:w="329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position w:val="2"/>
                <w:lang w:eastAsia="ar-SA"/>
              </w:rPr>
              <w:t xml:space="preserve">Копия сертификата соответствия на Товар и/или копия Декларации о соответствии для Товара, по которому наличие данного документа является обязательным в соответствии с требованиями, установленными в Российской Федерации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85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1.2.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/>
            <w:tcW w:w="329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Паспорт и/или руководство и/или этикетка по эксплуатации на русском языке</w:t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/>
            <w:tcW w:w="8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shd w:val="clear" w:color="ffffff" w:fill="ffffff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2. Требования к упаковке и маркировке </w:t>
            </w:r>
            <w:r>
              <w:rPr>
                <w:rFonts w:ascii="Times New Roman" w:hAnsi="Times New Roman" w:eastAsia="Times New Roman"/>
                <w:vertAlign w:val="superscript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ffffff" w:fill="ffffff"/>
            <w:tcBorders/>
            <w:tcW w:w="85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2.1.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/>
            <w:tcW w:w="329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Маркировка наименования изделия на упаковке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  <w:tc>
          <w:tcPr>
            <w:shd w:val="clear" w:color="ffffff" w:fill="ffffff"/>
            <w:tcBorders/>
            <w:tcW w:w="86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 w:eastAsia="Times New Roman"/>
                <w:lang w:eastAsia="ru-RU"/>
              </w:rPr>
              <w:t xml:space="preserve">Наличие</w:t>
            </w:r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Batang, 바탕"/>
          <w:b/>
        </w:rPr>
      </w:pPr>
      <w:r>
        <w:rPr>
          <w:rFonts w:ascii="Times New Roman" w:hAnsi="Times New Roman" w:eastAsia="Batang, 바탕"/>
          <w:b/>
          <w:lang w:eastAsia="ko-KR"/>
        </w:rPr>
        <w:t xml:space="preserve">Требования к году (месяцу) изготовления Товара</w:t>
      </w:r>
      <w:r>
        <w:rPr>
          <w:rFonts w:ascii="Times New Roman" w:hAnsi="Times New Roman" w:eastAsia="Batang, 바탕"/>
          <w:b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zh-CN"/>
        </w:rPr>
        <w:t xml:space="preserve">Год изготовления Товара должен не ранее 2025.</w:t>
      </w:r>
      <w:r>
        <w:rPr>
          <w:rFonts w:ascii="Times New Roman" w:hAnsi="Times New Roman"/>
        </w:rPr>
      </w:r>
    </w:p>
    <w:p>
      <w:pPr>
        <w:pBdr/>
        <w:spacing/>
        <w:ind w:firstLine="284" w:left="-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Гарантийный срок дату поставки не менее 12 месяцев.</w:t>
      </w:r>
      <w:r>
        <w:rPr>
          <w:rFonts w:ascii="Times New Roman" w:hAnsi="Times New Roman"/>
          <w:b/>
        </w:rPr>
      </w:r>
    </w:p>
    <w:p>
      <w:pPr>
        <w:pBdr/>
        <w:spacing w:after="0"/>
        <w:ind w:firstLine="284" w:left="-284"/>
        <w:jc w:val="both"/>
        <w:rPr>
          <w:rFonts w:ascii="Times New Roman" w:hAnsi="Times New Roman"/>
          <w:b/>
          <w:sz w:val="18"/>
          <w:szCs w:val="18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18"/>
          <w:szCs w:val="18"/>
        </w:rPr>
        <w:t xml:space="preserve">Примечание: </w:t>
      </w:r>
      <w:r>
        <w:rPr>
          <w:rFonts w:ascii="Times New Roman" w:hAnsi="Times New Roman"/>
          <w:b/>
          <w:sz w:val="18"/>
          <w:szCs w:val="18"/>
        </w:rPr>
      </w:r>
    </w:p>
    <w:p>
      <w:pPr>
        <w:pBdr/>
        <w:spacing w:after="0" w:line="240" w:lineRule="exact"/>
        <w:ind w:firstLine="426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</w:t>
      </w:r>
      <w:r>
        <w:rPr>
          <w:rFonts w:ascii="Times New Roman" w:hAnsi="Times New Roman"/>
          <w:sz w:val="18"/>
          <w:szCs w:val="18"/>
        </w:rPr>
        <w:t xml:space="preserve">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</w:t>
      </w:r>
      <w:r>
        <w:rPr>
          <w:rFonts w:ascii="Times New Roman" w:hAnsi="Times New Roman"/>
          <w:sz w:val="18"/>
          <w:szCs w:val="18"/>
        </w:rPr>
        <w:t xml:space="preserve">ми и нормами. В случае если к моменту начала или в процессе исполнения обязательств по контракту </w:t>
      </w:r>
      <w:r>
        <w:rPr>
          <w:rFonts w:ascii="Times New Roman" w:hAnsi="Times New Roman"/>
          <w:sz w:val="18"/>
          <w:szCs w:val="18"/>
        </w:rPr>
        <w:t xml:space="preserve">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</w:t>
      </w:r>
      <w:r>
        <w:rPr>
          <w:rFonts w:ascii="Times New Roman" w:hAnsi="Times New Roman"/>
          <w:sz w:val="18"/>
          <w:szCs w:val="18"/>
        </w:rPr>
        <w:t xml:space="preserve"> нормативным актам.</w:t>
      </w:r>
      <w:r>
        <w:rPr>
          <w:rFonts w:ascii="Times New Roman" w:hAnsi="Times New Roman"/>
          <w:sz w:val="16"/>
          <w:szCs w:val="16"/>
        </w:rPr>
      </w:r>
    </w:p>
    <w:p>
      <w:pPr>
        <w:widowControl w:val="false"/>
        <w:pBdr/>
        <w:spacing/>
        <w:ind w:right="34" w:left="-142"/>
        <w:jc w:val="both"/>
        <w:rPr>
          <w:rFonts w:ascii="Times New Roman" w:hAnsi="Times New Roman" w:eastAsia="SimSun"/>
          <w:lang w:eastAsia="zh-CN" w:bidi="hi-IN"/>
        </w:rPr>
      </w:pPr>
      <w:r>
        <w:rPr>
          <w:rFonts w:ascii="Times New Roman" w:hAnsi="Times New Roman" w:eastAsia="SimSun"/>
          <w:lang w:eastAsia="zh-CN" w:bidi="hi-IN"/>
        </w:rPr>
      </w:r>
      <w:r>
        <w:rPr>
          <w:rFonts w:ascii="Times New Roman" w:hAnsi="Times New Roman" w:eastAsia="SimSun"/>
          <w:lang w:eastAsia="zh-CN" w:bidi="hi-IN"/>
        </w:rPr>
      </w:r>
    </w:p>
    <w:sectPr>
      <w:footnotePr/>
      <w:endnotePr/>
      <w:type w:val="nextPage"/>
      <w:pgSz w:h="16838" w:orient="portrait" w:w="11906"/>
      <w:pgMar w:top="720" w:right="720" w:bottom="720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ohit Hindi">
    <w:panose1 w:val="02020603050405020304"/>
  </w:font>
  <w:font w:name="Segoe UI">
    <w:panose1 w:val="020B0502040504020204"/>
  </w:font>
  <w:font w:name="Lucida Sans Unicode">
    <w:panose1 w:val="020B0502040504020204"/>
  </w:font>
  <w:font w:name="Tahoma">
    <w:panose1 w:val="020B0604030504040204"/>
  </w:font>
  <w:font w:name="Arial">
    <w:panose1 w:val="020B0604020202020204"/>
  </w:font>
  <w:font w:name="Batang, 바탕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B71D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226416AB"/>
    <w:lvl w:ilvl="0">
      <w:isLgl w:val="false"/>
      <w:lvlJc w:val="left"/>
      <w:lvlText w:val="%1."/>
      <w:numFmt w:val="decimal"/>
      <w:pPr>
        <w:pBdr/>
        <w:spacing/>
        <w:ind w:hanging="360" w:left="19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">
    <w:nsid w:val="26467F97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3AA6229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D55375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Times New Roman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D9B2111"/>
    <w:lvl w:ilvl="0">
      <w:isLgl w:val="false"/>
      <w:lvlJc w:val="left"/>
      <w:lvlText w:val="%1."/>
      <w:numFmt w:val="decimal"/>
      <w:pPr>
        <w:pBdr/>
        <w:spacing/>
        <w:ind w:hanging="360" w:left="7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6">
    <w:nsid w:val="3DD849C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4D771D1C"/>
    <w:lvl w:ilvl="0">
      <w:isLgl w:val="false"/>
      <w:lvlJc w:val="left"/>
      <w:lvlText w:val="%1."/>
      <w:numFmt w:val="decimal"/>
      <w:pPr>
        <w:pBdr/>
        <w:spacing/>
        <w:ind w:hanging="360" w:left="780"/>
      </w:pPr>
      <w:rPr>
        <w:rFonts w:hint="default" w:eastAsia="Times New Roman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 w:default="1">
    <w:name w:val="Normal"/>
    <w:qFormat/>
    <w:pPr>
      <w:pBdr/>
      <w:spacing w:after="200" w:line="276" w:lineRule="auto"/>
      <w:ind/>
    </w:pPr>
    <w:rPr>
      <w:rFonts w:ascii="Calibri" w:hAnsi="Calibri" w:eastAsia="Calibri" w:cs="Times New Roman"/>
    </w:rPr>
  </w:style>
  <w:style w:type="paragraph" w:styleId="717">
    <w:name w:val="Heading 1"/>
    <w:basedOn w:val="716"/>
    <w:next w:val="716"/>
    <w:link w:val="913"/>
    <w:uiPriority w:val="9"/>
    <w:qFormat/>
    <w:pPr>
      <w:keepNext w:val="true"/>
      <w:framePr w:h="1085" w:hAnchor="page" w:vAnchor="page" w:w="3962" w:wrap="auto" w:x="6982" w:y="1265"/>
      <w:pBdr/>
      <w:spacing w:after="0" w:line="240" w:lineRule="exact"/>
      <w:ind w:hanging="216" w:left="216"/>
      <w:outlineLvl w:val="0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718">
    <w:name w:val="Heading 2"/>
    <w:basedOn w:val="716"/>
    <w:next w:val="7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19">
    <w:name w:val="Heading 3"/>
    <w:basedOn w:val="716"/>
    <w:next w:val="716"/>
    <w:link w:val="86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0">
    <w:name w:val="Heading 4"/>
    <w:basedOn w:val="716"/>
    <w:next w:val="716"/>
    <w:link w:val="938"/>
    <w:unhideWhenUsed/>
    <w:qFormat/>
    <w:pPr>
      <w:keepNext w:val="true"/>
      <w:pBdr/>
      <w:spacing w:after="60" w:before="240" w:line="240" w:lineRule="auto"/>
      <w:ind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721">
    <w:name w:val="Heading 5"/>
    <w:basedOn w:val="716"/>
    <w:next w:val="716"/>
    <w:link w:val="87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22">
    <w:name w:val="Heading 6"/>
    <w:basedOn w:val="716"/>
    <w:next w:val="7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3">
    <w:name w:val="Heading 7"/>
    <w:basedOn w:val="716"/>
    <w:next w:val="716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4">
    <w:name w:val="Heading 8"/>
    <w:basedOn w:val="716"/>
    <w:next w:val="716"/>
    <w:link w:val="87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5">
    <w:name w:val="Heading 9"/>
    <w:basedOn w:val="716"/>
    <w:next w:val="716"/>
    <w:link w:val="87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character" w:styleId="729" w:customStyle="1">
    <w:name w:val="Heading 2 Char"/>
    <w:basedOn w:val="7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30" w:customStyle="1">
    <w:name w:val="Heading 3 Char"/>
    <w:basedOn w:val="7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31" w:customStyle="1">
    <w:name w:val="Heading 5 Char"/>
    <w:basedOn w:val="7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32" w:customStyle="1">
    <w:name w:val="Heading 6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3" w:customStyle="1">
    <w:name w:val="Heading 7 Char"/>
    <w:basedOn w:val="7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4" w:customStyle="1">
    <w:name w:val="Heading 8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5" w:customStyle="1">
    <w:name w:val="Heading 9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 w:customStyle="1">
    <w:name w:val="Quote Char"/>
    <w:basedOn w:val="7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7" w:customStyle="1">
    <w:name w:val="Intense Quote Char"/>
    <w:basedOn w:val="72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38" w:customStyle="1">
    <w:name w:val="Header Char"/>
    <w:basedOn w:val="726"/>
    <w:uiPriority w:val="99"/>
    <w:pPr>
      <w:pBdr/>
      <w:spacing/>
      <w:ind/>
    </w:pPr>
  </w:style>
  <w:style w:type="character" w:styleId="739" w:customStyle="1">
    <w:name w:val="Footer Char"/>
    <w:basedOn w:val="726"/>
    <w:uiPriority w:val="99"/>
    <w:pPr>
      <w:pBdr/>
      <w:spacing/>
      <w:ind/>
    </w:pPr>
  </w:style>
  <w:style w:type="character" w:styleId="740" w:customStyle="1">
    <w:name w:val="Footnote Text Char"/>
    <w:basedOn w:val="726"/>
    <w:uiPriority w:val="99"/>
    <w:semiHidden/>
    <w:pPr>
      <w:pBdr/>
      <w:spacing/>
      <w:ind/>
    </w:pPr>
    <w:rPr>
      <w:sz w:val="20"/>
      <w:szCs w:val="20"/>
    </w:rPr>
  </w:style>
  <w:style w:type="character" w:styleId="741" w:customStyle="1">
    <w:name w:val="Endnote Text Char"/>
    <w:basedOn w:val="726"/>
    <w:uiPriority w:val="99"/>
    <w:semiHidden/>
    <w:pPr>
      <w:pBdr/>
      <w:spacing/>
      <w:ind/>
    </w:pPr>
    <w:rPr>
      <w:sz w:val="20"/>
      <w:szCs w:val="20"/>
    </w:rPr>
  </w:style>
  <w:style w:type="table" w:styleId="742" w:customStyle="1">
    <w:name w:val="Table Grid Light"/>
    <w:basedOn w:val="7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7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72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1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2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3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5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6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1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2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3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4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5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6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1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2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3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4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5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6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 w:customStyle="1">
    <w:name w:val="Heading 1 Char"/>
    <w:basedOn w:val="7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8" w:customStyle="1">
    <w:name w:val="Заголовок 2 Знак"/>
    <w:basedOn w:val="726"/>
    <w:link w:val="71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9" w:customStyle="1">
    <w:name w:val="Заголовок 3 Знак"/>
    <w:basedOn w:val="726"/>
    <w:link w:val="71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70" w:customStyle="1">
    <w:name w:val="Heading 4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71" w:customStyle="1">
    <w:name w:val="Заголовок 5 Знак"/>
    <w:basedOn w:val="726"/>
    <w:link w:val="72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2" w:customStyle="1">
    <w:name w:val="Заголовок 6 Знак"/>
    <w:basedOn w:val="726"/>
    <w:link w:val="72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3" w:customStyle="1">
    <w:name w:val="Заголовок 7 Знак"/>
    <w:basedOn w:val="726"/>
    <w:link w:val="7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4" w:customStyle="1">
    <w:name w:val="Заголовок 8 Знак"/>
    <w:basedOn w:val="726"/>
    <w:link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 w:customStyle="1">
    <w:name w:val="Заголовок 9 Знак"/>
    <w:basedOn w:val="726"/>
    <w:link w:val="7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6" w:customStyle="1">
    <w:name w:val="Title Char"/>
    <w:basedOn w:val="72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7" w:customStyle="1">
    <w:name w:val="Subtitle Char"/>
    <w:basedOn w:val="7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716"/>
    <w:next w:val="716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 w:customStyle="1">
    <w:name w:val="Цитата 2 Знак"/>
    <w:basedOn w:val="726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Intense Emphasis"/>
    <w:basedOn w:val="72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1">
    <w:name w:val="Intense Quote"/>
    <w:basedOn w:val="716"/>
    <w:next w:val="716"/>
    <w:link w:val="88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2" w:customStyle="1">
    <w:name w:val="Выделенная цитата Знак"/>
    <w:basedOn w:val="726"/>
    <w:link w:val="88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3">
    <w:name w:val="Intense Reference"/>
    <w:basedOn w:val="72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84">
    <w:name w:val="Subtle Emphasis"/>
    <w:basedOn w:val="7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5">
    <w:name w:val="Emphasis"/>
    <w:basedOn w:val="726"/>
    <w:uiPriority w:val="20"/>
    <w:qFormat/>
    <w:pPr>
      <w:pBdr/>
      <w:spacing/>
      <w:ind/>
    </w:pPr>
    <w:rPr>
      <w:i/>
      <w:iCs/>
    </w:rPr>
  </w:style>
  <w:style w:type="character" w:styleId="886">
    <w:name w:val="Strong"/>
    <w:basedOn w:val="726"/>
    <w:uiPriority w:val="22"/>
    <w:qFormat/>
    <w:pPr>
      <w:pBdr/>
      <w:spacing/>
      <w:ind/>
    </w:pPr>
    <w:rPr>
      <w:b/>
      <w:bCs/>
    </w:rPr>
  </w:style>
  <w:style w:type="character" w:styleId="887">
    <w:name w:val="Subtle Reference"/>
    <w:basedOn w:val="7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8">
    <w:name w:val="Book Title"/>
    <w:basedOn w:val="72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9">
    <w:name w:val="Header"/>
    <w:basedOn w:val="716"/>
    <w:link w:val="89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0" w:customStyle="1">
    <w:name w:val="Верхний колонтитул Знак"/>
    <w:basedOn w:val="726"/>
    <w:link w:val="889"/>
    <w:uiPriority w:val="99"/>
    <w:pPr>
      <w:pBdr/>
      <w:spacing/>
      <w:ind/>
    </w:pPr>
  </w:style>
  <w:style w:type="paragraph" w:styleId="891">
    <w:name w:val="Footer"/>
    <w:basedOn w:val="716"/>
    <w:link w:val="89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2" w:customStyle="1">
    <w:name w:val="Нижний колонтитул Знак"/>
    <w:basedOn w:val="726"/>
    <w:link w:val="891"/>
    <w:uiPriority w:val="99"/>
    <w:pPr>
      <w:pBdr/>
      <w:spacing/>
      <w:ind/>
    </w:pPr>
  </w:style>
  <w:style w:type="paragraph" w:styleId="893">
    <w:name w:val="Caption"/>
    <w:basedOn w:val="716"/>
    <w:next w:val="716"/>
    <w:uiPriority w:val="35"/>
    <w:unhideWhenUsed/>
    <w:qFormat/>
    <w:pPr>
      <w:pBdr/>
      <w:spacing w:line="240" w:lineRule="auto"/>
      <w:ind/>
    </w:pPr>
    <w:rPr>
      <w:i/>
      <w:iCs/>
      <w:color w:val="44546a" w:themeColor="text2"/>
      <w:sz w:val="18"/>
      <w:szCs w:val="18"/>
    </w:rPr>
  </w:style>
  <w:style w:type="paragraph" w:styleId="894">
    <w:name w:val="footnote text"/>
    <w:basedOn w:val="716"/>
    <w:link w:val="89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5" w:customStyle="1">
    <w:name w:val="Текст сноски Знак"/>
    <w:basedOn w:val="726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foot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paragraph" w:styleId="897">
    <w:name w:val="endnote text"/>
    <w:basedOn w:val="7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 w:customStyle="1">
    <w:name w:val="Текст концевой сноски Знак"/>
    <w:basedOn w:val="726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end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character" w:styleId="900">
    <w:name w:val="FollowedHyperlink"/>
    <w:basedOn w:val="7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1">
    <w:name w:val="toc 1"/>
    <w:basedOn w:val="716"/>
    <w:next w:val="716"/>
    <w:uiPriority w:val="39"/>
    <w:unhideWhenUsed/>
    <w:pPr>
      <w:pBdr/>
      <w:spacing w:after="100"/>
      <w:ind/>
    </w:pPr>
  </w:style>
  <w:style w:type="paragraph" w:styleId="902">
    <w:name w:val="toc 2"/>
    <w:basedOn w:val="716"/>
    <w:next w:val="716"/>
    <w:uiPriority w:val="39"/>
    <w:unhideWhenUsed/>
    <w:pPr>
      <w:pBdr/>
      <w:spacing w:after="100"/>
      <w:ind w:left="220"/>
    </w:pPr>
  </w:style>
  <w:style w:type="paragraph" w:styleId="903">
    <w:name w:val="toc 3"/>
    <w:basedOn w:val="716"/>
    <w:next w:val="716"/>
    <w:uiPriority w:val="39"/>
    <w:unhideWhenUsed/>
    <w:pPr>
      <w:pBdr/>
      <w:spacing w:after="100"/>
      <w:ind w:left="440"/>
    </w:pPr>
  </w:style>
  <w:style w:type="paragraph" w:styleId="904">
    <w:name w:val="toc 4"/>
    <w:basedOn w:val="716"/>
    <w:next w:val="716"/>
    <w:uiPriority w:val="39"/>
    <w:unhideWhenUsed/>
    <w:pPr>
      <w:pBdr/>
      <w:spacing w:after="100"/>
      <w:ind w:left="660"/>
    </w:pPr>
  </w:style>
  <w:style w:type="paragraph" w:styleId="905">
    <w:name w:val="toc 5"/>
    <w:basedOn w:val="716"/>
    <w:next w:val="716"/>
    <w:uiPriority w:val="39"/>
    <w:unhideWhenUsed/>
    <w:pPr>
      <w:pBdr/>
      <w:spacing w:after="100"/>
      <w:ind w:left="880"/>
    </w:pPr>
  </w:style>
  <w:style w:type="paragraph" w:styleId="906">
    <w:name w:val="toc 6"/>
    <w:basedOn w:val="716"/>
    <w:next w:val="716"/>
    <w:uiPriority w:val="39"/>
    <w:unhideWhenUsed/>
    <w:pPr>
      <w:pBdr/>
      <w:spacing w:after="100"/>
      <w:ind w:left="1100"/>
    </w:pPr>
  </w:style>
  <w:style w:type="paragraph" w:styleId="907">
    <w:name w:val="toc 7"/>
    <w:basedOn w:val="716"/>
    <w:next w:val="716"/>
    <w:uiPriority w:val="39"/>
    <w:unhideWhenUsed/>
    <w:pPr>
      <w:pBdr/>
      <w:spacing w:after="100"/>
      <w:ind w:left="1320"/>
    </w:pPr>
  </w:style>
  <w:style w:type="paragraph" w:styleId="908">
    <w:name w:val="toc 8"/>
    <w:basedOn w:val="716"/>
    <w:next w:val="716"/>
    <w:uiPriority w:val="39"/>
    <w:unhideWhenUsed/>
    <w:pPr>
      <w:pBdr/>
      <w:spacing w:after="100"/>
      <w:ind w:left="1540"/>
    </w:pPr>
  </w:style>
  <w:style w:type="paragraph" w:styleId="909">
    <w:name w:val="toc 9"/>
    <w:basedOn w:val="716"/>
    <w:next w:val="716"/>
    <w:uiPriority w:val="39"/>
    <w:unhideWhenUsed/>
    <w:pPr>
      <w:pBdr/>
      <w:spacing w:after="100"/>
      <w:ind w:left="1760"/>
    </w:pPr>
  </w:style>
  <w:style w:type="character" w:styleId="910">
    <w:name w:val="Placeholder Text"/>
    <w:basedOn w:val="726"/>
    <w:uiPriority w:val="99"/>
    <w:semiHidden/>
    <w:pPr>
      <w:pBdr/>
      <w:spacing/>
      <w:ind/>
    </w:pPr>
    <w:rPr>
      <w:color w:val="666666"/>
    </w:r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16"/>
    <w:next w:val="716"/>
    <w:uiPriority w:val="99"/>
    <w:unhideWhenUsed/>
    <w:pPr>
      <w:pBdr/>
      <w:spacing w:after="0"/>
      <w:ind/>
    </w:pPr>
  </w:style>
  <w:style w:type="character" w:styleId="913" w:customStyle="1">
    <w:name w:val="Заголовок 1 Знак"/>
    <w:basedOn w:val="726"/>
    <w:link w:val="717"/>
    <w:uiPriority w:val="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14">
    <w:name w:val="Title"/>
    <w:basedOn w:val="716"/>
    <w:link w:val="915"/>
    <w:qFormat/>
    <w:pPr>
      <w:pBdr/>
      <w:spacing w:after="0" w:line="240" w:lineRule="auto"/>
      <w:ind w:left="-900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915" w:customStyle="1">
    <w:name w:val="Заголовок Знак"/>
    <w:basedOn w:val="726"/>
    <w:link w:val="914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16">
    <w:name w:val="Body Text"/>
    <w:basedOn w:val="716"/>
    <w:link w:val="917"/>
    <w:pPr>
      <w:pBdr/>
      <w:spacing w:after="0" w:line="240" w:lineRule="auto"/>
      <w:ind/>
      <w:jc w:val="center"/>
    </w:pPr>
    <w:rPr>
      <w:rFonts w:ascii="Times New Roman" w:hAnsi="Times New Roman" w:eastAsia="Times New Roman"/>
      <w:szCs w:val="20"/>
      <w:lang w:val="en-US" w:eastAsia="ru-RU"/>
    </w:rPr>
  </w:style>
  <w:style w:type="character" w:styleId="917" w:customStyle="1">
    <w:name w:val="Основной текст Знак"/>
    <w:basedOn w:val="726"/>
    <w:link w:val="916"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918">
    <w:name w:val="Subtitle"/>
    <w:basedOn w:val="716"/>
    <w:link w:val="919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Times New Roman"/>
      <w:b/>
      <w:color w:val="000000"/>
      <w:sz w:val="16"/>
      <w:szCs w:val="20"/>
      <w:lang w:eastAsia="ru-RU"/>
    </w:rPr>
  </w:style>
  <w:style w:type="character" w:styleId="919" w:customStyle="1">
    <w:name w:val="Подзаголовок Знак"/>
    <w:basedOn w:val="726"/>
    <w:link w:val="918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920" w:customStyle="1">
    <w:name w:val="Абзац списка1"/>
    <w:basedOn w:val="716"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21">
    <w:name w:val="Hyperlink"/>
    <w:basedOn w:val="726"/>
    <w:unhideWhenUsed/>
    <w:pPr>
      <w:pBdr/>
      <w:spacing/>
      <w:ind/>
    </w:pPr>
    <w:rPr>
      <w:color w:val="0563c1" w:themeColor="hyperlink"/>
      <w:u w:val="single"/>
    </w:rPr>
  </w:style>
  <w:style w:type="paragraph" w:styleId="922" w:customStyle="1">
    <w:name w:val="Содержимое таблицы"/>
    <w:basedOn w:val="716"/>
    <w:pPr>
      <w:widowControl w:val="false"/>
      <w:suppressLineNumbers w:val="true"/>
      <w:pBdr/>
      <w:spacing w:after="0" w:line="240" w:lineRule="auto"/>
      <w:ind/>
    </w:pPr>
    <w:rPr>
      <w:rFonts w:ascii="Times New Roman" w:hAnsi="Times New Roman" w:eastAsia="Lucida Sans Unicode" w:cs="Tahoma"/>
      <w:sz w:val="24"/>
      <w:szCs w:val="24"/>
      <w:lang w:eastAsia="hi-IN" w:bidi="hi-IN"/>
    </w:rPr>
  </w:style>
  <w:style w:type="paragraph" w:styleId="923" w:customStyle="1">
    <w:name w:val="Заголовок таблицы"/>
    <w:basedOn w:val="922"/>
    <w:pPr>
      <w:pBdr/>
      <w:spacing/>
      <w:ind/>
      <w:jc w:val="center"/>
    </w:pPr>
    <w:rPr>
      <w:b/>
      <w:bCs/>
    </w:rPr>
  </w:style>
  <w:style w:type="table" w:styleId="924">
    <w:name w:val="Table Grid"/>
    <w:basedOn w:val="72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 w:customStyle="1">
    <w:name w:val="pinkbg1"/>
    <w:basedOn w:val="726"/>
    <w:pPr>
      <w:pBdr/>
      <w:spacing/>
      <w:ind/>
    </w:pPr>
    <w:rPr>
      <w:shd w:val="clear" w:color="auto" w:fill="fdd7c9"/>
    </w:rPr>
  </w:style>
  <w:style w:type="paragraph" w:styleId="926" w:customStyle="1">
    <w:name w:val="ConsPlusNormal"/>
    <w:link w:val="927"/>
    <w:qFormat/>
    <w:pPr>
      <w:widowControl w:val="false"/>
      <w:pBdr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927" w:customStyle="1">
    <w:name w:val="ConsPlusNormal Знак"/>
    <w:link w:val="926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928" w:customStyle="1">
    <w:name w:val="Знак Знак Знак Знак"/>
    <w:basedOn w:val="716"/>
    <w:pPr>
      <w:pBdr/>
      <w:spacing w:after="100" w:afterAutospacing="1" w:before="100" w:beforeAutospacing="1" w:line="240" w:lineRule="auto"/>
      <w:ind/>
    </w:pPr>
    <w:rPr>
      <w:rFonts w:ascii="Tahoma" w:hAnsi="Tahoma" w:eastAsia="Times New Roman"/>
      <w:sz w:val="20"/>
      <w:szCs w:val="20"/>
      <w:lang w:val="en-US"/>
    </w:rPr>
  </w:style>
  <w:style w:type="paragraph" w:styleId="929">
    <w:name w:val="List Paragraph"/>
    <w:basedOn w:val="716"/>
    <w:link w:val="941"/>
    <w:uiPriority w:val="34"/>
    <w:qFormat/>
    <w:pPr>
      <w:pBdr/>
      <w:spacing/>
      <w:ind w:left="720"/>
      <w:contextualSpacing w:val="true"/>
    </w:pPr>
  </w:style>
  <w:style w:type="paragraph" w:styleId="930">
    <w:name w:val="Balloon Text"/>
    <w:basedOn w:val="716"/>
    <w:link w:val="93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31" w:customStyle="1">
    <w:name w:val="Текст выноски Знак"/>
    <w:basedOn w:val="726"/>
    <w:link w:val="930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character" w:styleId="932" w:customStyle="1">
    <w:name w:val="apple-style-span"/>
    <w:basedOn w:val="726"/>
    <w:pPr>
      <w:pBdr/>
      <w:spacing/>
      <w:ind/>
    </w:pPr>
  </w:style>
  <w:style w:type="paragraph" w:styleId="933">
    <w:name w:val="Normal (Web)"/>
    <w:basedOn w:val="716"/>
    <w:uiPriority w:val="99"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character" w:styleId="934" w:customStyle="1">
    <w:name w:val="apple-converted-space"/>
    <w:basedOn w:val="726"/>
    <w:pPr>
      <w:pBdr/>
      <w:spacing/>
      <w:ind/>
    </w:pPr>
  </w:style>
  <w:style w:type="paragraph" w:styleId="935" w:customStyle="1">
    <w:name w:val="Default"/>
    <w:pPr>
      <w:pBdr/>
      <w:spacing w:after="0" w:line="240" w:lineRule="auto"/>
      <w:ind/>
    </w:pPr>
    <w:rPr>
      <w:rFonts w:ascii="Arial" w:hAnsi="Arial" w:eastAsia="Calibri" w:cs="Arial"/>
      <w:color w:val="000000"/>
      <w:sz w:val="24"/>
      <w:szCs w:val="24"/>
      <w:lang w:eastAsia="ru-RU"/>
    </w:rPr>
  </w:style>
  <w:style w:type="character" w:styleId="936" w:customStyle="1">
    <w:name w:val="extended-text__full"/>
    <w:basedOn w:val="726"/>
    <w:pPr>
      <w:pBdr/>
      <w:spacing/>
      <w:ind/>
    </w:pPr>
  </w:style>
  <w:style w:type="character" w:styleId="937" w:customStyle="1">
    <w:name w:val="extended-text__short"/>
    <w:basedOn w:val="726"/>
    <w:pPr>
      <w:pBdr/>
      <w:spacing/>
      <w:ind/>
    </w:pPr>
  </w:style>
  <w:style w:type="character" w:styleId="938" w:customStyle="1">
    <w:name w:val="Заголовок 4 Знак"/>
    <w:basedOn w:val="726"/>
    <w:link w:val="720"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styleId="939">
    <w:name w:val="No Spacing"/>
    <w:link w:val="942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0" w:customStyle="1">
    <w:name w:val="cardmaininfo__content"/>
    <w:basedOn w:val="726"/>
    <w:pPr>
      <w:pBdr/>
      <w:spacing/>
      <w:ind/>
    </w:pPr>
  </w:style>
  <w:style w:type="character" w:styleId="941" w:customStyle="1">
    <w:name w:val="Абзац списка Знак"/>
    <w:link w:val="929"/>
    <w:uiPriority w:val="34"/>
    <w:qFormat/>
    <w:pPr>
      <w:pBdr/>
      <w:spacing/>
      <w:ind/>
    </w:pPr>
    <w:rPr>
      <w:rFonts w:ascii="Calibri" w:hAnsi="Calibri" w:eastAsia="Calibri" w:cs="Times New Roman"/>
    </w:rPr>
  </w:style>
  <w:style w:type="character" w:styleId="942" w:customStyle="1">
    <w:name w:val="Без интервала Знак"/>
    <w:basedOn w:val="726"/>
    <w:link w:val="939"/>
    <w:uiPriority w:val="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3" w:customStyle="1">
    <w:name w:val="111"/>
    <w:basedOn w:val="716"/>
    <w:link w:val="944"/>
    <w:qFormat/>
    <w:pPr>
      <w:pBdr/>
      <w:spacing w:after="0" w:line="240" w:lineRule="auto"/>
      <w:ind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44" w:customStyle="1">
    <w:name w:val="111 Знак"/>
    <w:basedOn w:val="726"/>
    <w:link w:val="943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45" w:customStyle="1">
    <w:name w:val="Обычный1"/>
    <w:qFormat/>
    <w:pPr>
      <w:widowControl w:val="false"/>
      <w:pBdr/>
      <w:tabs>
        <w:tab w:val="left" w:leader="none" w:pos="709"/>
      </w:tabs>
      <w:spacing w:after="0" w:line="240" w:lineRule="auto"/>
      <w:ind/>
    </w:pPr>
    <w:rPr>
      <w:rFonts w:ascii="Times New Roman" w:hAnsi="Times New Roman" w:eastAsia="Times New Roman" w:cs="Lohit Hindi"/>
      <w:color w:val="00000a"/>
      <w:sz w:val="24"/>
      <w:szCs w:val="24"/>
      <w:lang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E3DF67-7D4D-49B5-9281-43E4EFC0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</dc:creator>
  <cp:revision>55</cp:revision>
  <dcterms:created xsi:type="dcterms:W3CDTF">2022-03-14T06:43:00Z</dcterms:created>
  <dcterms:modified xsi:type="dcterms:W3CDTF">2026-07-29T02:08:08Z</dcterms:modified>
</cp:coreProperties>
</file>