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b/>
          <w:b/>
          <w:sz w:val="24"/>
          <w:szCs w:val="24"/>
        </w:rPr>
      </w:pPr>
      <w:r>
        <w:rPr>
          <w:b/>
          <w:sz w:val="24"/>
          <w:szCs w:val="24"/>
        </w:rPr>
        <w:t xml:space="preserve">Договор № </w:t>
      </w:r>
    </w:p>
    <w:p>
      <w:pPr>
        <w:pStyle w:val="Normal"/>
        <w:jc w:val="center"/>
        <w:rPr>
          <w:b/>
          <w:b/>
          <w:sz w:val="24"/>
          <w:szCs w:val="24"/>
        </w:rPr>
      </w:pPr>
      <w:r>
        <w:rPr>
          <w:b/>
          <w:sz w:val="24"/>
          <w:szCs w:val="24"/>
        </w:rPr>
        <w:t>ИКЗ_______________________________________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285" w:hanging="0"/>
        <w:jc w:val="center"/>
        <w:rPr>
          <w:b/>
          <w:b/>
          <w:sz w:val="24"/>
          <w:szCs w:val="24"/>
        </w:rPr>
      </w:pPr>
      <w:r>
        <w:rPr>
          <w:b/>
          <w:sz w:val="24"/>
          <w:szCs w:val="24"/>
        </w:rPr>
      </w:r>
    </w:p>
    <w:p>
      <w:pPr>
        <w:pStyle w:val="Normal"/>
        <w:jc w:val="center"/>
        <w:rPr>
          <w:sz w:val="24"/>
          <w:szCs w:val="24"/>
        </w:rPr>
      </w:pPr>
      <w:r>
        <w:rPr>
          <w:sz w:val="24"/>
          <w:szCs w:val="24"/>
        </w:rPr>
        <w:t>г. Чебоксары</w:t>
        <w:tab/>
        <w:tab/>
        <w:t xml:space="preserve">                                  </w:t>
        <w:tab/>
        <w:tab/>
        <w:tab/>
        <w:tab/>
        <w:t xml:space="preserve">                      </w:t>
        <w:tab/>
        <w:t xml:space="preserve">  «__» мая 2026г.</w:t>
      </w:r>
    </w:p>
    <w:p>
      <w:pPr>
        <w:pStyle w:val="Normal"/>
        <w:rPr>
          <w:sz w:val="24"/>
          <w:szCs w:val="24"/>
        </w:rPr>
      </w:pPr>
      <w:r>
        <w:rPr>
          <w:sz w:val="24"/>
          <w:szCs w:val="24"/>
        </w:rPr>
      </w:r>
    </w:p>
    <w:p>
      <w:pPr>
        <w:pStyle w:val="TableParagraph"/>
        <w:spacing w:lineRule="auto" w:line="240"/>
        <w:ind w:left="42" w:right="0" w:hanging="0"/>
        <w:jc w:val="both"/>
        <w:rPr/>
      </w:pPr>
      <w:r>
        <w:rPr>
          <w:rFonts w:cs="Times New Roman" w:ascii="Times New Roman" w:hAnsi="Times New Roman"/>
          <w:sz w:val="24"/>
          <w:szCs w:val="24"/>
        </w:rPr>
        <w:tab/>
        <w:t xml:space="preserve">Общество с ограниченной ответственностью ___________, именуемое в дальнейшем «Поставщик», в лице ___________________, действующего на основании Устава, с одной стороны, и </w:t>
      </w:r>
      <w:r>
        <w:rPr>
          <w:rFonts w:cs="Times New Roman" w:ascii="Times New Roman" w:hAnsi="Times New Roman"/>
          <w:b/>
          <w:sz w:val="24"/>
          <w:szCs w:val="24"/>
        </w:rPr>
        <w:t>Федеральное государственное бюджетное учреждение «Федеральный центр травматологии, ортопедии и эндопротезирования» Министерства здравоохранения Российской Федерации (г. Чебоксары)</w:t>
      </w:r>
      <w:r>
        <w:rPr>
          <w:rFonts w:cs="Times New Roman" w:ascii="Times New Roman" w:hAnsi="Times New Roman"/>
          <w:sz w:val="24"/>
          <w:szCs w:val="24"/>
        </w:rPr>
        <w:t>, именуемое в дальнейшем «Заказчик», в лице заместителя главного врача по финансово-экономическим вопросам и закупкам,  Деверинского Андрея Николаевича, действующего на основании доверенности № 9 от 02.03.2025г., с другой стороны, именуемые в дальнейшем Стороны, заключили настоящий Договор (далее - Договор) о нижеследующем:</w:t>
      </w:r>
    </w:p>
    <w:p>
      <w:pPr>
        <w:pStyle w:val="TableParagraph"/>
        <w:spacing w:lineRule="auto" w:line="240"/>
        <w:ind w:left="42" w:right="0" w:hanging="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2"/>
        </w:numPr>
        <w:tabs>
          <w:tab w:val="clear" w:pos="720"/>
          <w:tab w:val="left" w:pos="426" w:leader="none"/>
        </w:tabs>
        <w:ind w:left="0" w:right="0" w:hanging="0"/>
        <w:jc w:val="center"/>
        <w:rPr>
          <w:b/>
          <w:b/>
          <w:sz w:val="24"/>
          <w:szCs w:val="24"/>
        </w:rPr>
      </w:pPr>
      <w:r>
        <w:rPr>
          <w:b/>
          <w:sz w:val="24"/>
          <w:szCs w:val="24"/>
        </w:rPr>
        <w:t>ПРЕДМЕТ ДОГОВОРА</w:t>
      </w:r>
    </w:p>
    <w:p>
      <w:pPr>
        <w:pStyle w:val="Normal"/>
        <w:tabs>
          <w:tab w:val="clear" w:pos="720"/>
          <w:tab w:val="left" w:pos="567" w:leader="none"/>
          <w:tab w:val="left" w:pos="2912" w:leader="none"/>
        </w:tabs>
        <w:jc w:val="both"/>
        <w:rPr/>
      </w:pPr>
      <w:r>
        <w:rPr>
          <w:sz w:val="24"/>
          <w:szCs w:val="24"/>
        </w:rPr>
        <w:t>1.1. Поставщик обязуется поставить Заказчику медицинское изделие –</w:t>
      </w:r>
      <w:r>
        <w:rPr>
          <w:color w:val="000000"/>
          <w:sz w:val="24"/>
          <w:szCs w:val="24"/>
        </w:rPr>
        <w:t>иглы инъекционные для анестезии: Сельдингера</w:t>
      </w:r>
      <w:r>
        <w:rPr>
          <w:sz w:val="24"/>
          <w:szCs w:val="24"/>
        </w:rPr>
        <w:t xml:space="preserve"> (далее – Товар) в соответствии со Спецификацией (Приложение № 1 к настоящему Договору), а Заказчик обязуется принять и оплатить Товар в соответствии с условиями настоящего Договора. Приложение № 1 является неотъемлемой частью настоящего Договора.</w:t>
      </w:r>
    </w:p>
    <w:p>
      <w:pPr>
        <w:pStyle w:val="Normal"/>
        <w:tabs>
          <w:tab w:val="clear" w:pos="720"/>
          <w:tab w:val="left" w:pos="567" w:leader="none"/>
          <w:tab w:val="left" w:pos="2912" w:leader="none"/>
        </w:tabs>
        <w:jc w:val="both"/>
        <w:rPr>
          <w:sz w:val="24"/>
          <w:szCs w:val="24"/>
        </w:rPr>
      </w:pPr>
      <w:r>
        <w:rPr>
          <w:sz w:val="24"/>
          <w:szCs w:val="24"/>
        </w:rPr>
        <w:t>1.2. Наименование, ассортимент и количество поставляемого Товара определяются в соответствии со Спецификацией (Приложение № 1 к настоящему Договору).</w:t>
      </w:r>
    </w:p>
    <w:p>
      <w:pPr>
        <w:pStyle w:val="Normal"/>
        <w:tabs>
          <w:tab w:val="clear" w:pos="720"/>
          <w:tab w:val="left" w:pos="567" w:leader="none"/>
          <w:tab w:val="left" w:pos="2912" w:leader="none"/>
        </w:tabs>
        <w:ind w:left="284" w:right="0" w:hanging="0"/>
        <w:jc w:val="both"/>
        <w:rPr>
          <w:sz w:val="24"/>
          <w:szCs w:val="24"/>
        </w:rPr>
      </w:pPr>
      <w:r>
        <w:rPr>
          <w:sz w:val="24"/>
          <w:szCs w:val="24"/>
        </w:rPr>
      </w:r>
    </w:p>
    <w:p>
      <w:pPr>
        <w:pStyle w:val="Normal"/>
        <w:numPr>
          <w:ilvl w:val="0"/>
          <w:numId w:val="5"/>
        </w:numPr>
        <w:tabs>
          <w:tab w:val="clear" w:pos="720"/>
          <w:tab w:val="left" w:pos="284" w:leader="none"/>
        </w:tabs>
        <w:ind w:left="0" w:right="0" w:hanging="0"/>
        <w:jc w:val="center"/>
        <w:rPr>
          <w:b/>
          <w:b/>
          <w:sz w:val="24"/>
          <w:szCs w:val="24"/>
        </w:rPr>
      </w:pPr>
      <w:r>
        <w:rPr>
          <w:b/>
          <w:sz w:val="24"/>
          <w:szCs w:val="24"/>
        </w:rPr>
        <w:t>ПОРЯДОК ПОСТАВКИ ТОВАРА</w:t>
      </w:r>
    </w:p>
    <w:p>
      <w:pPr>
        <w:pStyle w:val="Normal"/>
        <w:numPr>
          <w:ilvl w:val="1"/>
          <w:numId w:val="5"/>
        </w:numPr>
        <w:tabs>
          <w:tab w:val="clear" w:pos="720"/>
          <w:tab w:val="left" w:pos="0" w:leader="none"/>
          <w:tab w:val="left" w:pos="567" w:leader="none"/>
          <w:tab w:val="left" w:pos="644" w:leader="none"/>
        </w:tabs>
        <w:ind w:left="0" w:right="0" w:firstLine="284"/>
        <w:jc w:val="both"/>
        <w:rPr/>
      </w:pPr>
      <w:r>
        <w:rPr>
          <w:sz w:val="24"/>
          <w:szCs w:val="24"/>
        </w:rPr>
        <w:t xml:space="preserve"> </w:t>
      </w:r>
      <w:r>
        <w:rPr>
          <w:sz w:val="24"/>
          <w:szCs w:val="24"/>
        </w:rPr>
        <w:t xml:space="preserve">Поставщик обязуется поставить Заказчику Товар в течение </w:t>
      </w:r>
      <w:r>
        <w:rPr>
          <w:rFonts w:eastAsia="Times New Roman" w:cs="Times New Roman"/>
          <w:color w:val="auto"/>
          <w:sz w:val="24"/>
          <w:szCs w:val="24"/>
          <w:highlight w:val="yellow"/>
          <w:lang w:val="ru-RU" w:eastAsia="zh-CN" w:bidi="ar-SA"/>
        </w:rPr>
        <w:t>5</w:t>
      </w:r>
      <w:r>
        <w:rPr>
          <w:sz w:val="24"/>
          <w:szCs w:val="24"/>
          <w:highlight w:val="yellow"/>
        </w:rPr>
        <w:t xml:space="preserve"> (</w:t>
      </w:r>
      <w:r>
        <w:rPr>
          <w:rFonts w:eastAsia="Times New Roman" w:cs="Times New Roman"/>
          <w:color w:val="auto"/>
          <w:sz w:val="24"/>
          <w:szCs w:val="24"/>
          <w:highlight w:val="yellow"/>
          <w:lang w:val="ru-RU" w:eastAsia="zh-CN" w:bidi="ar-SA"/>
        </w:rPr>
        <w:t>пяти</w:t>
      </w:r>
      <w:r>
        <w:rPr>
          <w:sz w:val="24"/>
          <w:szCs w:val="24"/>
          <w:highlight w:val="yellow"/>
        </w:rPr>
        <w:t>) дней</w:t>
      </w:r>
      <w:r>
        <w:rPr>
          <w:sz w:val="24"/>
          <w:szCs w:val="24"/>
        </w:rPr>
        <w:t xml:space="preserve"> со дня заключения Договора.</w:t>
      </w:r>
    </w:p>
    <w:p>
      <w:pPr>
        <w:pStyle w:val="Normal"/>
        <w:numPr>
          <w:ilvl w:val="1"/>
          <w:numId w:val="5"/>
        </w:numPr>
        <w:tabs>
          <w:tab w:val="clear" w:pos="720"/>
          <w:tab w:val="left" w:pos="567" w:leader="none"/>
          <w:tab w:val="left" w:pos="644" w:leader="none"/>
        </w:tabs>
        <w:ind w:left="644" w:right="0" w:hanging="360"/>
        <w:jc w:val="both"/>
        <w:rPr/>
      </w:pPr>
      <w:r>
        <w:rPr>
          <w:sz w:val="24"/>
          <w:szCs w:val="24"/>
        </w:rPr>
        <w:t xml:space="preserve"> </w:t>
      </w:r>
      <w:r>
        <w:rPr>
          <w:sz w:val="24"/>
          <w:szCs w:val="24"/>
        </w:rPr>
        <w:t>Поставка Товара осуществляется силами и средствами Поставщика и за его счет.</w:t>
      </w:r>
    </w:p>
    <w:p>
      <w:pPr>
        <w:pStyle w:val="Normal"/>
        <w:numPr>
          <w:ilvl w:val="1"/>
          <w:numId w:val="5"/>
        </w:numPr>
        <w:tabs>
          <w:tab w:val="clear" w:pos="720"/>
          <w:tab w:val="left" w:pos="644" w:leader="none"/>
        </w:tabs>
        <w:ind w:left="644" w:right="0" w:hanging="360"/>
        <w:rPr>
          <w:sz w:val="24"/>
          <w:szCs w:val="24"/>
        </w:rPr>
      </w:pPr>
      <w:r>
        <w:rPr>
          <w:sz w:val="24"/>
          <w:szCs w:val="24"/>
        </w:rPr>
        <w:tab/>
        <w:t xml:space="preserve">Поставка Товара осуществляется по адресу: </w:t>
      </w:r>
    </w:p>
    <w:p>
      <w:pPr>
        <w:pStyle w:val="Normal"/>
        <w:ind w:left="644" w:right="0" w:hanging="0"/>
        <w:rPr>
          <w:b/>
          <w:b/>
          <w:sz w:val="24"/>
          <w:szCs w:val="24"/>
        </w:rPr>
      </w:pPr>
      <w:r>
        <w:rPr>
          <w:b/>
          <w:sz w:val="24"/>
          <w:szCs w:val="24"/>
        </w:rPr>
        <w:t>428020, Чувашская Республика-Чувашия, г. Чебоксары, ул. Федора Гладкова, д. 33.</w:t>
      </w:r>
    </w:p>
    <w:p>
      <w:pPr>
        <w:pStyle w:val="Normal"/>
        <w:numPr>
          <w:ilvl w:val="1"/>
          <w:numId w:val="5"/>
        </w:numPr>
        <w:tabs>
          <w:tab w:val="clear" w:pos="720"/>
          <w:tab w:val="left" w:pos="0" w:leader="none"/>
          <w:tab w:val="left" w:pos="644" w:leader="none"/>
        </w:tabs>
        <w:ind w:left="0" w:right="0" w:firstLine="284"/>
        <w:jc w:val="both"/>
        <w:rPr>
          <w:sz w:val="24"/>
          <w:szCs w:val="24"/>
        </w:rPr>
      </w:pPr>
      <w:r>
        <w:rPr>
          <w:sz w:val="24"/>
          <w:szCs w:val="24"/>
        </w:rPr>
        <w:t>Обязательства Поставщика по поставке Товара считаются выполненными, если Поставщик поставил Товар по адресу и в сроки, указанные в настоящем Договоре, а также в результате приемки Товара было установлено соответствие поставленного Товара требованиям Договора.</w:t>
      </w:r>
    </w:p>
    <w:p>
      <w:pPr>
        <w:pStyle w:val="Normal"/>
        <w:numPr>
          <w:ilvl w:val="1"/>
          <w:numId w:val="5"/>
        </w:numPr>
        <w:tabs>
          <w:tab w:val="clear" w:pos="720"/>
          <w:tab w:val="left" w:pos="0" w:leader="none"/>
          <w:tab w:val="left" w:pos="567" w:leader="none"/>
          <w:tab w:val="left" w:pos="644" w:leader="none"/>
        </w:tabs>
        <w:ind w:left="0" w:right="0" w:firstLine="284"/>
        <w:jc w:val="both"/>
        <w:rPr>
          <w:sz w:val="24"/>
          <w:szCs w:val="24"/>
        </w:rPr>
      </w:pPr>
      <w:r>
        <w:rPr>
          <w:sz w:val="24"/>
          <w:szCs w:val="24"/>
        </w:rPr>
        <w:t>Право собственности на Товар, риск случайной гибели и случайного повреждения Товара переходят от Поставщика к Заказчику с даты передачи Товара Заказчику, а именно с даты подписания товарной накладной на Товар или универсального передаточного документа уполномоченными представителями Заказчика.</w:t>
      </w:r>
    </w:p>
    <w:p>
      <w:pPr>
        <w:pStyle w:val="Style38"/>
        <w:numPr>
          <w:ilvl w:val="1"/>
          <w:numId w:val="5"/>
        </w:numPr>
        <w:tabs>
          <w:tab w:val="clear" w:pos="720"/>
          <w:tab w:val="left" w:pos="567" w:leader="none"/>
        </w:tabs>
        <w:ind w:left="360" w:right="0" w:hanging="76"/>
        <w:rPr>
          <w:szCs w:val="24"/>
        </w:rPr>
      </w:pPr>
      <w:r>
        <w:rPr>
          <w:szCs w:val="24"/>
        </w:rPr>
        <w:t>Поставщик предоставляет вместе с Товаром следующую документацию:</w:t>
      </w:r>
    </w:p>
    <w:p>
      <w:pPr>
        <w:pStyle w:val="Style38"/>
        <w:tabs>
          <w:tab w:val="clear" w:pos="720"/>
          <w:tab w:val="left" w:pos="567" w:leader="none"/>
        </w:tabs>
        <w:ind w:left="0" w:right="0" w:firstLine="709"/>
        <w:rPr>
          <w:szCs w:val="24"/>
        </w:rPr>
      </w:pPr>
      <w:r>
        <w:rPr>
          <w:szCs w:val="24"/>
        </w:rPr>
        <w:t>- товарную накладную, счет-фактуру (при наличии) или универсальный передаточный документ;</w:t>
      </w:r>
    </w:p>
    <w:p>
      <w:pPr>
        <w:pStyle w:val="Style38"/>
        <w:tabs>
          <w:tab w:val="clear" w:pos="720"/>
          <w:tab w:val="left" w:pos="0" w:leader="none"/>
        </w:tabs>
        <w:ind w:left="0" w:right="0" w:firstLine="709"/>
        <w:rPr>
          <w:szCs w:val="24"/>
        </w:rPr>
      </w:pPr>
      <w:r>
        <w:rPr>
          <w:szCs w:val="24"/>
        </w:rPr>
        <w:t>- счет;</w:t>
      </w:r>
    </w:p>
    <w:p>
      <w:pPr>
        <w:pStyle w:val="Style38"/>
        <w:tabs>
          <w:tab w:val="clear" w:pos="720"/>
          <w:tab w:val="left" w:pos="0" w:leader="none"/>
        </w:tabs>
        <w:ind w:left="0" w:right="0" w:firstLine="709"/>
        <w:rPr>
          <w:szCs w:val="24"/>
        </w:rPr>
      </w:pPr>
      <w:r>
        <w:rPr>
          <w:szCs w:val="24"/>
        </w:rPr>
        <w:t>- товарно-транспортную накладную (в случае необходимости);</w:t>
      </w:r>
    </w:p>
    <w:p>
      <w:pPr>
        <w:pStyle w:val="Style38"/>
        <w:tabs>
          <w:tab w:val="clear" w:pos="720"/>
          <w:tab w:val="left" w:pos="0" w:leader="none"/>
        </w:tabs>
        <w:ind w:left="0" w:right="0" w:firstLine="709"/>
        <w:rPr>
          <w:szCs w:val="24"/>
        </w:rPr>
      </w:pPr>
      <w:r>
        <w:rPr>
          <w:szCs w:val="24"/>
        </w:rPr>
        <w:t>- копии документов, подтверждающих качество Товара (регистрационное удостоверение);</w:t>
      </w:r>
    </w:p>
    <w:p>
      <w:pPr>
        <w:pStyle w:val="Normal"/>
        <w:tabs>
          <w:tab w:val="clear" w:pos="720"/>
          <w:tab w:val="left" w:pos="0" w:leader="none"/>
        </w:tabs>
        <w:ind w:left="0" w:right="0" w:firstLine="709"/>
        <w:jc w:val="both"/>
        <w:rPr>
          <w:sz w:val="24"/>
          <w:szCs w:val="24"/>
        </w:rPr>
      </w:pPr>
      <w:r>
        <w:rPr>
          <w:sz w:val="24"/>
          <w:szCs w:val="24"/>
        </w:rPr>
        <w:t>- другую необходимую для данного вида Товара товарно-сопроводительную документацию.</w:t>
      </w:r>
    </w:p>
    <w:p>
      <w:pPr>
        <w:pStyle w:val="Normal"/>
        <w:widowControl w:val="false"/>
        <w:tabs>
          <w:tab w:val="clear" w:pos="720"/>
          <w:tab w:val="left" w:pos="709" w:leader="none"/>
        </w:tabs>
        <w:ind w:left="0" w:right="0" w:firstLine="426"/>
        <w:jc w:val="both"/>
        <w:rPr>
          <w:sz w:val="24"/>
          <w:szCs w:val="24"/>
        </w:rPr>
      </w:pPr>
      <w:r>
        <w:rPr>
          <w:sz w:val="24"/>
          <w:szCs w:val="24"/>
        </w:rPr>
        <w:t>Все представляемые Поставщиком документы должны быть оформлены в установленном законодательством порядке и скреплены печатью Поставщика.</w:t>
      </w:r>
    </w:p>
    <w:p>
      <w:pPr>
        <w:pStyle w:val="Normal"/>
        <w:tabs>
          <w:tab w:val="clear" w:pos="720"/>
          <w:tab w:val="left" w:pos="284" w:leader="none"/>
        </w:tabs>
        <w:jc w:val="center"/>
        <w:rPr>
          <w:b/>
          <w:b/>
          <w:color w:val="000000"/>
          <w:spacing w:val="-1"/>
          <w:sz w:val="24"/>
          <w:szCs w:val="24"/>
        </w:rPr>
      </w:pPr>
      <w:r>
        <w:rPr>
          <w:b/>
          <w:color w:val="000000"/>
          <w:spacing w:val="-1"/>
          <w:sz w:val="24"/>
          <w:szCs w:val="24"/>
        </w:rPr>
      </w:r>
    </w:p>
    <w:p>
      <w:pPr>
        <w:pStyle w:val="Normal"/>
        <w:tabs>
          <w:tab w:val="clear" w:pos="720"/>
          <w:tab w:val="left" w:pos="284" w:leader="none"/>
        </w:tabs>
        <w:jc w:val="center"/>
        <w:rPr>
          <w:b/>
          <w:b/>
          <w:color w:val="000000"/>
          <w:spacing w:val="-1"/>
          <w:sz w:val="24"/>
          <w:szCs w:val="24"/>
        </w:rPr>
      </w:pPr>
      <w:r>
        <w:rPr>
          <w:b/>
          <w:color w:val="000000"/>
          <w:spacing w:val="-1"/>
          <w:sz w:val="24"/>
          <w:szCs w:val="24"/>
        </w:rPr>
        <w:t>3.</w:t>
        <w:tab/>
        <w:t>ГАРАНТИЯ КАЧЕСТВА</w:t>
      </w:r>
    </w:p>
    <w:p>
      <w:pPr>
        <w:pStyle w:val="Normal"/>
        <w:ind w:left="0" w:right="0" w:firstLine="709"/>
        <w:jc w:val="both"/>
        <w:rPr>
          <w:sz w:val="24"/>
          <w:szCs w:val="24"/>
        </w:rPr>
      </w:pPr>
      <w:r>
        <w:rPr>
          <w:sz w:val="24"/>
          <w:szCs w:val="24"/>
        </w:rPr>
        <w:t>3.1. Поставщик настоящим гарантирует, что Товар, поставленный в рамках настоящего Контракта, является новым, неиспользованным.</w:t>
      </w:r>
    </w:p>
    <w:p>
      <w:pPr>
        <w:pStyle w:val="Normal"/>
        <w:ind w:left="0" w:right="0" w:firstLine="709"/>
        <w:jc w:val="both"/>
        <w:rPr>
          <w:sz w:val="24"/>
          <w:szCs w:val="24"/>
        </w:rPr>
      </w:pPr>
      <w:r>
        <w:rPr>
          <w:sz w:val="24"/>
          <w:szCs w:val="24"/>
        </w:rPr>
        <w:t>3.2. Поставщик гарантирует, что качество поставляемого Товара будет соответствовать международным стандартам, принятым для товара такого класса.</w:t>
      </w:r>
    </w:p>
    <w:p>
      <w:pPr>
        <w:pStyle w:val="Normal"/>
        <w:ind w:left="0" w:right="0" w:firstLine="709"/>
        <w:jc w:val="both"/>
        <w:rPr>
          <w:sz w:val="24"/>
          <w:szCs w:val="24"/>
        </w:rPr>
      </w:pPr>
      <w:r>
        <w:rPr>
          <w:sz w:val="24"/>
          <w:szCs w:val="24"/>
        </w:rPr>
        <w:t>3.3.  Поставщик гарантирует:</w:t>
      </w:r>
    </w:p>
    <w:p>
      <w:pPr>
        <w:pStyle w:val="Normal"/>
        <w:ind w:left="0" w:right="0" w:firstLine="709"/>
        <w:jc w:val="both"/>
        <w:rPr>
          <w:sz w:val="24"/>
          <w:szCs w:val="24"/>
        </w:rPr>
      </w:pPr>
      <w:r>
        <w:rPr>
          <w:sz w:val="24"/>
          <w:szCs w:val="24"/>
        </w:rPr>
        <w:t>- надлежащее качество комплектующих, используемых для изготовления Товара, а также надлежащее качество изготовления Товара;</w:t>
      </w:r>
    </w:p>
    <w:p>
      <w:pPr>
        <w:pStyle w:val="Normal"/>
        <w:ind w:left="0" w:right="0" w:firstLine="709"/>
        <w:jc w:val="both"/>
        <w:rPr/>
      </w:pPr>
      <w:r>
        <w:rPr>
          <w:sz w:val="24"/>
          <w:szCs w:val="24"/>
        </w:rPr>
        <w:t xml:space="preserve"> </w:t>
      </w:r>
      <w:r>
        <w:rPr>
          <w:sz w:val="24"/>
          <w:szCs w:val="24"/>
        </w:rPr>
        <w:t>- полное соответствие поставляемого Товара условиям настоящего Договора.</w:t>
      </w:r>
    </w:p>
    <w:p>
      <w:pPr>
        <w:pStyle w:val="Normal"/>
        <w:tabs>
          <w:tab w:val="clear" w:pos="720"/>
          <w:tab w:val="left" w:pos="708" w:leader="none"/>
        </w:tabs>
        <w:jc w:val="both"/>
        <w:rPr>
          <w:sz w:val="24"/>
          <w:szCs w:val="24"/>
        </w:rPr>
      </w:pPr>
      <w:r>
        <w:rPr>
          <w:sz w:val="24"/>
          <w:szCs w:val="24"/>
        </w:rPr>
        <w:tab/>
        <w:t>3.4. Замена Товара с дефектами и недостатками, выявленными в течение срока годности Товара, производится Поставщиком за свой счет в течение 5 (пяти) рабочих дней со дня поступления от Заказчика мотивированной претензии. Стороны вправе установить иной срок замены Товара. Все расходы, связанные с возвратом или заменой Товара и/или дефектных комплектующих, оплачиваются Поставщиком. В случае замены и/или исправления дефектных комплектующих, срок годности на данный Товар, соответственно продлевается.</w:t>
      </w:r>
    </w:p>
    <w:p>
      <w:pPr>
        <w:pStyle w:val="Normal"/>
        <w:tabs>
          <w:tab w:val="clear" w:pos="720"/>
          <w:tab w:val="left" w:pos="708" w:leader="none"/>
          <w:tab w:val="left" w:pos="1701" w:leader="none"/>
        </w:tabs>
        <w:jc w:val="both"/>
        <w:rPr>
          <w:sz w:val="24"/>
          <w:szCs w:val="24"/>
        </w:rPr>
      </w:pPr>
      <w:r>
        <w:rPr>
          <w:sz w:val="24"/>
          <w:szCs w:val="24"/>
        </w:rPr>
        <w:tab/>
        <w:t>3.5. Срок годности Товара на момент поставки должен составлять не менее 12 месяцев от установленного производителем срока годности, что подтверждается соответствующими документами, согласно требованиям действующего законодательства РФ.</w:t>
      </w:r>
    </w:p>
    <w:p>
      <w:pPr>
        <w:pStyle w:val="Normal"/>
        <w:tabs>
          <w:tab w:val="clear" w:pos="720"/>
          <w:tab w:val="left" w:pos="708" w:leader="none"/>
          <w:tab w:val="left" w:pos="1701" w:leader="none"/>
        </w:tabs>
        <w:jc w:val="both"/>
        <w:rPr>
          <w:sz w:val="24"/>
          <w:szCs w:val="24"/>
        </w:rPr>
      </w:pPr>
      <w:r>
        <w:rPr>
          <w:sz w:val="24"/>
          <w:szCs w:val="24"/>
        </w:rPr>
      </w:r>
    </w:p>
    <w:p>
      <w:pPr>
        <w:pStyle w:val="Normal"/>
        <w:jc w:val="center"/>
        <w:rPr>
          <w:b/>
          <w:b/>
          <w:sz w:val="24"/>
          <w:szCs w:val="24"/>
        </w:rPr>
      </w:pPr>
      <w:r>
        <w:rPr>
          <w:b/>
          <w:sz w:val="24"/>
          <w:szCs w:val="24"/>
        </w:rPr>
        <w:t xml:space="preserve">4. ПОРЯДОК ПРИЕМКИ ТОВАРА, </w:t>
      </w:r>
    </w:p>
    <w:p>
      <w:pPr>
        <w:pStyle w:val="Normal"/>
        <w:jc w:val="center"/>
        <w:rPr>
          <w:b/>
          <w:b/>
          <w:sz w:val="24"/>
          <w:szCs w:val="24"/>
        </w:rPr>
      </w:pPr>
      <w:r>
        <w:rPr>
          <w:b/>
          <w:sz w:val="24"/>
          <w:szCs w:val="24"/>
        </w:rPr>
        <w:t>ОФОРМЛЕНИЕ РЕЗУЛЬТАТОВ ПРИЕМКИ</w:t>
      </w:r>
    </w:p>
    <w:p>
      <w:pPr>
        <w:pStyle w:val="Normal"/>
        <w:ind w:left="0" w:right="0" w:firstLine="709"/>
        <w:jc w:val="both"/>
        <w:rPr>
          <w:sz w:val="24"/>
          <w:szCs w:val="24"/>
        </w:rPr>
      </w:pPr>
      <w:r>
        <w:rPr>
          <w:sz w:val="24"/>
          <w:szCs w:val="24"/>
        </w:rPr>
        <w:t xml:space="preserve">4.1. Не позднее 20 (двадцати) рабочих дней с даты поставки Товара и получения от Поставщика товарной накладной или универсального передаточного документа, Заказчик осуществляет приемку Товара и оформление результатов такой приемки, в части соответствия количества, комплектности, объема требованиям, установленным Договором, либо оформляет мотивированный отказ от приемки с указанием причин такого отказа с перечнем выявленных недостатков, необходимых доработок и сроком их устранения. </w:t>
      </w:r>
    </w:p>
    <w:p>
      <w:pPr>
        <w:pStyle w:val="Normal"/>
        <w:ind w:left="0" w:right="0" w:firstLine="709"/>
        <w:jc w:val="both"/>
        <w:rPr>
          <w:sz w:val="24"/>
          <w:szCs w:val="24"/>
        </w:rPr>
      </w:pPr>
      <w:r>
        <w:rPr>
          <w:sz w:val="24"/>
          <w:szCs w:val="24"/>
        </w:rPr>
        <w:t xml:space="preserve">4.2. Приемка Товара по количеству осуществляется представителем Заказчика по адресу, указанному в п 2.3. настоящего Договора, в момент поставки. </w:t>
      </w:r>
    </w:p>
    <w:p>
      <w:pPr>
        <w:pStyle w:val="Normal"/>
        <w:ind w:left="0" w:right="0" w:firstLine="709"/>
        <w:jc w:val="both"/>
        <w:rPr>
          <w:sz w:val="24"/>
          <w:szCs w:val="24"/>
        </w:rPr>
      </w:pPr>
      <w:r>
        <w:rPr>
          <w:sz w:val="24"/>
          <w:szCs w:val="24"/>
        </w:rPr>
        <w:t xml:space="preserve">Приемка Товара по качеству осуществляется на объекте Заказчика по адресу: 428020, Чувашская Республика-Чувашия, г. Чебоксары, ул. Федора Гладкова, д. 33 на соответствие условиям Договора, товарной накладной или универсального передаточного документа и иных сопроводительных документов, в том числе удостоверяющих качество и комплектность Товара (сертификат соответствия при наличии) в течение 5 (пяти) рабочих дней с даты поставки Товара. </w:t>
      </w:r>
    </w:p>
    <w:p>
      <w:pPr>
        <w:pStyle w:val="Normal"/>
        <w:ind w:left="0" w:right="0" w:firstLine="709"/>
        <w:jc w:val="both"/>
        <w:rPr>
          <w:sz w:val="24"/>
          <w:szCs w:val="24"/>
        </w:rPr>
      </w:pPr>
      <w:r>
        <w:rPr>
          <w:sz w:val="24"/>
          <w:szCs w:val="24"/>
        </w:rPr>
        <w:t>4.2.1. По результатам приемки Товара ответственный представитель Заказчика, на основании документов, подтверждающих поставку товаров, выполнение (сдачу) работ (услуг), подписывает Акт приемки товаров, работ, услуг по форме 0510452, утвержденного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(ф. 0510452)).</w:t>
      </w:r>
    </w:p>
    <w:p>
      <w:pPr>
        <w:pStyle w:val="Normal"/>
        <w:ind w:left="0" w:right="0" w:firstLine="709"/>
        <w:jc w:val="both"/>
        <w:rPr>
          <w:sz w:val="24"/>
          <w:szCs w:val="24"/>
        </w:rPr>
      </w:pPr>
      <w:r>
        <w:rPr>
          <w:sz w:val="24"/>
          <w:szCs w:val="24"/>
        </w:rPr>
        <w:t>Срок оформления и подписания Акта приемки (ф. 0510452) не должен превышать 10 (десяти) рабочих дней с даты поставки Товара.</w:t>
      </w:r>
    </w:p>
    <w:p>
      <w:pPr>
        <w:pStyle w:val="Normal"/>
        <w:ind w:left="0" w:right="0" w:firstLine="709"/>
        <w:jc w:val="both"/>
        <w:rPr>
          <w:sz w:val="24"/>
          <w:szCs w:val="24"/>
        </w:rPr>
      </w:pPr>
      <w:r>
        <w:rPr>
          <w:sz w:val="24"/>
          <w:szCs w:val="24"/>
        </w:rPr>
        <w:t>4.3. При обнаружении несоответствия качества, количества, тары или упаковки Товара требованиям, предъявляемым к аналогичным товарам и их комплектующим, требованиям ГОСТов и иных стандартов, предусмотренных законодательством РФ или иным условиям Договора, Заказчик в течение 5 (Пяти) рабочих дней с даты поставки направляет Поставщику мотивированный отказ от принятия Товара. Мотивированный отказ должен содержать сведения о количестве и наименовании осмотренного Товара, и характере выявленных при приемке дефектов и расхождений. В случае отказа Заказчика от приемки Товара Поставщик обязуется в срок, установленный в акте, устранить указанные недостатки/произвести доработки и привезти Заказчику за свой счет.</w:t>
      </w:r>
    </w:p>
    <w:p>
      <w:pPr>
        <w:pStyle w:val="Normal"/>
        <w:jc w:val="center"/>
        <w:rPr>
          <w:b/>
          <w:b/>
          <w:sz w:val="24"/>
          <w:szCs w:val="24"/>
        </w:rPr>
      </w:pPr>
      <w:r>
        <w:rPr>
          <w:b/>
          <w:sz w:val="24"/>
          <w:szCs w:val="24"/>
        </w:rPr>
        <w:t>5. ЦЕНА ДОГОВОРА И ПОРЯДОК РАСЧЕТОВ</w:t>
      </w:r>
    </w:p>
    <w:p>
      <w:pPr>
        <w:pStyle w:val="Normal"/>
        <w:tabs>
          <w:tab w:val="clear" w:pos="720"/>
          <w:tab w:val="left" w:pos="709" w:leader="none"/>
        </w:tabs>
        <w:jc w:val="both"/>
        <w:rPr/>
      </w:pPr>
      <w:r>
        <w:rPr>
          <w:sz w:val="24"/>
          <w:szCs w:val="24"/>
        </w:rPr>
        <w:tab/>
        <w:t>5.1. Цена Договора составляет:______(__________________________________) рублей 00 копеек,</w:t>
      </w:r>
      <w:r>
        <w:rPr>
          <w:b/>
          <w:bCs/>
          <w:sz w:val="24"/>
          <w:szCs w:val="24"/>
        </w:rPr>
        <w:t xml:space="preserve"> </w:t>
      </w:r>
      <w:r>
        <w:rPr>
          <w:sz w:val="24"/>
          <w:szCs w:val="24"/>
        </w:rPr>
        <w:t>без НДС на основании п.2 пп</w:t>
      </w:r>
      <w:r>
        <w:rPr>
          <w:iCs/>
          <w:sz w:val="24"/>
          <w:szCs w:val="24"/>
        </w:rPr>
        <w:t>.1 ст.149 НК РФ.</w:t>
      </w:r>
    </w:p>
    <w:p>
      <w:pPr>
        <w:pStyle w:val="Normal"/>
        <w:ind w:left="0" w:right="0" w:firstLine="709"/>
        <w:jc w:val="both"/>
        <w:rPr/>
      </w:pPr>
      <w:r>
        <w:rPr>
          <w:sz w:val="24"/>
          <w:szCs w:val="24"/>
        </w:rPr>
        <w:tab/>
        <w:t xml:space="preserve">5.2. </w:t>
      </w:r>
      <w:r>
        <w:rPr>
          <w:sz w:val="24"/>
          <w:szCs w:val="24"/>
          <w:lang w:eastAsia="ru-RU"/>
        </w:rPr>
        <w:t xml:space="preserve"> Оплата по Договору осуществляется ________________________________</w:t>
      </w:r>
    </w:p>
    <w:p>
      <w:pPr>
        <w:pStyle w:val="Normal"/>
        <w:ind w:left="0" w:right="0" w:firstLine="709"/>
        <w:jc w:val="both"/>
        <w:rPr>
          <w:sz w:val="24"/>
          <w:szCs w:val="24"/>
        </w:rPr>
      </w:pPr>
      <w:r>
        <w:rPr>
          <w:sz w:val="24"/>
          <w:szCs w:val="24"/>
        </w:rPr>
        <w:t>5.3. Оплата по настоящему Договору осуществляется на основании счета, выставленного Поставщиком, путем перечисления Заказчиком денежных средств на расчетный счет Поставщика не позднее 7 (семи) рабочих дней с даты подписания Заказчиком документа о приемке.</w:t>
      </w:r>
    </w:p>
    <w:p>
      <w:pPr>
        <w:pStyle w:val="Normal"/>
        <w:ind w:left="0" w:right="0" w:firstLine="709"/>
        <w:jc w:val="both"/>
        <w:rPr>
          <w:sz w:val="24"/>
          <w:szCs w:val="24"/>
        </w:rPr>
      </w:pPr>
      <w:r>
        <w:rPr>
          <w:sz w:val="24"/>
          <w:szCs w:val="24"/>
        </w:rPr>
        <w:t>Обязательство Заказчика по оплате Поставщику считается выполненным с даты списания денежных средств с расчетного счета Заказчика.</w:t>
      </w:r>
    </w:p>
    <w:p>
      <w:pPr>
        <w:pStyle w:val="Normal"/>
        <w:ind w:left="0" w:right="0" w:firstLine="709"/>
        <w:jc w:val="both"/>
        <w:rPr>
          <w:sz w:val="24"/>
          <w:szCs w:val="24"/>
        </w:rPr>
      </w:pPr>
      <w:r>
        <w:rPr>
          <w:sz w:val="24"/>
          <w:szCs w:val="24"/>
        </w:rPr>
        <w:t xml:space="preserve">5.4. Цена Договора включает в себя все расходы, необходимые для его выполнения, в том числе стоимость Товара, транспортные расходы, затраты Поставщика по подготовке Товара к погрузке, доставке, разгрузке и передаче Заказчику (стоимость тары, упаковки Товара), таможенные </w:t>
      </w:r>
    </w:p>
    <w:p>
      <w:pPr>
        <w:pStyle w:val="Normal"/>
        <w:jc w:val="both"/>
        <w:rPr>
          <w:sz w:val="24"/>
          <w:szCs w:val="24"/>
        </w:rPr>
      </w:pPr>
      <w:r>
        <w:rPr>
          <w:sz w:val="24"/>
          <w:szCs w:val="24"/>
        </w:rPr>
        <w:t>пошлины, налоги, другие обязательные платежи, а также все прочие расходы, необходимые для выполнения Поставщиком всех обязательств по настоящему Договору.</w:t>
      </w:r>
    </w:p>
    <w:p>
      <w:pPr>
        <w:pStyle w:val="Normal"/>
        <w:tabs>
          <w:tab w:val="clear" w:pos="720"/>
          <w:tab w:val="left" w:pos="709" w:leader="none"/>
        </w:tabs>
        <w:spacing w:before="0" w:after="0"/>
        <w:ind w:left="0" w:right="0" w:firstLine="709"/>
        <w:contextualSpacing/>
        <w:jc w:val="both"/>
        <w:rPr/>
      </w:pPr>
      <w:r>
        <w:rPr>
          <w:sz w:val="24"/>
          <w:szCs w:val="24"/>
        </w:rPr>
        <w:t>5.5.</w:t>
      </w:r>
      <w:r>
        <w:rPr>
          <w:color w:val="FF0000"/>
          <w:sz w:val="24"/>
          <w:szCs w:val="24"/>
        </w:rPr>
        <w:t xml:space="preserve"> </w:t>
      </w:r>
      <w:r>
        <w:rPr>
          <w:sz w:val="24"/>
          <w:szCs w:val="24"/>
        </w:rPr>
        <w:t>При изменении потребности в Товаре по предложению Заказчика в ходе исполнения Договора возможно изменение количества Товара не более чем на десять процентов.</w:t>
      </w:r>
    </w:p>
    <w:p>
      <w:pPr>
        <w:pStyle w:val="Normal"/>
        <w:tabs>
          <w:tab w:val="clear" w:pos="720"/>
          <w:tab w:val="left" w:pos="709" w:leader="none"/>
        </w:tabs>
        <w:spacing w:before="0" w:after="0"/>
        <w:ind w:left="0" w:right="0" w:firstLine="709"/>
        <w:contextualSpacing/>
        <w:jc w:val="both"/>
        <w:rPr/>
      </w:pPr>
      <w:r>
        <w:rPr>
          <w:sz w:val="24"/>
          <w:szCs w:val="24"/>
        </w:rPr>
        <w:t>5.6.</w:t>
      </w:r>
      <w:r>
        <w:rPr>
          <w:color w:val="FF0000"/>
          <w:sz w:val="24"/>
          <w:szCs w:val="24"/>
        </w:rPr>
        <w:t xml:space="preserve"> </w:t>
      </w:r>
      <w:r>
        <w:rPr>
          <w:sz w:val="24"/>
          <w:szCs w:val="24"/>
        </w:rPr>
        <w:t>Цена Договора может быть снижена по соглашению сторон без изменения, предусмотренного Договором количества Товара, качества Товара, и иных условий исполнения Договора.</w:t>
      </w:r>
    </w:p>
    <w:p>
      <w:pPr>
        <w:pStyle w:val="Normal"/>
        <w:tabs>
          <w:tab w:val="clear" w:pos="720"/>
          <w:tab w:val="left" w:pos="709" w:leader="none"/>
        </w:tabs>
        <w:spacing w:before="0" w:after="0"/>
        <w:contextualSpacing/>
        <w:jc w:val="both"/>
        <w:rPr>
          <w:sz w:val="24"/>
          <w:szCs w:val="24"/>
        </w:rPr>
      </w:pPr>
      <w:r>
        <w:rPr>
          <w:sz w:val="24"/>
          <w:szCs w:val="24"/>
        </w:rPr>
      </w:r>
    </w:p>
    <w:p>
      <w:pPr>
        <w:pStyle w:val="Normal"/>
        <w:jc w:val="center"/>
        <w:rPr>
          <w:b/>
          <w:b/>
          <w:sz w:val="24"/>
          <w:szCs w:val="24"/>
        </w:rPr>
      </w:pPr>
      <w:r>
        <w:rPr>
          <w:b/>
          <w:sz w:val="24"/>
          <w:szCs w:val="24"/>
        </w:rPr>
        <w:t>6. ОТВЕТСТВЕННОСТЬ СТОРОН</w:t>
      </w:r>
    </w:p>
    <w:p>
      <w:pPr>
        <w:pStyle w:val="Style21"/>
        <w:tabs>
          <w:tab w:val="clear" w:pos="720"/>
          <w:tab w:val="left" w:pos="0" w:leader="none"/>
        </w:tabs>
        <w:spacing w:before="0" w:after="0"/>
        <w:ind w:left="0" w:right="0" w:firstLine="709"/>
        <w:jc w:val="both"/>
        <w:rPr>
          <w:sz w:val="24"/>
          <w:szCs w:val="24"/>
        </w:rPr>
      </w:pPr>
      <w:r>
        <w:rPr>
          <w:sz w:val="24"/>
          <w:szCs w:val="24"/>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pPr>
        <w:pStyle w:val="Normal"/>
        <w:widowControl w:val="false"/>
        <w:tabs>
          <w:tab w:val="clear" w:pos="720"/>
          <w:tab w:val="left" w:pos="0" w:leader="none"/>
        </w:tabs>
        <w:autoSpaceDE w:val="false"/>
        <w:ind w:left="0" w:right="0" w:firstLine="709"/>
        <w:jc w:val="both"/>
        <w:rPr>
          <w:sz w:val="24"/>
          <w:szCs w:val="24"/>
        </w:rPr>
      </w:pPr>
      <w:r>
        <w:rPr>
          <w:sz w:val="24"/>
          <w:szCs w:val="24"/>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ConsPlusNormal"/>
        <w:tabs>
          <w:tab w:val="clear" w:pos="720"/>
          <w:tab w:val="left" w:pos="0" w:leader="none"/>
        </w:tabs>
        <w:ind w:left="0" w:right="0" w:firstLine="709"/>
        <w:jc w:val="both"/>
        <w:rPr>
          <w:rFonts w:ascii="Times New Roman" w:hAnsi="Times New Roman" w:cs="Times New Roman"/>
          <w:sz w:val="24"/>
          <w:szCs w:val="24"/>
        </w:rPr>
      </w:pPr>
      <w:r>
        <w:rPr>
          <w:rFonts w:cs="Times New Roman" w:ascii="Times New Roman" w:hAnsi="Times New Roman"/>
          <w:sz w:val="24"/>
          <w:szCs w:val="24"/>
        </w:rPr>
        <w:t xml:space="preserve">6.2. Штрафы начисляются за ненадлежащее исполнение Заказчиком обязательств, предусмотренных Договором, за исключением просрочки исполнения обязательств. </w:t>
      </w:r>
    </w:p>
    <w:p>
      <w:pPr>
        <w:pStyle w:val="ConsPlusNormal"/>
        <w:tabs>
          <w:tab w:val="clear" w:pos="720"/>
          <w:tab w:val="left" w:pos="0" w:leader="none"/>
        </w:tabs>
        <w:ind w:left="0" w:right="0" w:firstLine="709"/>
        <w:jc w:val="both"/>
        <w:rPr/>
      </w:pPr>
      <w:r>
        <w:rPr>
          <w:rFonts w:cs="Times New Roman" w:ascii="Times New Roman" w:hAnsi="Times New Roman"/>
          <w:sz w:val="24"/>
          <w:szCs w:val="24"/>
        </w:rPr>
        <w:tab/>
        <w:t xml:space="preserve">Размер штрафа составляет </w:t>
      </w:r>
      <w:r>
        <w:rPr>
          <w:rFonts w:cs="Times New Roman" w:ascii="Times New Roman" w:hAnsi="Times New Roman"/>
          <w:b/>
          <w:sz w:val="24"/>
          <w:szCs w:val="24"/>
        </w:rPr>
        <w:t>1000 (Одна тысяча) рублей 00 копеек.</w:t>
      </w:r>
    </w:p>
    <w:p>
      <w:pPr>
        <w:pStyle w:val="ConsPlusNormal"/>
        <w:tabs>
          <w:tab w:val="clear" w:pos="720"/>
          <w:tab w:val="left" w:pos="0" w:leader="none"/>
        </w:tabs>
        <w:ind w:left="0" w:right="0" w:firstLine="709"/>
        <w:jc w:val="both"/>
        <w:rPr>
          <w:rFonts w:ascii="Times New Roman" w:hAnsi="Times New Roman" w:cs="Times New Roman"/>
          <w:sz w:val="24"/>
          <w:szCs w:val="24"/>
        </w:rPr>
      </w:pPr>
      <w:r>
        <w:rPr>
          <w:rFonts w:cs="Times New Roman" w:ascii="Times New Roman" w:hAnsi="Times New Roman"/>
          <w:sz w:val="24"/>
          <w:szCs w:val="24"/>
        </w:rPr>
        <w:t>6.3.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ConsPlusNormal"/>
        <w:tabs>
          <w:tab w:val="clear" w:pos="720"/>
          <w:tab w:val="left" w:pos="0" w:leader="none"/>
        </w:tabs>
        <w:ind w:left="0" w:right="0" w:firstLine="709"/>
        <w:jc w:val="both"/>
        <w:rPr>
          <w:rFonts w:ascii="Times New Roman" w:hAnsi="Times New Roman" w:cs="Times New Roman"/>
          <w:sz w:val="24"/>
          <w:szCs w:val="24"/>
        </w:rPr>
      </w:pPr>
      <w:r>
        <w:rPr>
          <w:rFonts w:cs="Times New Roman" w:ascii="Times New Roman" w:hAnsi="Times New Roman"/>
          <w:sz w:val="24"/>
          <w:szCs w:val="24"/>
        </w:rPr>
        <w:t xml:space="preserve">6.4.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pPr>
        <w:pStyle w:val="Normal"/>
        <w:widowControl w:val="false"/>
        <w:tabs>
          <w:tab w:val="clear" w:pos="720"/>
          <w:tab w:val="left" w:pos="0" w:leader="none"/>
        </w:tabs>
        <w:autoSpaceDE w:val="false"/>
        <w:ind w:left="0" w:right="0" w:firstLine="709"/>
        <w:jc w:val="both"/>
        <w:rPr>
          <w:sz w:val="24"/>
          <w:szCs w:val="24"/>
        </w:rPr>
      </w:pPr>
      <w:r>
        <w:rPr>
          <w:sz w:val="24"/>
          <w:szCs w:val="24"/>
        </w:rPr>
        <w:t>6.5.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ConsPlusNormal"/>
        <w:tabs>
          <w:tab w:val="clear" w:pos="720"/>
          <w:tab w:val="left" w:pos="0" w:leader="none"/>
        </w:tabs>
        <w:ind w:left="0" w:right="0" w:firstLine="709"/>
        <w:jc w:val="both"/>
        <w:rPr>
          <w:rFonts w:ascii="Times New Roman" w:hAnsi="Times New Roman" w:cs="Times New Roman"/>
          <w:sz w:val="24"/>
          <w:szCs w:val="24"/>
        </w:rPr>
      </w:pPr>
      <w:r>
        <w:rPr>
          <w:rFonts w:cs="Times New Roman" w:ascii="Times New Roman" w:hAnsi="Times New Roman"/>
          <w:sz w:val="24"/>
          <w:szCs w:val="24"/>
        </w:rPr>
        <w:t xml:space="preserve">6.6.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pPr>
        <w:pStyle w:val="ConsPlusNormal"/>
        <w:tabs>
          <w:tab w:val="clear" w:pos="720"/>
          <w:tab w:val="left" w:pos="0" w:leader="none"/>
        </w:tabs>
        <w:ind w:left="0" w:right="0" w:firstLine="709"/>
        <w:jc w:val="both"/>
        <w:rPr>
          <w:rFonts w:ascii="Times New Roman" w:hAnsi="Times New Roman" w:cs="Times New Roman"/>
          <w:sz w:val="24"/>
          <w:szCs w:val="24"/>
        </w:rPr>
      </w:pPr>
      <w:r>
        <w:rPr>
          <w:rFonts w:cs="Times New Roman" w:ascii="Times New Roman" w:hAnsi="Times New Roman"/>
          <w:sz w:val="24"/>
          <w:szCs w:val="24"/>
        </w:rPr>
        <w:tab/>
        <w:t>За каждый факт неисполнения или ненадлежащего исполнения Поставщиком обязательств, предусмотренных Договором штраф устанавливается в размере – 10 (Десять) процентов цены Договора.</w:t>
      </w:r>
    </w:p>
    <w:p>
      <w:pPr>
        <w:pStyle w:val="ConsPlusNormal"/>
        <w:tabs>
          <w:tab w:val="clear" w:pos="720"/>
          <w:tab w:val="left" w:pos="0" w:leader="none"/>
        </w:tabs>
        <w:ind w:left="0" w:right="0" w:firstLine="709"/>
        <w:jc w:val="both"/>
        <w:rPr>
          <w:rFonts w:ascii="Times New Roman" w:hAnsi="Times New Roman" w:cs="Times New Roman"/>
          <w:sz w:val="24"/>
          <w:szCs w:val="24"/>
        </w:rPr>
      </w:pPr>
      <w:r>
        <w:rPr>
          <w:rFonts w:cs="Times New Roman" w:ascii="Times New Roman" w:hAnsi="Times New Roman"/>
          <w:sz w:val="24"/>
          <w:szCs w:val="24"/>
        </w:rPr>
        <w:t>6.7.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pPr>
        <w:pStyle w:val="ConsPlusNormal"/>
        <w:tabs>
          <w:tab w:val="clear" w:pos="720"/>
          <w:tab w:val="left" w:pos="0" w:leader="none"/>
        </w:tabs>
        <w:ind w:left="0" w:right="0" w:firstLine="709"/>
        <w:jc w:val="both"/>
        <w:rPr>
          <w:rFonts w:ascii="Times New Roman" w:hAnsi="Times New Roman" w:cs="Times New Roman"/>
          <w:sz w:val="24"/>
          <w:szCs w:val="24"/>
        </w:rPr>
      </w:pPr>
      <w:r>
        <w:rPr>
          <w:rFonts w:cs="Times New Roman" w:ascii="Times New Roman" w:hAnsi="Times New Roman"/>
          <w:sz w:val="24"/>
          <w:szCs w:val="24"/>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Style39"/>
        <w:widowControl w:val="false"/>
        <w:tabs>
          <w:tab w:val="clear" w:pos="720"/>
          <w:tab w:val="left" w:pos="0" w:leader="none"/>
          <w:tab w:val="center" w:pos="284" w:leader="none"/>
          <w:tab w:val="left" w:pos="426" w:leader="none"/>
        </w:tabs>
        <w:autoSpaceDE w:val="false"/>
        <w:ind w:left="0" w:right="0" w:firstLine="709"/>
        <w:jc w:val="both"/>
        <w:rPr/>
      </w:pPr>
      <w:r>
        <w:rPr>
          <w:sz w:val="24"/>
          <w:szCs w:val="24"/>
        </w:rPr>
        <w:t>6.</w:t>
      </w:r>
      <w:r>
        <w:rPr>
          <w:sz w:val="24"/>
          <w:szCs w:val="24"/>
          <w:lang w:val="ru-RU"/>
        </w:rPr>
        <w:t>9</w:t>
      </w:r>
      <w:r>
        <w:rPr>
          <w:sz w:val="24"/>
          <w:szCs w:val="24"/>
        </w:rPr>
        <w:t xml:space="preserve">. Право на взыскание неустоек (штрафов, пеней) по настоящему </w:t>
      </w:r>
      <w:r>
        <w:rPr>
          <w:sz w:val="24"/>
          <w:szCs w:val="24"/>
          <w:lang w:val="ru-RU"/>
        </w:rPr>
        <w:t>Договор</w:t>
      </w:r>
      <w:r>
        <w:rPr>
          <w:sz w:val="24"/>
          <w:szCs w:val="24"/>
        </w:rPr>
        <w:t>у подтверждается письменно, посредством направления требования об уплате неустоек (штрафов, пеней).</w:t>
      </w:r>
    </w:p>
    <w:p>
      <w:pPr>
        <w:pStyle w:val="Style39"/>
        <w:widowControl w:val="false"/>
        <w:tabs>
          <w:tab w:val="clear" w:pos="720"/>
          <w:tab w:val="left" w:pos="0" w:leader="none"/>
          <w:tab w:val="center" w:pos="284" w:leader="none"/>
          <w:tab w:val="left" w:pos="426" w:leader="none"/>
        </w:tabs>
        <w:autoSpaceDE w:val="false"/>
        <w:ind w:left="0" w:right="0" w:firstLine="709"/>
        <w:jc w:val="both"/>
        <w:rPr/>
      </w:pPr>
      <w:r>
        <w:rPr>
          <w:sz w:val="24"/>
          <w:szCs w:val="24"/>
        </w:rPr>
        <w:t>6.1</w:t>
      </w:r>
      <w:r>
        <w:rPr>
          <w:sz w:val="24"/>
          <w:szCs w:val="24"/>
          <w:lang w:val="ru-RU"/>
        </w:rPr>
        <w:t>0</w:t>
      </w:r>
      <w:r>
        <w:rPr>
          <w:sz w:val="24"/>
          <w:szCs w:val="24"/>
        </w:rPr>
        <w:t xml:space="preserve">. Оплата неустойки (пени) не освобождает Стороны от исполнения принятых на себя обязательств по настоящему </w:t>
      </w:r>
      <w:r>
        <w:rPr>
          <w:sz w:val="24"/>
          <w:szCs w:val="24"/>
          <w:lang w:val="ru-RU"/>
        </w:rPr>
        <w:t>Договор</w:t>
      </w:r>
      <w:r>
        <w:rPr>
          <w:sz w:val="24"/>
          <w:szCs w:val="24"/>
        </w:rPr>
        <w:t>у.</w:t>
      </w:r>
    </w:p>
    <w:p>
      <w:pPr>
        <w:pStyle w:val="Normal"/>
        <w:ind w:left="360" w:right="0" w:hanging="0"/>
        <w:jc w:val="both"/>
        <w:rPr>
          <w:sz w:val="24"/>
          <w:szCs w:val="24"/>
        </w:rPr>
      </w:pPr>
      <w:r>
        <w:rPr>
          <w:sz w:val="24"/>
          <w:szCs w:val="24"/>
        </w:rPr>
      </w:r>
    </w:p>
    <w:p>
      <w:pPr>
        <w:pStyle w:val="Normal"/>
        <w:jc w:val="center"/>
        <w:rPr>
          <w:b/>
          <w:b/>
          <w:sz w:val="24"/>
          <w:szCs w:val="24"/>
        </w:rPr>
      </w:pPr>
      <w:r>
        <w:rPr>
          <w:b/>
          <w:sz w:val="24"/>
          <w:szCs w:val="24"/>
        </w:rPr>
        <w:t>7. ФОРС-МАЖОР</w:t>
      </w:r>
    </w:p>
    <w:p>
      <w:pPr>
        <w:pStyle w:val="Normal"/>
        <w:ind w:left="0" w:right="0" w:firstLine="709"/>
        <w:jc w:val="both"/>
        <w:rPr>
          <w:sz w:val="24"/>
          <w:szCs w:val="24"/>
        </w:rPr>
      </w:pPr>
      <w:r>
        <w:rPr>
          <w:sz w:val="24"/>
          <w:szCs w:val="24"/>
        </w:rPr>
        <w:t>7.1. Ни одна из Сторон не будет нести ответственности за полное или частичное неисполнение любой из своих обязанностей, если такое неисполнение будет являться следствием обстоятельств непреодолимой силы, таких, как наводнение, пожар, землетрясение и другие стихийные бедствия, террористический акт, война или военные действия, а также имеющие обязательную силу хотя бы для одной из Сторон постановления или распоряжения законодательных и/или исполнительных властей, возникшие после заключения Договора.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соответствующего обстоятельства.</w:t>
      </w:r>
    </w:p>
    <w:p>
      <w:pPr>
        <w:pStyle w:val="Normal"/>
        <w:ind w:left="0" w:right="0" w:firstLine="709"/>
        <w:jc w:val="both"/>
        <w:rPr>
          <w:sz w:val="24"/>
          <w:szCs w:val="24"/>
        </w:rPr>
      </w:pPr>
      <w:r>
        <w:rPr>
          <w:sz w:val="24"/>
          <w:szCs w:val="24"/>
        </w:rPr>
        <w:t>7.2. Сторона, для которой создана невозможность исполнения обязательств, обязана немедленно в письменной форме уведомить другую Сторону о наступлении, предполагаемом сроке действия и прекращения вышеуказанных обстоятельств.</w:t>
      </w:r>
    </w:p>
    <w:p>
      <w:pPr>
        <w:pStyle w:val="Normal"/>
        <w:ind w:left="0" w:right="0" w:firstLine="709"/>
        <w:jc w:val="both"/>
        <w:rPr>
          <w:sz w:val="24"/>
          <w:szCs w:val="24"/>
        </w:rPr>
      </w:pPr>
      <w:r>
        <w:rPr>
          <w:sz w:val="24"/>
          <w:szCs w:val="24"/>
        </w:rPr>
        <w:t>7.3. Факты, изложенные в уведомлении, должны быть подтверждены соответствующим компетентным органом или организацией. Не уведомление или несвоевременное уведомление лишает соответствующую Сторону права ссылаться на любое вышеуказанное обстоятельство, как на основание, освобождающее от ответственности за неисполнение обязательств.</w:t>
      </w:r>
    </w:p>
    <w:p>
      <w:pPr>
        <w:pStyle w:val="Normal"/>
        <w:ind w:left="0" w:right="0" w:firstLine="709"/>
        <w:jc w:val="both"/>
        <w:rPr>
          <w:sz w:val="24"/>
          <w:szCs w:val="24"/>
        </w:rPr>
      </w:pPr>
      <w:r>
        <w:rPr>
          <w:sz w:val="24"/>
          <w:szCs w:val="24"/>
        </w:rPr>
        <w:t>Если невозможность полного или частичного исполнения обязательств будет существовать свыше 90 дней, то любая из сторон будет иметь право расторгнуть Договор полностью или частично без обязательств по возмещению возможных убытков.</w:t>
      </w:r>
    </w:p>
    <w:p>
      <w:pPr>
        <w:pStyle w:val="Normal"/>
        <w:ind w:left="283" w:right="0" w:hanging="0"/>
        <w:jc w:val="both"/>
        <w:rPr>
          <w:sz w:val="24"/>
          <w:szCs w:val="24"/>
        </w:rPr>
      </w:pPr>
      <w:r>
        <w:rPr>
          <w:sz w:val="24"/>
          <w:szCs w:val="24"/>
        </w:rPr>
      </w:r>
    </w:p>
    <w:p>
      <w:pPr>
        <w:pStyle w:val="Normal"/>
        <w:jc w:val="center"/>
        <w:rPr>
          <w:b/>
          <w:b/>
          <w:sz w:val="24"/>
          <w:szCs w:val="24"/>
        </w:rPr>
      </w:pPr>
      <w:r>
        <w:rPr>
          <w:b/>
          <w:sz w:val="24"/>
          <w:szCs w:val="24"/>
        </w:rPr>
        <w:t>8. ПОРЯДОК РАССМОТРЕНИЯ СПОРОВ</w:t>
      </w:r>
    </w:p>
    <w:p>
      <w:pPr>
        <w:pStyle w:val="Style21"/>
        <w:spacing w:before="0" w:after="0"/>
        <w:ind w:left="0" w:right="0" w:firstLine="709"/>
        <w:jc w:val="both"/>
        <w:rPr>
          <w:sz w:val="24"/>
          <w:szCs w:val="24"/>
        </w:rPr>
      </w:pPr>
      <w:r>
        <w:rPr>
          <w:sz w:val="24"/>
          <w:szCs w:val="24"/>
        </w:rPr>
        <w:t>8.1. Все споры и разногласия, возникающие из настоящего Договора или в связи с ним, будут по возможности разрешаться путем переговоров между сторонами.</w:t>
      </w:r>
    </w:p>
    <w:p>
      <w:pPr>
        <w:pStyle w:val="Style21"/>
        <w:spacing w:before="0" w:after="0"/>
        <w:ind w:left="0" w:right="0" w:firstLine="709"/>
        <w:jc w:val="both"/>
        <w:rPr>
          <w:sz w:val="24"/>
          <w:szCs w:val="24"/>
        </w:rPr>
      </w:pPr>
      <w:r>
        <w:rPr>
          <w:sz w:val="24"/>
          <w:szCs w:val="24"/>
        </w:rPr>
        <w:t>8.2. Не урегулированные споры между Сторонами подлежат разрешению в Арбитражном суде Чувашской Республики.</w:t>
      </w:r>
    </w:p>
    <w:p>
      <w:pPr>
        <w:pStyle w:val="Style21"/>
        <w:spacing w:before="0" w:after="0"/>
        <w:ind w:left="0" w:right="0" w:firstLine="709"/>
        <w:jc w:val="both"/>
        <w:rPr>
          <w:sz w:val="24"/>
          <w:szCs w:val="24"/>
        </w:rPr>
      </w:pPr>
      <w:r>
        <w:rPr>
          <w:sz w:val="24"/>
          <w:szCs w:val="24"/>
        </w:rPr>
        <w:t>8.3. Передача спора в Арбитражный суд осуществляется с обязательным соблюдением досудебного (претензионного) порядка урегулирования спора. Сторона обязана ответить на претензию в течение 10 (Десять) дней со дня ее получения.</w:t>
      </w:r>
    </w:p>
    <w:p>
      <w:pPr>
        <w:pStyle w:val="Style21"/>
        <w:spacing w:before="0" w:after="0"/>
        <w:ind w:left="357" w:right="0" w:hanging="357"/>
        <w:jc w:val="both"/>
        <w:rPr>
          <w:sz w:val="24"/>
          <w:szCs w:val="24"/>
        </w:rPr>
      </w:pPr>
      <w:r>
        <w:rPr>
          <w:sz w:val="24"/>
          <w:szCs w:val="24"/>
        </w:rPr>
      </w:r>
    </w:p>
    <w:p>
      <w:pPr>
        <w:pStyle w:val="Normal"/>
        <w:jc w:val="center"/>
        <w:rPr>
          <w:b/>
          <w:b/>
          <w:sz w:val="24"/>
          <w:szCs w:val="24"/>
        </w:rPr>
      </w:pPr>
      <w:r>
        <w:rPr>
          <w:b/>
          <w:sz w:val="24"/>
          <w:szCs w:val="24"/>
        </w:rPr>
        <w:t>9. СРОК ДЕЙСТВИЯ ДОГОВОРА</w:t>
      </w:r>
    </w:p>
    <w:p>
      <w:pPr>
        <w:pStyle w:val="Style22"/>
        <w:ind w:left="0" w:right="0" w:firstLine="709"/>
        <w:jc w:val="both"/>
        <w:rPr>
          <w:sz w:val="24"/>
          <w:szCs w:val="24"/>
        </w:rPr>
      </w:pPr>
      <w:r>
        <w:rPr>
          <w:sz w:val="24"/>
          <w:szCs w:val="24"/>
        </w:rPr>
        <w:t>9.1. Настоящий Договор вступает в силу с даты подписания Сторонами настоящего Договора и действует до 31 декабря 2026 года.</w:t>
      </w:r>
    </w:p>
    <w:p>
      <w:pPr>
        <w:pStyle w:val="Normal"/>
        <w:ind w:left="0" w:right="0" w:firstLine="709"/>
        <w:jc w:val="both"/>
        <w:rPr>
          <w:sz w:val="24"/>
          <w:szCs w:val="24"/>
        </w:rPr>
      </w:pPr>
      <w:r>
        <w:rPr>
          <w:sz w:val="24"/>
          <w:szCs w:val="24"/>
        </w:rPr>
        <w:t>9.2. Прекращение или расторжение Договора не освобождает Стороны от ответственности за неисполнение или ненадлежащее исполнение обязательств, предусмотренных настоящим Договором.</w:t>
      </w:r>
    </w:p>
    <w:p>
      <w:pPr>
        <w:pStyle w:val="Normal"/>
        <w:jc w:val="center"/>
        <w:rPr/>
      </w:pPr>
      <w:r>
        <w:rPr>
          <w:b/>
          <w:sz w:val="24"/>
          <w:szCs w:val="24"/>
        </w:rPr>
        <w:t>10.</w:t>
      </w:r>
      <w:r>
        <w:rPr>
          <w:sz w:val="24"/>
          <w:szCs w:val="24"/>
        </w:rPr>
        <w:t xml:space="preserve"> </w:t>
      </w:r>
      <w:r>
        <w:rPr>
          <w:b/>
          <w:sz w:val="24"/>
          <w:szCs w:val="24"/>
        </w:rPr>
        <w:t>РАСТОРЖЕНИЕ ДОГОВОРА</w:t>
      </w:r>
    </w:p>
    <w:p>
      <w:pPr>
        <w:pStyle w:val="Style22"/>
        <w:ind w:left="0" w:right="0" w:firstLine="709"/>
        <w:jc w:val="both"/>
        <w:rPr>
          <w:sz w:val="24"/>
          <w:szCs w:val="24"/>
        </w:rPr>
      </w:pPr>
      <w:r>
        <w:rPr>
          <w:sz w:val="24"/>
          <w:szCs w:val="24"/>
        </w:rPr>
        <w:t>10.1.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pPr>
        <w:pStyle w:val="Normal"/>
        <w:tabs>
          <w:tab w:val="clear" w:pos="720"/>
          <w:tab w:val="left" w:pos="0" w:leader="none"/>
        </w:tabs>
        <w:ind w:left="0" w:right="0" w:firstLine="709"/>
        <w:jc w:val="both"/>
        <w:rPr>
          <w:sz w:val="24"/>
          <w:szCs w:val="24"/>
        </w:rPr>
      </w:pPr>
      <w:r>
        <w:rPr>
          <w:sz w:val="24"/>
          <w:szCs w:val="24"/>
        </w:rPr>
        <w:t>10.2. При расторжении Договора по обоюдному согласию Стороны определяют и производят взаиморасчеты по возмещению фактически понесенных затрат и прямых убытков по Договору.</w:t>
      </w:r>
    </w:p>
    <w:p>
      <w:pPr>
        <w:pStyle w:val="Normal"/>
        <w:ind w:left="0" w:right="0" w:firstLine="709"/>
        <w:jc w:val="both"/>
        <w:rPr>
          <w:sz w:val="24"/>
          <w:szCs w:val="24"/>
        </w:rPr>
      </w:pPr>
      <w:r>
        <w:rPr>
          <w:sz w:val="24"/>
          <w:szCs w:val="24"/>
        </w:rPr>
        <w:t>10.3. Заказчик вправе принять решение об одностороннем отказе от исполнения Договора в случаях, предусмотренных Гражданским кодексом Российской Федерации.</w:t>
      </w:r>
    </w:p>
    <w:p>
      <w:pPr>
        <w:pStyle w:val="Normal"/>
        <w:ind w:left="0" w:right="0" w:firstLine="709"/>
        <w:jc w:val="both"/>
        <w:rPr>
          <w:sz w:val="24"/>
          <w:szCs w:val="24"/>
        </w:rPr>
      </w:pPr>
      <w:r>
        <w:rPr>
          <w:sz w:val="24"/>
          <w:szCs w:val="24"/>
        </w:rPr>
      </w:r>
    </w:p>
    <w:p>
      <w:pPr>
        <w:pStyle w:val="Normal"/>
        <w:ind w:left="0" w:right="0" w:firstLine="709"/>
        <w:jc w:val="both"/>
        <w:rPr>
          <w:sz w:val="24"/>
          <w:szCs w:val="24"/>
        </w:rPr>
      </w:pPr>
      <w:r>
        <w:rPr>
          <w:sz w:val="24"/>
          <w:szCs w:val="24"/>
        </w:rPr>
      </w:r>
    </w:p>
    <w:p>
      <w:pPr>
        <w:pStyle w:val="Normal"/>
        <w:jc w:val="center"/>
        <w:rPr>
          <w:b/>
          <w:b/>
          <w:sz w:val="24"/>
          <w:szCs w:val="24"/>
        </w:rPr>
      </w:pPr>
      <w:r>
        <w:rPr>
          <w:b/>
          <w:sz w:val="24"/>
          <w:szCs w:val="24"/>
        </w:rPr>
        <w:t>11. ПРОЧИЕ УСЛОВИЯ</w:t>
      </w:r>
    </w:p>
    <w:p>
      <w:pPr>
        <w:pStyle w:val="Normal"/>
        <w:autoSpaceDE w:val="false"/>
        <w:ind w:left="0" w:right="0" w:firstLine="709"/>
        <w:jc w:val="both"/>
        <w:rPr>
          <w:sz w:val="24"/>
          <w:szCs w:val="24"/>
        </w:rPr>
      </w:pPr>
      <w:r>
        <w:rPr>
          <w:sz w:val="24"/>
          <w:szCs w:val="24"/>
        </w:rPr>
        <w:t xml:space="preserve">11.1. Переход прав и обязанностей Поставщика к третьему лицу по настоящему Договору не допускается,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 </w:t>
      </w:r>
    </w:p>
    <w:p>
      <w:pPr>
        <w:pStyle w:val="Normal"/>
        <w:ind w:left="0" w:right="-2" w:firstLine="709"/>
        <w:jc w:val="both"/>
        <w:rPr>
          <w:sz w:val="24"/>
          <w:szCs w:val="24"/>
        </w:rPr>
      </w:pPr>
      <w:r>
        <w:rPr>
          <w:sz w:val="24"/>
          <w:szCs w:val="24"/>
        </w:rPr>
        <w:t xml:space="preserve">11.2. Переписка между Сторонами может осуществляться в виде обмена письмами, направления факса, электронного сообщения на электронные адреса сторон, указанные в разделе 12 настоящего Договора. </w:t>
      </w:r>
    </w:p>
    <w:p>
      <w:pPr>
        <w:pStyle w:val="Normal"/>
        <w:ind w:left="0" w:right="-2" w:firstLine="709"/>
        <w:jc w:val="both"/>
        <w:rPr>
          <w:sz w:val="24"/>
          <w:szCs w:val="24"/>
        </w:rPr>
      </w:pPr>
      <w:r>
        <w:rPr>
          <w:sz w:val="24"/>
          <w:szCs w:val="24"/>
        </w:rPr>
        <w:t>11.3. Обо всех изменениях в платежных и/или почтовых реквизитах Стороны обязаны немедленно извещать друг друга. Действия, совершенные по старым реквизитам, совершенные до получения Стороной уведомления об их изменении, признаются надлежащим исполнением обязательств.</w:t>
      </w:r>
    </w:p>
    <w:p>
      <w:pPr>
        <w:pStyle w:val="Normal"/>
        <w:shd w:fill="FFFFFF" w:val="clear"/>
        <w:ind w:left="0" w:right="-2" w:firstLine="709"/>
        <w:jc w:val="both"/>
        <w:rPr>
          <w:sz w:val="24"/>
          <w:szCs w:val="24"/>
        </w:rPr>
      </w:pPr>
      <w:r>
        <w:rPr>
          <w:sz w:val="24"/>
          <w:szCs w:val="24"/>
        </w:rPr>
        <w:t>11.4. При выполнении настоящего Договора во всем, что не предусмотрено в настоящем Контракте, Стороны руководствуются законодательством Российской Федерации.</w:t>
      </w:r>
    </w:p>
    <w:p>
      <w:pPr>
        <w:pStyle w:val="Style40"/>
        <w:ind w:left="0" w:right="-2" w:firstLine="709"/>
        <w:rPr/>
      </w:pPr>
      <w:r>
        <w:rPr/>
        <w:t xml:space="preserve">11.5. </w:t>
      </w:r>
      <w:r>
        <w:rPr>
          <w:spacing w:val="-1"/>
        </w:rPr>
        <w:t>Настоящий Договор составлен в 2 (Двух) подлинных экземплярах, имеющих одинаковую юридическую силу - по одному экземпляру для каждой из Сторон.</w:t>
      </w:r>
    </w:p>
    <w:p>
      <w:pPr>
        <w:pStyle w:val="Normal"/>
        <w:jc w:val="center"/>
        <w:rPr>
          <w:b/>
          <w:b/>
          <w:spacing w:val="-1"/>
          <w:sz w:val="24"/>
          <w:szCs w:val="24"/>
        </w:rPr>
      </w:pPr>
      <w:r>
        <w:rPr>
          <w:b/>
          <w:spacing w:val="-1"/>
          <w:sz w:val="24"/>
          <w:szCs w:val="24"/>
        </w:rPr>
      </w:r>
    </w:p>
    <w:p>
      <w:pPr>
        <w:pStyle w:val="Normal"/>
        <w:jc w:val="center"/>
        <w:rPr>
          <w:b/>
          <w:b/>
          <w:sz w:val="24"/>
          <w:szCs w:val="24"/>
        </w:rPr>
      </w:pPr>
      <w:r>
        <w:rPr>
          <w:b/>
          <w:sz w:val="24"/>
          <w:szCs w:val="24"/>
        </w:rPr>
        <w:t>12. РЕКВИЗИТЫ И ПОДПИСИ СТОРОН</w:t>
      </w:r>
    </w:p>
    <w:tbl>
      <w:tblPr>
        <w:tblW w:w="10256" w:type="dxa"/>
        <w:jc w:val="center"/>
        <w:tblInd w:w="0" w:type="dxa"/>
        <w:tblLayout w:type="fixed"/>
        <w:tblCellMar>
          <w:top w:w="0" w:type="dxa"/>
          <w:left w:w="108" w:type="dxa"/>
          <w:bottom w:w="0" w:type="dxa"/>
          <w:right w:w="108" w:type="dxa"/>
        </w:tblCellMar>
      </w:tblPr>
      <w:tblGrid>
        <w:gridCol w:w="5070"/>
        <w:gridCol w:w="5186"/>
      </w:tblGrid>
      <w:tr>
        <w:trPr>
          <w:trHeight w:val="5954" w:hRule="atLeast"/>
        </w:trPr>
        <w:tc>
          <w:tcPr>
            <w:tcW w:w="5070" w:type="dxa"/>
            <w:tcBorders/>
          </w:tcPr>
          <w:p>
            <w:pPr>
              <w:pStyle w:val="Style28"/>
              <w:autoSpaceDE w:val="false"/>
              <w:rPr/>
            </w:pPr>
            <w:r>
              <w:rPr>
                <w:rFonts w:cs="Times New Roman" w:ascii="Times New Roman" w:hAnsi="Times New Roman"/>
                <w:b/>
                <w:bCs/>
                <w:spacing w:val="-8"/>
                <w:sz w:val="24"/>
                <w:szCs w:val="24"/>
                <w:lang w:val="ru-RU" w:eastAsia="ru-RU"/>
              </w:rPr>
              <w:t xml:space="preserve">ПОСТАВЩИК: </w:t>
            </w:r>
            <w:r>
              <w:rPr>
                <w:rFonts w:cs="Times New Roman" w:ascii="Times New Roman" w:hAnsi="Times New Roman"/>
                <w:b/>
                <w:sz w:val="24"/>
                <w:szCs w:val="24"/>
                <w:lang w:val="ru-RU" w:eastAsia="ru-RU"/>
              </w:rPr>
              <w:t xml:space="preserve"> </w:t>
            </w:r>
          </w:p>
          <w:p>
            <w:pPr>
              <w:pStyle w:val="Normal"/>
              <w:spacing w:before="91" w:after="0"/>
              <w:ind w:left="87" w:right="0" w:hanging="0"/>
              <w:rPr>
                <w:b/>
                <w:b/>
                <w:sz w:val="24"/>
                <w:szCs w:val="24"/>
                <w:lang w:val="ru-RU"/>
              </w:rPr>
            </w:pPr>
            <w:r>
              <w:rPr>
                <w:b/>
                <w:sz w:val="24"/>
                <w:szCs w:val="24"/>
                <w:lang w:val="ru-RU"/>
              </w:rPr>
            </w:r>
          </w:p>
          <w:p>
            <w:pPr>
              <w:pStyle w:val="Standard"/>
              <w:spacing w:lineRule="auto" w:line="240" w:before="0" w:after="200"/>
              <w:rPr>
                <w:b/>
                <w:b/>
                <w:bCs/>
                <w:sz w:val="24"/>
                <w:szCs w:val="24"/>
                <w:lang w:val="ru-RU" w:eastAsia="ru-RU"/>
              </w:rPr>
            </w:pPr>
            <w:r>
              <w:rPr>
                <w:b/>
                <w:bCs/>
                <w:sz w:val="24"/>
                <w:szCs w:val="24"/>
                <w:lang w:val="ru-RU" w:eastAsia="ru-RU"/>
              </w:rPr>
            </w:r>
          </w:p>
        </w:tc>
        <w:tc>
          <w:tcPr>
            <w:tcW w:w="5186" w:type="dxa"/>
            <w:tcBorders/>
          </w:tcPr>
          <w:p>
            <w:pPr>
              <w:pStyle w:val="Normal"/>
              <w:ind w:left="709" w:right="684" w:hanging="0"/>
              <w:rPr>
                <w:b/>
                <w:b/>
                <w:sz w:val="24"/>
                <w:szCs w:val="24"/>
              </w:rPr>
            </w:pPr>
            <w:r>
              <w:rPr>
                <w:b/>
                <w:sz w:val="24"/>
                <w:szCs w:val="24"/>
              </w:rPr>
              <w:t xml:space="preserve">ЗАКАЗЧИК: </w:t>
            </w:r>
          </w:p>
          <w:p>
            <w:pPr>
              <w:pStyle w:val="Normal"/>
              <w:ind w:left="709" w:right="684" w:hanging="0"/>
              <w:rPr>
                <w:b/>
                <w:b/>
                <w:sz w:val="24"/>
                <w:szCs w:val="24"/>
              </w:rPr>
            </w:pPr>
            <w:r>
              <w:rPr>
                <w:b/>
                <w:sz w:val="24"/>
                <w:szCs w:val="24"/>
              </w:rPr>
            </w:r>
          </w:p>
          <w:tbl>
            <w:tblPr>
              <w:tblW w:w="5298" w:type="dxa"/>
              <w:jc w:val="center"/>
              <w:tblInd w:w="0" w:type="dxa"/>
              <w:tblLayout w:type="fixed"/>
              <w:tblCellMar>
                <w:top w:w="0" w:type="dxa"/>
                <w:left w:w="108" w:type="dxa"/>
                <w:bottom w:w="0" w:type="dxa"/>
                <w:right w:w="108" w:type="dxa"/>
              </w:tblCellMar>
            </w:tblPr>
            <w:tblGrid>
              <w:gridCol w:w="5298"/>
            </w:tblGrid>
            <w:tr>
              <w:trPr>
                <w:trHeight w:val="215" w:hRule="atLeast"/>
              </w:trPr>
              <w:tc>
                <w:tcPr>
                  <w:tcW w:w="5298" w:type="dxa"/>
                  <w:tcBorders/>
                </w:tcPr>
                <w:p>
                  <w:pPr>
                    <w:pStyle w:val="Style40"/>
                    <w:keepNext w:val="true"/>
                    <w:keepLines/>
                    <w:tabs>
                      <w:tab w:val="clear" w:pos="720"/>
                      <w:tab w:val="left" w:pos="284" w:leader="none"/>
                    </w:tabs>
                    <w:spacing w:lineRule="auto" w:line="252"/>
                    <w:ind w:left="0" w:right="684" w:hanging="0"/>
                    <w:jc w:val="left"/>
                    <w:rPr>
                      <w:b/>
                      <w:b/>
                      <w:lang w:eastAsia="en-US"/>
                    </w:rPr>
                  </w:pPr>
                  <w:r>
                    <w:rPr>
                      <w:b/>
                      <w:lang w:eastAsia="en-US"/>
                    </w:rPr>
                    <w:t>ФГБУ «ФЦТОЭ» Минздрава России (г. Чебоксары)</w:t>
                  </w:r>
                </w:p>
                <w:p>
                  <w:pPr>
                    <w:pStyle w:val="Normal"/>
                    <w:rPr>
                      <w:sz w:val="24"/>
                      <w:szCs w:val="24"/>
                    </w:rPr>
                  </w:pPr>
                  <w:r>
                    <w:rPr>
                      <w:sz w:val="24"/>
                      <w:szCs w:val="24"/>
                    </w:rPr>
                    <w:t>Адрес: 428020, Чувашская Республика-Чувашия, г. Чебоксары, ул. Федора Гладкова, д. 33</w:t>
                  </w:r>
                </w:p>
                <w:p>
                  <w:pPr>
                    <w:pStyle w:val="Normal"/>
                    <w:rPr>
                      <w:sz w:val="24"/>
                      <w:szCs w:val="24"/>
                    </w:rPr>
                  </w:pPr>
                  <w:r>
                    <w:rPr>
                      <w:sz w:val="24"/>
                      <w:szCs w:val="24"/>
                    </w:rPr>
                    <w:t>ИНН 2130037189 КПП 213001001</w:t>
                  </w:r>
                </w:p>
                <w:p>
                  <w:pPr>
                    <w:pStyle w:val="Normal"/>
                    <w:rPr>
                      <w:sz w:val="24"/>
                      <w:szCs w:val="24"/>
                    </w:rPr>
                  </w:pPr>
                  <w:r>
                    <w:rPr>
                      <w:sz w:val="24"/>
                      <w:szCs w:val="24"/>
                    </w:rPr>
                    <w:t>Реквизиты счета:</w:t>
                  </w:r>
                </w:p>
                <w:p>
                  <w:pPr>
                    <w:pStyle w:val="Normal"/>
                    <w:rPr/>
                  </w:pPr>
                  <w:r>
                    <w:rPr>
                      <w:sz w:val="24"/>
                      <w:szCs w:val="24"/>
                    </w:rPr>
                    <w:t xml:space="preserve">Получатель: </w:t>
                  </w:r>
                  <w:r>
                    <w:rPr>
                      <w:sz w:val="24"/>
                      <w:szCs w:val="24"/>
                      <w:lang w:eastAsia="en-US"/>
                    </w:rPr>
                    <w:t>УФК по Нижегородской области (ФГБУ "ФЦТОЭ" МИНЗДРАВА РОССИИ (Г. ЧЕБОКСАРЫ), л/с 20156У38970, 21156У38970, 22156У38970)</w:t>
                  </w:r>
                </w:p>
                <w:p>
                  <w:pPr>
                    <w:pStyle w:val="Normal"/>
                    <w:tabs>
                      <w:tab w:val="clear" w:pos="720"/>
                      <w:tab w:val="left" w:pos="0" w:leader="none"/>
                    </w:tabs>
                    <w:ind w:left="0" w:right="601" w:hanging="0"/>
                    <w:rPr>
                      <w:sz w:val="24"/>
                      <w:szCs w:val="24"/>
                      <w:lang w:eastAsia="en-US"/>
                    </w:rPr>
                  </w:pPr>
                  <w:r>
                    <w:rPr>
                      <w:sz w:val="24"/>
                      <w:szCs w:val="24"/>
                      <w:lang w:eastAsia="en-US"/>
                    </w:rPr>
                    <w:t>Казначейский счет – 03214643000000013201</w:t>
                  </w:r>
                </w:p>
                <w:p>
                  <w:pPr>
                    <w:pStyle w:val="Normal"/>
                    <w:tabs>
                      <w:tab w:val="clear" w:pos="720"/>
                      <w:tab w:val="left" w:pos="0" w:leader="none"/>
                    </w:tabs>
                    <w:ind w:left="0" w:right="601" w:hanging="0"/>
                    <w:rPr>
                      <w:sz w:val="24"/>
                      <w:szCs w:val="24"/>
                      <w:lang w:eastAsia="en-US"/>
                    </w:rPr>
                  </w:pPr>
                  <w:r>
                    <w:rPr>
                      <w:sz w:val="24"/>
                      <w:szCs w:val="24"/>
                      <w:lang w:eastAsia="en-US"/>
                    </w:rPr>
                    <w:t>Банк получателя: ОКЦ № 1 ВВГУ Банка России//УФК по Нижегородской области, г. Нижний Новгород</w:t>
                  </w:r>
                </w:p>
                <w:p>
                  <w:pPr>
                    <w:pStyle w:val="Normal"/>
                    <w:tabs>
                      <w:tab w:val="clear" w:pos="720"/>
                      <w:tab w:val="left" w:pos="0" w:leader="none"/>
                    </w:tabs>
                    <w:ind w:left="0" w:right="601" w:hanging="0"/>
                    <w:rPr>
                      <w:sz w:val="24"/>
                      <w:szCs w:val="24"/>
                      <w:lang w:eastAsia="en-US"/>
                    </w:rPr>
                  </w:pPr>
                  <w:r>
                    <w:rPr>
                      <w:sz w:val="24"/>
                      <w:szCs w:val="24"/>
                      <w:lang w:eastAsia="en-US"/>
                    </w:rPr>
                    <w:t>Корреспондентский счет: 40102810745370000024</w:t>
                  </w:r>
                </w:p>
                <w:p>
                  <w:pPr>
                    <w:pStyle w:val="Normal"/>
                    <w:tabs>
                      <w:tab w:val="clear" w:pos="720"/>
                      <w:tab w:val="left" w:pos="0" w:leader="none"/>
                    </w:tabs>
                    <w:ind w:left="0" w:right="601" w:hanging="0"/>
                    <w:rPr>
                      <w:sz w:val="24"/>
                      <w:szCs w:val="24"/>
                      <w:lang w:eastAsia="en-US"/>
                    </w:rPr>
                  </w:pPr>
                  <w:r>
                    <w:rPr>
                      <w:sz w:val="24"/>
                      <w:szCs w:val="24"/>
                      <w:lang w:eastAsia="en-US"/>
                    </w:rPr>
                    <w:t xml:space="preserve">БИК - 012202102 </w:t>
                  </w:r>
                </w:p>
                <w:p>
                  <w:pPr>
                    <w:pStyle w:val="Normal"/>
                    <w:tabs>
                      <w:tab w:val="clear" w:pos="720"/>
                      <w:tab w:val="left" w:pos="0" w:leader="none"/>
                    </w:tabs>
                    <w:ind w:left="0" w:right="601" w:hanging="0"/>
                    <w:rPr>
                      <w:sz w:val="24"/>
                      <w:szCs w:val="24"/>
                      <w:lang w:eastAsia="en-US"/>
                    </w:rPr>
                  </w:pPr>
                  <w:r>
                    <w:rPr>
                      <w:sz w:val="24"/>
                      <w:szCs w:val="24"/>
                      <w:lang w:eastAsia="en-US"/>
                    </w:rPr>
                    <w:t>Код ТОФК 1500</w:t>
                  </w:r>
                </w:p>
                <w:p>
                  <w:pPr>
                    <w:pStyle w:val="Normal"/>
                    <w:tabs>
                      <w:tab w:val="clear" w:pos="720"/>
                      <w:tab w:val="left" w:pos="0" w:leader="none"/>
                    </w:tabs>
                    <w:ind w:left="0" w:right="601" w:hanging="0"/>
                    <w:rPr>
                      <w:sz w:val="24"/>
                      <w:szCs w:val="24"/>
                      <w:lang w:eastAsia="en-US"/>
                    </w:rPr>
                  </w:pPr>
                  <w:r>
                    <w:rPr>
                      <w:sz w:val="24"/>
                      <w:szCs w:val="24"/>
                      <w:lang w:eastAsia="en-US"/>
                    </w:rPr>
                    <w:t>Заместитель главного врача по финансово-экономическим вопросам и закупкам.</w:t>
                  </w:r>
                </w:p>
                <w:p>
                  <w:pPr>
                    <w:pStyle w:val="Normal"/>
                    <w:tabs>
                      <w:tab w:val="clear" w:pos="720"/>
                      <w:tab w:val="left" w:pos="0" w:leader="none"/>
                    </w:tabs>
                    <w:ind w:left="0" w:right="601" w:hanging="0"/>
                    <w:rPr>
                      <w:sz w:val="24"/>
                      <w:szCs w:val="24"/>
                      <w:lang w:eastAsia="en-US"/>
                    </w:rPr>
                  </w:pPr>
                  <w:r>
                    <w:rPr>
                      <w:sz w:val="24"/>
                      <w:szCs w:val="24"/>
                      <w:lang w:eastAsia="en-US"/>
                    </w:rPr>
                  </w:r>
                </w:p>
                <w:p>
                  <w:pPr>
                    <w:pStyle w:val="Normal"/>
                    <w:tabs>
                      <w:tab w:val="clear" w:pos="720"/>
                      <w:tab w:val="left" w:pos="0" w:leader="none"/>
                    </w:tabs>
                    <w:ind w:left="0" w:right="601" w:hanging="0"/>
                    <w:rPr>
                      <w:sz w:val="24"/>
                      <w:szCs w:val="24"/>
                      <w:lang w:eastAsia="en-US"/>
                    </w:rPr>
                  </w:pPr>
                  <w:r>
                    <w:rPr>
                      <w:sz w:val="24"/>
                      <w:szCs w:val="24"/>
                      <w:lang w:eastAsia="en-US"/>
                    </w:rPr>
                    <w:t>________________ / А.Н. Деверинский/</w:t>
                  </w:r>
                </w:p>
                <w:p>
                  <w:pPr>
                    <w:pStyle w:val="Normal"/>
                    <w:keepNext w:val="true"/>
                    <w:keepLines/>
                    <w:widowControl w:val="false"/>
                    <w:tabs>
                      <w:tab w:val="clear" w:pos="720"/>
                      <w:tab w:val="left" w:pos="0" w:leader="none"/>
                    </w:tabs>
                    <w:autoSpaceDE w:val="false"/>
                    <w:spacing w:lineRule="auto" w:line="252" w:before="0" w:after="160"/>
                    <w:ind w:left="0" w:right="601" w:hanging="0"/>
                    <w:contextualSpacing/>
                    <w:jc w:val="both"/>
                    <w:rPr>
                      <w:bCs/>
                      <w:sz w:val="24"/>
                      <w:szCs w:val="24"/>
                      <w:lang w:eastAsia="ru-RU"/>
                    </w:rPr>
                  </w:pPr>
                  <w:r>
                    <w:rPr>
                      <w:bCs/>
                      <w:sz w:val="24"/>
                      <w:szCs w:val="24"/>
                      <w:lang w:eastAsia="ru-RU"/>
                    </w:rPr>
                    <w:t>М.П.</w:t>
                  </w:r>
                </w:p>
              </w:tc>
            </w:tr>
          </w:tbl>
          <w:p>
            <w:pPr>
              <w:pStyle w:val="Normal"/>
              <w:ind w:left="709" w:right="0" w:hanging="0"/>
              <w:rPr>
                <w:sz w:val="24"/>
                <w:szCs w:val="24"/>
              </w:rPr>
            </w:pPr>
            <w:r>
              <w:rPr>
                <w:sz w:val="24"/>
                <w:szCs w:val="24"/>
              </w:rPr>
            </w:r>
          </w:p>
        </w:tc>
      </w:tr>
    </w:tbl>
    <w:p>
      <w:pPr>
        <w:sectPr>
          <w:footerReference w:type="default" r:id="rId2"/>
          <w:type w:val="nextPage"/>
          <w:pgSz w:w="11906" w:h="16838"/>
          <w:pgMar w:left="993" w:right="567" w:header="0" w:top="1134" w:footer="283" w:bottom="1134" w:gutter="0"/>
          <w:pgNumType w:fmt="decimal"/>
          <w:formProt w:val="false"/>
          <w:textDirection w:val="lrTb"/>
          <w:docGrid w:type="default" w:linePitch="272" w:charSpace="0"/>
        </w:sectPr>
      </w:pPr>
    </w:p>
    <w:p>
      <w:pPr>
        <w:pStyle w:val="Normal"/>
        <w:jc w:val="right"/>
        <w:rPr>
          <w:bCs/>
          <w:sz w:val="24"/>
          <w:szCs w:val="24"/>
        </w:rPr>
      </w:pPr>
      <w:r>
        <w:rPr>
          <w:bCs/>
          <w:sz w:val="24"/>
          <w:szCs w:val="24"/>
        </w:rPr>
        <w:t>Приложение №1</w:t>
      </w:r>
    </w:p>
    <w:p>
      <w:pPr>
        <w:pStyle w:val="Normal"/>
        <w:ind w:left="0" w:right="17" w:hanging="0"/>
        <w:jc w:val="right"/>
        <w:rPr/>
      </w:pPr>
      <w:r>
        <w:rPr>
          <w:bCs/>
          <w:sz w:val="24"/>
          <w:szCs w:val="24"/>
        </w:rPr>
        <w:t>к Договору от ____________ 2026 г.</w:t>
      </w:r>
      <w:r>
        <w:rPr>
          <w:sz w:val="24"/>
          <w:szCs w:val="24"/>
        </w:rPr>
        <w:t xml:space="preserve"> </w:t>
      </w:r>
      <w:r>
        <w:rPr>
          <w:bCs/>
          <w:sz w:val="24"/>
          <w:szCs w:val="24"/>
        </w:rPr>
        <w:t>№ ______</w:t>
      </w:r>
    </w:p>
    <w:p>
      <w:pPr>
        <w:pStyle w:val="Style21"/>
        <w:jc w:val="center"/>
        <w:rPr/>
      </w:pPr>
      <w:r>
        <w:rPr/>
        <w:t xml:space="preserve">Спецификация </w:t>
      </w:r>
    </w:p>
    <w:tbl>
      <w:tblPr>
        <w:tblW w:w="15156" w:type="dxa"/>
        <w:jc w:val="left"/>
        <w:tblInd w:w="-5" w:type="dxa"/>
        <w:tblLayout w:type="fixed"/>
        <w:tblCellMar>
          <w:top w:w="0" w:type="dxa"/>
          <w:left w:w="108" w:type="dxa"/>
          <w:bottom w:w="0" w:type="dxa"/>
          <w:right w:w="108" w:type="dxa"/>
        </w:tblCellMar>
      </w:tblPr>
      <w:tblGrid>
        <w:gridCol w:w="426"/>
        <w:gridCol w:w="3685"/>
        <w:gridCol w:w="2268"/>
        <w:gridCol w:w="1418"/>
        <w:gridCol w:w="1275"/>
        <w:gridCol w:w="1560"/>
        <w:gridCol w:w="1417"/>
        <w:gridCol w:w="1559"/>
        <w:gridCol w:w="1548"/>
      </w:tblGrid>
      <w:tr>
        <w:trPr>
          <w:trHeight w:val="1104" w:hRule="atLeast"/>
          <w:cantSplit w:val="true"/>
        </w:trPr>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sz w:val="24"/>
                <w:szCs w:val="24"/>
              </w:rPr>
            </w:pPr>
            <w:r>
              <w:rPr>
                <w:b/>
                <w:bCs/>
                <w:sz w:val="24"/>
                <w:szCs w:val="24"/>
              </w:rPr>
              <w:t>№</w:t>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4"/>
                <w:szCs w:val="24"/>
              </w:rPr>
            </w:pPr>
            <w:r>
              <w:rPr>
                <w:bCs/>
                <w:sz w:val="24"/>
                <w:szCs w:val="24"/>
              </w:rPr>
              <w:t>Наименование товара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4"/>
                <w:szCs w:val="24"/>
              </w:rPr>
            </w:pPr>
            <w:r>
              <w:rPr>
                <w:bCs/>
                <w:sz w:val="24"/>
                <w:szCs w:val="24"/>
              </w:rPr>
              <w:t>Производитель/</w:t>
            </w:r>
          </w:p>
          <w:p>
            <w:pPr>
              <w:pStyle w:val="Normal"/>
              <w:jc w:val="center"/>
              <w:rPr>
                <w:bCs/>
                <w:sz w:val="24"/>
                <w:szCs w:val="24"/>
              </w:rPr>
            </w:pPr>
            <w:r>
              <w:rPr>
                <w:bCs/>
                <w:sz w:val="24"/>
                <w:szCs w:val="24"/>
              </w:rPr>
              <w:t>Страна происхождения товара</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t>Единица измерения</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4"/>
                <w:szCs w:val="24"/>
              </w:rPr>
            </w:pPr>
            <w:r>
              <w:rPr>
                <w:bCs/>
                <w:sz w:val="24"/>
                <w:szCs w:val="24"/>
              </w:rPr>
              <w:t>Кол-во</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Цена за единицу измерения,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t>Налоговая ставка, %</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t xml:space="preserve">Цена за единицу измерения, с НДС </w:t>
            </w:r>
          </w:p>
        </w:tc>
        <w:tc>
          <w:tcPr>
            <w:tcW w:w="1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t>Стоимость товара всего, с НДС</w:t>
            </w:r>
          </w:p>
        </w:tc>
      </w:tr>
      <w:tr>
        <w:trPr>
          <w:trHeight w:val="192" w:hRule="atLeast"/>
          <w:cantSplit w:val="true"/>
        </w:trPr>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4"/>
                <w:szCs w:val="24"/>
              </w:rPr>
            </w:pPr>
            <w:r>
              <w:rPr>
                <w:bCs/>
                <w:sz w:val="24"/>
                <w:szCs w:val="24"/>
              </w:rPr>
              <w:t>1.</w:t>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67" w:leader="none"/>
                <w:tab w:val="left" w:pos="2912" w:leader="none"/>
              </w:tabs>
              <w:jc w:val="both"/>
              <w:rPr>
                <w:bCs/>
                <w:color w:val="000000"/>
                <w:sz w:val="24"/>
                <w:szCs w:val="24"/>
              </w:rPr>
            </w:pPr>
            <w:r>
              <w:rPr>
                <w:bCs/>
                <w:color w:val="000000"/>
                <w:sz w:val="24"/>
                <w:szCs w:val="24"/>
              </w:rPr>
              <w:t>Игла инъекционная для анестезии: Сельдингера 1.65 х 100 мм/16G</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Cs/>
                <w:sz w:val="24"/>
                <w:szCs w:val="24"/>
              </w:rPr>
            </w:pPr>
            <w:r>
              <w:rPr>
                <w:bCs/>
                <w:sz w:val="24"/>
                <w:szCs w:val="24"/>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Cs/>
                <w:sz w:val="24"/>
                <w:szCs w:val="24"/>
              </w:rPr>
            </w:pPr>
            <w:r>
              <w:rPr>
                <w:bCs/>
                <w:sz w:val="24"/>
                <w:szCs w:val="24"/>
              </w:rPr>
              <w:t>шт</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Cs/>
                <w:sz w:val="24"/>
                <w:szCs w:val="24"/>
              </w:rPr>
            </w:pPr>
            <w:r>
              <w:rPr>
                <w:bCs/>
                <w:sz w:val="24"/>
                <w:szCs w:val="24"/>
              </w:rPr>
              <w:t>500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4"/>
                <w:szCs w:val="24"/>
              </w:rPr>
            </w:pPr>
            <w:r>
              <w:rPr>
                <w:sz w:val="24"/>
                <w:szCs w:val="24"/>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Cs/>
                <w:sz w:val="24"/>
                <w:szCs w:val="24"/>
              </w:rPr>
            </w:pPr>
            <w:r>
              <w:rPr>
                <w:bCs/>
                <w:sz w:val="24"/>
                <w:szCs w:val="24"/>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Cs/>
                <w:sz w:val="24"/>
                <w:szCs w:val="24"/>
              </w:rPr>
            </w:pPr>
            <w:r>
              <w:rPr>
                <w:bCs/>
                <w:sz w:val="24"/>
                <w:szCs w:val="24"/>
              </w:rPr>
            </w:r>
          </w:p>
        </w:tc>
        <w:tc>
          <w:tcPr>
            <w:tcW w:w="1548" w:type="dxa"/>
            <w:tcBorders>
              <w:top w:val="single" w:sz="4" w:space="0" w:color="000000"/>
              <w:left w:val="single" w:sz="4" w:space="0" w:color="000000"/>
              <w:bottom w:val="single" w:sz="4" w:space="0" w:color="000000"/>
              <w:right w:val="single" w:sz="4" w:space="0" w:color="000000"/>
            </w:tcBorders>
            <w:vAlign w:val="center"/>
          </w:tcPr>
          <w:p>
            <w:pPr>
              <w:pStyle w:val="Style42"/>
              <w:snapToGrid w:val="false"/>
              <w:jc w:val="right"/>
              <w:rPr>
                <w:bCs/>
                <w:sz w:val="24"/>
                <w:szCs w:val="24"/>
              </w:rPr>
            </w:pPr>
            <w:r>
              <w:rPr>
                <w:bCs/>
                <w:sz w:val="24"/>
                <w:szCs w:val="24"/>
              </w:rPr>
            </w:r>
          </w:p>
        </w:tc>
      </w:tr>
      <w:tr>
        <w:trPr>
          <w:trHeight w:val="192" w:hRule="atLeast"/>
          <w:cantSplit w:val="true"/>
        </w:trPr>
        <w:tc>
          <w:tcPr>
            <w:tcW w:w="13608" w:type="dxa"/>
            <w:gridSpan w:val="8"/>
            <w:tcBorders>
              <w:top w:val="single" w:sz="4" w:space="0" w:color="000000"/>
              <w:left w:val="single" w:sz="4" w:space="0" w:color="000000"/>
              <w:bottom w:val="single" w:sz="4" w:space="0" w:color="000000"/>
              <w:right w:val="single" w:sz="4" w:space="0" w:color="000000"/>
            </w:tcBorders>
            <w:vAlign w:val="center"/>
          </w:tcPr>
          <w:p>
            <w:pPr>
              <w:pStyle w:val="Normal"/>
              <w:jc w:val="right"/>
              <w:rPr>
                <w:b/>
                <w:b/>
                <w:bCs/>
                <w:sz w:val="24"/>
                <w:szCs w:val="24"/>
              </w:rPr>
            </w:pPr>
            <w:r>
              <w:rPr>
                <w:b/>
                <w:bCs/>
                <w:sz w:val="24"/>
                <w:szCs w:val="24"/>
              </w:rPr>
              <w:t>Итого:</w:t>
            </w:r>
          </w:p>
        </w:tc>
        <w:tc>
          <w:tcPr>
            <w:tcW w:w="1548" w:type="dxa"/>
            <w:tcBorders>
              <w:top w:val="single" w:sz="4" w:space="0" w:color="000000"/>
              <w:left w:val="single" w:sz="4" w:space="0" w:color="000000"/>
              <w:bottom w:val="single" w:sz="4" w:space="0" w:color="000000"/>
              <w:right w:val="single" w:sz="4" w:space="0" w:color="000000"/>
            </w:tcBorders>
            <w:vAlign w:val="center"/>
          </w:tcPr>
          <w:p>
            <w:pPr>
              <w:pStyle w:val="Style42"/>
              <w:snapToGrid w:val="false"/>
              <w:jc w:val="right"/>
              <w:rPr>
                <w:sz w:val="24"/>
                <w:szCs w:val="24"/>
              </w:rPr>
            </w:pPr>
            <w:r>
              <w:rPr>
                <w:sz w:val="24"/>
                <w:szCs w:val="24"/>
              </w:rPr>
            </w:r>
          </w:p>
        </w:tc>
      </w:tr>
    </w:tbl>
    <w:p>
      <w:pPr>
        <w:pStyle w:val="Normal"/>
        <w:tabs>
          <w:tab w:val="clear" w:pos="720"/>
          <w:tab w:val="left" w:pos="709" w:leader="none"/>
        </w:tabs>
        <w:ind w:left="0" w:right="0" w:firstLine="567"/>
        <w:rPr>
          <w:b/>
          <w:b/>
          <w:bCs/>
          <w:sz w:val="24"/>
          <w:szCs w:val="24"/>
        </w:rPr>
      </w:pPr>
      <w:r>
        <w:rPr>
          <w:b/>
          <w:bCs/>
          <w:sz w:val="24"/>
          <w:szCs w:val="24"/>
        </w:rPr>
      </w:r>
    </w:p>
    <w:p>
      <w:pPr>
        <w:pStyle w:val="Normal"/>
        <w:tabs>
          <w:tab w:val="clear" w:pos="720"/>
          <w:tab w:val="left" w:pos="709" w:leader="none"/>
        </w:tabs>
        <w:jc w:val="both"/>
        <w:rPr>
          <w:b/>
          <w:b/>
          <w:bCs/>
          <w:sz w:val="24"/>
          <w:szCs w:val="24"/>
        </w:rPr>
      </w:pPr>
      <w:r>
        <w:rPr>
          <w:b/>
          <w:bCs/>
          <w:sz w:val="24"/>
          <w:szCs w:val="24"/>
        </w:rPr>
        <w:t xml:space="preserve">Цена Договора составляет: </w:t>
      </w:r>
    </w:p>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t>ПОДПИСИ СТОРОН:</w:t>
      </w:r>
    </w:p>
    <w:p>
      <w:pPr>
        <w:pStyle w:val="Normal"/>
        <w:rPr>
          <w:b/>
          <w:b/>
          <w:bCs/>
          <w:sz w:val="24"/>
          <w:szCs w:val="24"/>
        </w:rPr>
      </w:pPr>
      <w:r>
        <w:rPr>
          <w:b/>
          <w:bCs/>
          <w:sz w:val="24"/>
          <w:szCs w:val="24"/>
        </w:rPr>
      </w:r>
    </w:p>
    <w:tbl>
      <w:tblPr>
        <w:tblW w:w="15270" w:type="dxa"/>
        <w:jc w:val="left"/>
        <w:tblInd w:w="-217" w:type="dxa"/>
        <w:tblLayout w:type="fixed"/>
        <w:tblCellMar>
          <w:top w:w="0" w:type="dxa"/>
          <w:left w:w="108" w:type="dxa"/>
          <w:bottom w:w="0" w:type="dxa"/>
          <w:right w:w="108" w:type="dxa"/>
        </w:tblCellMar>
      </w:tblPr>
      <w:tblGrid>
        <w:gridCol w:w="7636"/>
        <w:gridCol w:w="7634"/>
      </w:tblGrid>
      <w:tr>
        <w:trPr>
          <w:trHeight w:val="805" w:hRule="atLeast"/>
        </w:trPr>
        <w:tc>
          <w:tcPr>
            <w:tcW w:w="7636" w:type="dxa"/>
            <w:tcBorders/>
          </w:tcPr>
          <w:p>
            <w:pPr>
              <w:pStyle w:val="Normal"/>
              <w:widowControl w:val="false"/>
              <w:ind w:left="0" w:right="-6" w:hanging="0"/>
              <w:jc w:val="both"/>
              <w:rPr>
                <w:sz w:val="24"/>
                <w:szCs w:val="24"/>
              </w:rPr>
            </w:pPr>
            <w:r>
              <w:rPr>
                <w:sz w:val="24"/>
                <w:szCs w:val="24"/>
              </w:rPr>
              <w:t>ПОСТАВЩИК:</w:t>
            </w:r>
          </w:p>
          <w:p>
            <w:pPr>
              <w:pStyle w:val="Normal"/>
              <w:widowControl w:val="false"/>
              <w:spacing w:before="0" w:after="0"/>
              <w:contextualSpacing/>
              <w:rPr>
                <w:sz w:val="24"/>
                <w:szCs w:val="24"/>
              </w:rPr>
            </w:pPr>
            <w:r>
              <w:rPr>
                <w:sz w:val="24"/>
                <w:szCs w:val="24"/>
              </w:rPr>
            </w:r>
          </w:p>
        </w:tc>
        <w:tc>
          <w:tcPr>
            <w:tcW w:w="7634" w:type="dxa"/>
            <w:tcBorders/>
          </w:tcPr>
          <w:p>
            <w:pPr>
              <w:pStyle w:val="Normal"/>
              <w:widowControl w:val="false"/>
              <w:rPr>
                <w:sz w:val="24"/>
                <w:szCs w:val="24"/>
              </w:rPr>
            </w:pPr>
            <w:r>
              <w:rPr>
                <w:sz w:val="24"/>
                <w:szCs w:val="24"/>
              </w:rPr>
              <w:t>ЗАКАЗЧИК:</w:t>
            </w:r>
          </w:p>
          <w:p>
            <w:pPr>
              <w:pStyle w:val="Style40"/>
              <w:keepNext w:val="true"/>
              <w:keepLines/>
              <w:widowControl w:val="false"/>
              <w:tabs>
                <w:tab w:val="clear" w:pos="720"/>
                <w:tab w:val="left" w:pos="284" w:leader="none"/>
              </w:tabs>
              <w:spacing w:lineRule="auto" w:line="252"/>
              <w:ind w:left="0" w:right="-995" w:hanging="0"/>
              <w:jc w:val="left"/>
              <w:rPr>
                <w:lang w:eastAsia="en-US"/>
              </w:rPr>
            </w:pPr>
            <w:r>
              <w:rPr>
                <w:lang w:eastAsia="en-US"/>
              </w:rPr>
              <w:t>ФГБУ «ФЦТОЭ» Минздрава России (г. Чебоксары)</w:t>
            </w:r>
          </w:p>
          <w:p>
            <w:pPr>
              <w:pStyle w:val="Style40"/>
              <w:keepNext w:val="true"/>
              <w:keepLines/>
              <w:widowControl w:val="false"/>
              <w:tabs>
                <w:tab w:val="clear" w:pos="720"/>
                <w:tab w:val="left" w:pos="284" w:leader="none"/>
              </w:tabs>
              <w:spacing w:lineRule="auto" w:line="252"/>
              <w:ind w:left="0" w:right="684" w:hanging="0"/>
              <w:jc w:val="left"/>
              <w:rPr>
                <w:lang w:eastAsia="en-US"/>
              </w:rPr>
            </w:pPr>
            <w:r>
              <w:rPr>
                <w:lang w:eastAsia="en-US"/>
              </w:rPr>
            </w:r>
          </w:p>
        </w:tc>
      </w:tr>
      <w:tr>
        <w:trPr>
          <w:trHeight w:val="63" w:hRule="atLeast"/>
        </w:trPr>
        <w:tc>
          <w:tcPr>
            <w:tcW w:w="7636" w:type="dxa"/>
            <w:tcBorders/>
          </w:tcPr>
          <w:p>
            <w:pPr>
              <w:pStyle w:val="Normal"/>
              <w:widowControl w:val="false"/>
              <w:spacing w:before="0" w:after="0"/>
              <w:contextualSpacing/>
              <w:rPr>
                <w:sz w:val="24"/>
                <w:szCs w:val="24"/>
              </w:rPr>
            </w:pPr>
            <w:r>
              <w:rPr>
                <w:sz w:val="24"/>
                <w:szCs w:val="24"/>
              </w:rPr>
              <w:t>/</w:t>
            </w:r>
          </w:p>
        </w:tc>
        <w:tc>
          <w:tcPr>
            <w:tcW w:w="7634" w:type="dxa"/>
            <w:tcBorders/>
          </w:tcPr>
          <w:p>
            <w:pPr>
              <w:pStyle w:val="Normal"/>
              <w:widowControl w:val="false"/>
              <w:rPr>
                <w:sz w:val="24"/>
                <w:szCs w:val="24"/>
              </w:rPr>
            </w:pPr>
            <w:r>
              <w:rPr>
                <w:sz w:val="24"/>
                <w:szCs w:val="24"/>
              </w:rPr>
              <w:t>Заместитель главного врача по</w:t>
            </w:r>
          </w:p>
          <w:p>
            <w:pPr>
              <w:pStyle w:val="Normal"/>
              <w:widowControl w:val="false"/>
              <w:rPr>
                <w:sz w:val="24"/>
                <w:szCs w:val="24"/>
              </w:rPr>
            </w:pPr>
            <w:r>
              <w:rPr>
                <w:sz w:val="24"/>
                <w:szCs w:val="24"/>
              </w:rPr>
              <w:t>финансово-экономическим вопросам – главный бухгалтер</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 / А.Н. Деверинский /</w:t>
            </w:r>
          </w:p>
          <w:p>
            <w:pPr>
              <w:pStyle w:val="Normal"/>
              <w:widowControl w:val="false"/>
              <w:rPr>
                <w:sz w:val="24"/>
                <w:szCs w:val="24"/>
              </w:rPr>
            </w:pPr>
            <w:r>
              <w:rPr>
                <w:sz w:val="24"/>
                <w:szCs w:val="24"/>
              </w:rPr>
            </w:r>
          </w:p>
        </w:tc>
      </w:tr>
    </w:tbl>
    <w:p>
      <w:pPr>
        <w:pStyle w:val="Style21"/>
        <w:spacing w:before="0" w:after="120"/>
        <w:rPr/>
      </w:pPr>
      <w:r>
        <w:rPr/>
      </w:r>
    </w:p>
    <w:sectPr>
      <w:footerReference w:type="default" r:id="rId3"/>
      <w:type w:val="nextPage"/>
      <w:pgSz w:orient="landscape" w:w="16838" w:h="11906"/>
      <w:pgMar w:left="1191" w:right="993" w:header="0" w:top="709" w:footer="283" w:bottom="1418" w:gutter="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Univers">
    <w:charset w:val="00"/>
    <w:family w:val="swiss"/>
    <w:pitch w:val="variable"/>
  </w:font>
  <w:font w:name="Tahoma">
    <w:charset w:val="cc"/>
    <w:family w:val="swiss"/>
    <w:pitch w:val="variable"/>
  </w:font>
  <w:font w:name="Verdana">
    <w:charset w:val="cc"/>
    <w:family w:val="swiss"/>
    <w:pitch w:val="variable"/>
  </w:font>
  <w:font w:name="Consultant">
    <w:altName w:val="Courier New"/>
    <w:charset w:val="00"/>
    <w:family w:val="modern"/>
    <w:pitch w:val="default"/>
  </w:font>
  <w:font w:name="Calibri">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tabs>
        <w:tab w:val="clear" w:pos="4677"/>
        <w:tab w:val="center" w:pos="5387" w:leader="none"/>
        <w:tab w:val="left" w:pos="6804" w:leader="none"/>
        <w:tab w:val="left" w:pos="6946" w:leader="none"/>
        <w:tab w:val="right" w:pos="9355" w:leader="none"/>
      </w:tabs>
      <w:rPr/>
    </w:pPr>
    <w:r>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tabs>
        <w:tab w:val="clear" w:pos="4677"/>
        <w:tab w:val="center" w:pos="6379" w:leader="none"/>
        <w:tab w:val="right" w:pos="9355" w:leader="none"/>
      </w:tabs>
      <w:rPr/>
    </w:pPr>
    <w:r>
      <w:rPr/>
      <w:tab/>
    </w:r>
  </w:p>
  <w:p>
    <w:pPr>
      <w:pStyle w:val="Style31"/>
      <w:rPr/>
    </w:pPr>
    <w:r>
      <w:rPr/>
    </w:r>
  </w:p>
  <w:p>
    <w:pPr>
      <w:pStyle w:val="Style31"/>
      <w:tabs>
        <w:tab w:val="clear" w:pos="4677"/>
        <w:tab w:val="center" w:pos="5387" w:leader="none"/>
        <w:tab w:val="left" w:pos="5812" w:leader="none"/>
        <w:tab w:val="right" w:pos="9355" w:leader="none"/>
      </w:tabs>
      <w:rPr/>
    </w:pPr>
    <w:r>
      <w:rPr/>
      <w:tab/>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upperRoman"/>
      <w:lvlText w:val="Статья %1."/>
      <w:lvlJc w:val="left"/>
      <w:pPr>
        <w:tabs>
          <w:tab w:val="num" w:pos="1440"/>
        </w:tabs>
        <w:ind w:left="0" w:hanging="0"/>
      </w:pPr>
      <w:rPr/>
    </w:lvl>
    <w:lvl w:ilvl="1">
      <w:start w:val="1"/>
      <w:pStyle w:val="2"/>
      <w:numFmt w:val="decimalZero"/>
      <w:lvlText w:val="Раздел %1.%2"/>
      <w:lvlJc w:val="left"/>
      <w:pPr>
        <w:tabs>
          <w:tab w:val="num" w:pos="1080"/>
        </w:tabs>
        <w:ind w:left="0" w:hanging="0"/>
      </w:pPr>
      <w:r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sz w:val="24"/>
        <w:b/>
        <w:szCs w:val="24"/>
      </w:rPr>
    </w:lvl>
  </w:abstractNum>
  <w:abstractNum w:abstractNumId="3">
    <w:lvl w:ilvl="0">
      <w:start w:val="1"/>
      <w:numFmt w:val="decimal"/>
      <w:lvlText w:val="%1."/>
      <w:lvlJc w:val="center"/>
      <w:pPr>
        <w:tabs>
          <w:tab w:val="num" w:pos="0"/>
        </w:tabs>
        <w:ind w:left="0" w:hanging="0"/>
      </w:pPr>
      <w:rPr>
        <w:i w:val="false"/>
        <w:b/>
      </w:rPr>
    </w:lvl>
    <w:lvl w:ilvl="1">
      <w:start w:val="1"/>
      <w:numFmt w:val="decimal"/>
      <w:lvlText w:val="%1.%2"/>
      <w:lvlJc w:val="left"/>
      <w:pPr>
        <w:tabs>
          <w:tab w:val="num" w:pos="851"/>
        </w:tabs>
        <w:ind w:left="851" w:hanging="851"/>
      </w:pPr>
      <w:rPr>
        <w:smallCaps w:val="false"/>
        <w:caps w:val="false"/>
        <w:outline w:val="false"/>
        <w:dstrike w:val="false"/>
        <w:strike w:val="false"/>
        <w:vertAlign w:val="baseline"/>
        <w:position w:val="0"/>
        <w:sz w:val="24"/>
        <w:sz w:val="24"/>
        <w:spacing w:val="0"/>
        <w:i w:val="false"/>
        <w:shadow w:val="false"/>
        <w:u w:val="none"/>
        <w:b w:val="false"/>
        <w:kern w:val="0"/>
        <w:szCs w:val="24"/>
        <w:iCs w:val="false"/>
        <w:bCs w:val="false"/>
        <w:w w:val="100"/>
        <w:vanish w:val="false"/>
        <w:rFonts w:cs="Times New Roman"/>
        <w:color w:val="000000"/>
      </w:rPr>
    </w:lvl>
    <w:lvl w:ilvl="2">
      <w:start w:val="1"/>
      <w:numFmt w:val="decimal"/>
      <w:lvlText w:val="%1.%2.%3"/>
      <w:lvlJc w:val="left"/>
      <w:pPr>
        <w:tabs>
          <w:tab w:val="num" w:pos="851"/>
        </w:tabs>
        <w:ind w:left="851" w:hanging="851"/>
      </w:pPr>
      <w:rPr>
        <w:i w:val="false"/>
        <w:b w:val="false"/>
        <w:iCs w:val="false"/>
        <w:bCs w:val="false"/>
      </w:rPr>
    </w:lvl>
    <w:lvl w:ilvl="3">
      <w:start w:val="1"/>
      <w:numFmt w:val="lowerLetter"/>
      <w:lvlText w:val="%4)"/>
      <w:lvlJc w:val="left"/>
      <w:pPr>
        <w:tabs>
          <w:tab w:val="num" w:pos="1418"/>
        </w:tabs>
        <w:ind w:left="1418" w:hanging="567"/>
      </w:pPr>
      <w:rPr>
        <w:smallCaps w:val="false"/>
        <w:caps w:val="false"/>
        <w:outline w:val="false"/>
        <w:dstrike w:val="false"/>
        <w:strike w:val="false"/>
        <w:vertAlign w:val="baseline"/>
        <w:position w:val="0"/>
        <w:sz w:val="24"/>
        <w:sz w:val="24"/>
        <w:spacing w:val="0"/>
        <w:i w:val="false"/>
        <w:shadow w:val="false"/>
        <w:u w:val="none"/>
        <w:b w:val="false"/>
        <w:kern w:val="0"/>
        <w:iCs w:val="false"/>
        <w:bCs w:val="false"/>
        <w:w w:val="100"/>
        <w:vanish w:val="false"/>
        <w:rFonts w:cs="Times New Roman"/>
        <w:color w:val="000000"/>
      </w:rPr>
    </w:lvl>
    <w:lvl w:ilvl="4">
      <w:start w:val="1"/>
      <w:numFmt w:val="lowerLetter"/>
      <w:lvlText w:val="%5)"/>
      <w:lvlJc w:val="left"/>
      <w:pPr>
        <w:tabs>
          <w:tab w:val="num" w:pos="1134"/>
        </w:tabs>
        <w:ind w:left="1134" w:hanging="567"/>
      </w:pPr>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lvl>
    <w:lvl w:ilvl="7">
      <w:start w:val="1"/>
      <w:numFmt w:val="decimal"/>
      <w:lvlText w:val="%1.%2.%3.%4.%5.%6.%7.%8."/>
      <w:lvlJc w:val="left"/>
      <w:pPr>
        <w:tabs>
          <w:tab w:val="num" w:pos="3978"/>
        </w:tabs>
        <w:ind w:left="2322" w:hanging="1224"/>
      </w:pPr>
      <w:rPr/>
    </w:lvl>
    <w:lvl w:ilvl="8">
      <w:start w:val="1"/>
      <w:numFmt w:val="decimal"/>
      <w:lvlText w:val="%1.%2.%3.%4.%5.%6.%7.%8.%9."/>
      <w:lvlJc w:val="left"/>
      <w:pPr>
        <w:tabs>
          <w:tab w:val="num" w:pos="4698"/>
        </w:tabs>
        <w:ind w:left="2898" w:hanging="1440"/>
      </w:pPr>
      <w:rPr/>
    </w:lvl>
  </w:abstractNum>
  <w:abstractNum w:abstractNumId="4">
    <w:lvl w:ilvl="0">
      <w:start w:val="1"/>
      <w:numFmt w:val="decimal"/>
      <w:lvlText w:val="%1."/>
      <w:lvlJc w:val="left"/>
      <w:pPr>
        <w:tabs>
          <w:tab w:val="num" w:pos="360"/>
        </w:tabs>
        <w:ind w:left="360" w:hanging="360"/>
      </w:pPr>
      <w:rPr/>
    </w:lvl>
    <w:lvl w:ilvl="1">
      <w:start w:val="1"/>
      <w:numFmt w:val="decimal"/>
      <w:lvlText w:val="%1.%2."/>
      <w:lvlJc w:val="left"/>
      <w:pPr>
        <w:tabs>
          <w:tab w:val="num" w:pos="454"/>
        </w:tabs>
        <w:ind w:left="454" w:hanging="454"/>
      </w:pPr>
      <w:rPr/>
    </w:lvl>
    <w:lvl w:ilvl="2">
      <w:start w:val="1"/>
      <w:numFmt w:val="decimal"/>
      <w:lvlText w:val="%1.%2.%3."/>
      <w:lvlJc w:val="left"/>
      <w:pPr>
        <w:tabs>
          <w:tab w:val="num" w:pos="1050"/>
        </w:tabs>
        <w:ind w:left="1050" w:hanging="510"/>
      </w:pPr>
      <w:rPr/>
    </w:lvl>
    <w:lvl w:ilvl="3">
      <w:start w:val="1"/>
      <w:numFmt w:val="decimal"/>
      <w:lvlText w:val="%1.%2.%3.%4."/>
      <w:lvlJc w:val="left"/>
      <w:pPr>
        <w:tabs>
          <w:tab w:val="num" w:pos="1134"/>
        </w:tabs>
        <w:ind w:left="1134" w:hanging="454"/>
      </w:pPr>
      <w:rPr/>
    </w:lvl>
    <w:lvl w:ilvl="4">
      <w:start w:val="1"/>
      <w:numFmt w:val="decimal"/>
      <w:lvlText w:val="%1.%2.%3.%4.%5."/>
      <w:lvlJc w:val="left"/>
      <w:pPr>
        <w:tabs>
          <w:tab w:val="num" w:pos="2232"/>
        </w:tabs>
        <w:ind w:left="2232" w:hanging="792"/>
      </w:pPr>
      <w:rPr/>
    </w:lvl>
    <w:lvl w:ilvl="5">
      <w:start w:val="1"/>
      <w:numFmt w:val="decimal"/>
      <w:lvlText w:val="%1.%2.%3.%4.%5.%6."/>
      <w:lvlJc w:val="left"/>
      <w:pPr>
        <w:tabs>
          <w:tab w:val="num" w:pos="2736"/>
        </w:tabs>
        <w:ind w:left="2736" w:hanging="936"/>
      </w:pPr>
      <w:rPr/>
    </w:lvl>
    <w:lvl w:ilvl="6">
      <w:start w:val="1"/>
      <w:numFmt w:val="decimal"/>
      <w:lvlText w:val="%1.%2.%3.%4.%5.%6.%7."/>
      <w:lvlJc w:val="left"/>
      <w:pPr>
        <w:tabs>
          <w:tab w:val="num" w:pos="3240"/>
        </w:tabs>
        <w:ind w:left="3240" w:hanging="1080"/>
      </w:pPr>
      <w:rPr/>
    </w:lvl>
    <w:lvl w:ilvl="7">
      <w:start w:val="1"/>
      <w:numFmt w:val="decimal"/>
      <w:lvlText w:val="%1.%2.%3.%4.%5.%6.%7.%8."/>
      <w:lvlJc w:val="left"/>
      <w:pPr>
        <w:tabs>
          <w:tab w:val="num" w:pos="3744"/>
        </w:tabs>
        <w:ind w:left="3744" w:hanging="1224"/>
      </w:pPr>
      <w:rPr/>
    </w:lvl>
    <w:lvl w:ilvl="8">
      <w:start w:val="1"/>
      <w:numFmt w:val="decimal"/>
      <w:lvlText w:val="%1.%2.%3.%4.%5.%6.%7.%8.%9."/>
      <w:lvlJc w:val="left"/>
      <w:pPr>
        <w:tabs>
          <w:tab w:val="num" w:pos="4320"/>
        </w:tabs>
        <w:ind w:left="4320" w:hanging="1440"/>
      </w:pPr>
      <w:rPr/>
    </w:lvl>
  </w:abstractNum>
  <w:abstractNum w:abstractNumId="5">
    <w:lvl w:ilvl="0">
      <w:start w:val="2"/>
      <w:numFmt w:val="decimal"/>
      <w:lvlText w:val="%1."/>
      <w:lvlJc w:val="left"/>
      <w:pPr>
        <w:tabs>
          <w:tab w:val="num" w:pos="2912"/>
        </w:tabs>
        <w:ind w:left="2912" w:hanging="360"/>
      </w:pPr>
      <w:rPr>
        <w:b/>
      </w:rPr>
    </w:lvl>
    <w:lvl w:ilvl="1">
      <w:start w:val="1"/>
      <w:numFmt w:val="decimal"/>
      <w:lvlText w:val="%1.%2."/>
      <w:lvlJc w:val="left"/>
      <w:pPr>
        <w:tabs>
          <w:tab w:val="num" w:pos="720"/>
        </w:tabs>
        <w:ind w:left="360" w:hanging="360"/>
      </w:pPr>
      <w:rPr>
        <w:sz w:val="24"/>
        <w:b w:val="false"/>
        <w:szCs w:val="24"/>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0"/>
      <w:szCs w:val="20"/>
      <w:lang w:val="ru-RU" w:eastAsia="zh-CN" w:bidi="ar-SA"/>
    </w:rPr>
  </w:style>
  <w:style w:type="paragraph" w:styleId="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2">
    <w:name w:val="Heading 2"/>
    <w:basedOn w:val="Normal"/>
    <w:next w:val="Normal"/>
    <w:qFormat/>
    <w:pPr>
      <w:keepNext w:val="true"/>
      <w:numPr>
        <w:ilvl w:val="1"/>
        <w:numId w:val="1"/>
      </w:numPr>
      <w:jc w:val="both"/>
      <w:outlineLvl w:val="1"/>
    </w:pPr>
    <w:rPr>
      <w:b/>
      <w:bCs/>
      <w:sz w:val="24"/>
    </w:rPr>
  </w:style>
  <w:style w:type="paragraph" w:styleId="3">
    <w:name w:val="Heading 3"/>
    <w:basedOn w:val="Normal"/>
    <w:next w:val="Normal"/>
    <w:qFormat/>
    <w:pPr>
      <w:keepNext w:val="true"/>
      <w:widowControl w:val="false"/>
      <w:autoSpaceDE w:val="false"/>
      <w:spacing w:before="240" w:after="60"/>
      <w:outlineLvl w:val="2"/>
    </w:pPr>
    <w:rPr>
      <w:rFonts w:ascii="Arial" w:hAnsi="Arial" w:cs="Arial"/>
      <w:b/>
      <w:bCs/>
      <w:sz w:val="26"/>
      <w:szCs w:val="26"/>
    </w:rPr>
  </w:style>
  <w:style w:type="paragraph" w:styleId="6">
    <w:name w:val="Heading 6"/>
    <w:basedOn w:val="Normal"/>
    <w:next w:val="Normal"/>
    <w:qFormat/>
    <w:pPr>
      <w:spacing w:before="240" w:after="60"/>
      <w:outlineLvl w:val="5"/>
    </w:pPr>
    <w:rPr>
      <w:b/>
      <w:bCs/>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sz w:val="24"/>
      <w:szCs w:val="24"/>
    </w:rPr>
  </w:style>
  <w:style w:type="character" w:styleId="WW8Num3z0">
    <w:name w:val="WW8Num3z0"/>
    <w:qFormat/>
    <w:rPr>
      <w:b/>
      <w:i w:val="false"/>
    </w:rPr>
  </w:style>
  <w:style w:type="character" w:styleId="WW8Num3z1">
    <w:name w:val="WW8Num3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szCs w:val="24"/>
      <w:u w:val="none"/>
      <w:vertAlign w:val="baseline"/>
    </w:rPr>
  </w:style>
  <w:style w:type="character" w:styleId="WW8Num3z2">
    <w:name w:val="WW8Num3z2"/>
    <w:qFormat/>
    <w:rPr>
      <w:b w:val="false"/>
      <w:bCs w:val="false"/>
      <w:i w:val="false"/>
      <w:iCs w:val="false"/>
    </w:rPr>
  </w:style>
  <w:style w:type="character" w:styleId="WW8Num3z3">
    <w:name w:val="WW8Num3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3z4">
    <w:name w:val="WW8Num3z4"/>
    <w:qFormat/>
    <w:rPr/>
  </w:style>
  <w:style w:type="character" w:styleId="WW8Num3z5">
    <w:name w:val="WW8Num3z5"/>
    <w:qFormat/>
    <w:rPr>
      <w:rFonts w:ascii="Symbol" w:hAnsi="Symbol" w:cs="Symbol"/>
    </w:rPr>
  </w:style>
  <w:style w:type="character" w:styleId="WW8Num4z0">
    <w:name w:val="WW8Num4z0"/>
    <w:qFormat/>
    <w:rPr/>
  </w:style>
  <w:style w:type="character" w:styleId="WW8Num5z0">
    <w:name w:val="WW8Num5z0"/>
    <w:qFormat/>
    <w:rPr>
      <w:b/>
    </w:rPr>
  </w:style>
  <w:style w:type="character" w:styleId="WW8Num5z1">
    <w:name w:val="WW8Num5z1"/>
    <w:qFormat/>
    <w:rPr>
      <w:b w:val="false"/>
      <w:sz w:val="24"/>
      <w:szCs w:val="24"/>
    </w:rPr>
  </w:style>
  <w:style w:type="character" w:styleId="WW8Num5z2">
    <w:name w:val="WW8Num5z2"/>
    <w:qFormat/>
    <w:rPr/>
  </w:style>
  <w:style w:type="character" w:styleId="Style10">
    <w:name w:val="Основной шрифт абзаца"/>
    <w:qFormat/>
    <w:rPr/>
  </w:style>
  <w:style w:type="character" w:styleId="21">
    <w:name w:val="Основной шрифт абзаца2"/>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6z0">
    <w:name w:val="WW8Num6z0"/>
    <w:qFormat/>
    <w:rPr>
      <w:rFonts w:ascii="Times New Roman" w:hAnsi="Times New Roman" w:cs="Times New Roman"/>
      <w:b/>
      <w:i w:val="false"/>
      <w:sz w:val="20"/>
      <w:u w:val="none"/>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Times New Roman" w:hAnsi="Times New Roman" w:cs="Times New Roman"/>
      <w:b w:val="false"/>
      <w:i w:val="false"/>
      <w:sz w:val="20"/>
      <w:u w:val="none"/>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Times New Roman" w:hAnsi="Times New Roman" w:cs="Times New Roman"/>
      <w:b w:val="false"/>
      <w:i w:val="false"/>
      <w:sz w:val="20"/>
      <w:u w:val="none"/>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style>
  <w:style w:type="character" w:styleId="WW8Num13z0">
    <w:name w:val="WW8Num13z0"/>
    <w:qFormat/>
    <w:rPr>
      <w:b/>
      <w:i w:val="false"/>
    </w:rPr>
  </w:style>
  <w:style w:type="character" w:styleId="WW8Num13z1">
    <w:name w:val="WW8Num13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szCs w:val="24"/>
      <w:u w:val="none"/>
      <w:vertAlign w:val="baseline"/>
    </w:rPr>
  </w:style>
  <w:style w:type="character" w:styleId="WW8Num13z2">
    <w:name w:val="WW8Num13z2"/>
    <w:qFormat/>
    <w:rPr>
      <w:b w:val="false"/>
      <w:bCs w:val="false"/>
      <w:i w:val="false"/>
      <w:iCs w:val="false"/>
    </w:rPr>
  </w:style>
  <w:style w:type="character" w:styleId="WW8Num13z3">
    <w:name w:val="WW8Num13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3z4">
    <w:name w:val="WW8Num13z4"/>
    <w:qFormat/>
    <w:rPr/>
  </w:style>
  <w:style w:type="character" w:styleId="WW8Num13z5">
    <w:name w:val="WW8Num13z5"/>
    <w:qFormat/>
    <w:rPr>
      <w:rFonts w:ascii="Symbol" w:hAnsi="Symbol" w:cs="Symbol"/>
    </w:rPr>
  </w:style>
  <w:style w:type="character" w:styleId="WW8Num14z0">
    <w:name w:val="WW8Num14z0"/>
    <w:qFormat/>
    <w:rPr/>
  </w:style>
  <w:style w:type="character" w:styleId="WW8Num15z0">
    <w:name w:val="WW8Num15z0"/>
    <w:qFormat/>
    <w:rPr>
      <w:rFonts w:ascii="Times New Roman" w:hAnsi="Times New Roman" w:cs="Times New Roman"/>
      <w:b/>
      <w:sz w:val="22"/>
      <w:szCs w:val="22"/>
    </w:rPr>
  </w:style>
  <w:style w:type="character" w:styleId="WW8Num15z1">
    <w:name w:val="WW8Num15z1"/>
    <w:qFormat/>
    <w:rPr>
      <w:rFonts w:ascii="Times New Roman" w:hAnsi="Times New Roman" w:cs="Times New Roman"/>
      <w:b w:val="false"/>
      <w:sz w:val="22"/>
      <w:szCs w:val="22"/>
    </w:rPr>
  </w:style>
  <w:style w:type="character" w:styleId="WW8Num15z2">
    <w:name w:val="WW8Num15z2"/>
    <w:qFormat/>
    <w:rPr/>
  </w:style>
  <w:style w:type="character" w:styleId="WW8Num16z0">
    <w:name w:val="WW8Num16z0"/>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b w:val="false"/>
    </w:rPr>
  </w:style>
  <w:style w:type="character" w:styleId="WW8Num19z0">
    <w:name w:val="WW8Num19z0"/>
    <w:qFormat/>
    <w:rPr>
      <w:rFonts w:ascii="Times New Roman" w:hAnsi="Times New Roman" w:cs="Times New Roman"/>
      <w:b w:val="false"/>
      <w:i w:val="false"/>
      <w:sz w:val="20"/>
      <w:u w:val="none"/>
    </w:rPr>
  </w:style>
  <w:style w:type="character" w:styleId="WW8Num20z0">
    <w:name w:val="WW8Num20z0"/>
    <w:qFormat/>
    <w:rPr>
      <w:rFonts w:ascii="Times New Roman" w:hAnsi="Times New Roman" w:cs="Times New Roman"/>
      <w:b/>
      <w:i w:val="false"/>
      <w:sz w:val="20"/>
      <w:u w:val="none"/>
    </w:rPr>
  </w:style>
  <w:style w:type="character" w:styleId="WW8Num21z0">
    <w:name w:val="WW8Num21z0"/>
    <w:qFormat/>
    <w:rPr>
      <w:b/>
    </w:rPr>
  </w:style>
  <w:style w:type="character" w:styleId="WW8Num21z1">
    <w:name w:val="WW8Num21z1"/>
    <w:qFormat/>
    <w:rPr>
      <w:b w:val="false"/>
      <w:sz w:val="24"/>
      <w:szCs w:val="24"/>
    </w:rPr>
  </w:style>
  <w:style w:type="character" w:styleId="WW8Num21z2">
    <w:name w:val="WW8Num21z2"/>
    <w:qFormat/>
    <w:rPr/>
  </w:style>
  <w:style w:type="character" w:styleId="WW8Num22z0">
    <w:name w:val="WW8Num22z0"/>
    <w:qFormat/>
    <w:rPr>
      <w:rFonts w:ascii="Times New Roman" w:hAnsi="Times New Roman" w:cs="Times New Roman"/>
      <w:b/>
      <w:i w:val="false"/>
      <w:sz w:val="20"/>
      <w:u w:val="none"/>
    </w:rPr>
  </w:style>
  <w:style w:type="character" w:styleId="WW8Num23z0">
    <w:name w:val="WW8Num23z0"/>
    <w:qFormat/>
    <w:rPr>
      <w:rFonts w:ascii="Times New Roman" w:hAnsi="Times New Roman" w:cs="Times New Roman"/>
      <w:b/>
      <w:i w:val="false"/>
      <w:sz w:val="20"/>
      <w:u w:val="none"/>
    </w:rPr>
  </w:style>
  <w:style w:type="character" w:styleId="WW8Num24z0">
    <w:name w:val="WW8Num24z0"/>
    <w:qFormat/>
    <w:rPr>
      <w:rFonts w:ascii="Times New Roman" w:hAnsi="Times New Roman" w:cs="Times New Roman"/>
      <w:b w:val="false"/>
      <w:i w:val="false"/>
      <w:sz w:val="20"/>
      <w:u w:val="none"/>
    </w:rPr>
  </w:style>
  <w:style w:type="character" w:styleId="WW8Num25z0">
    <w:name w:val="WW8Num25z0"/>
    <w:qFormat/>
    <w:rPr>
      <w:b/>
    </w:rPr>
  </w:style>
  <w:style w:type="character" w:styleId="WW8Num25z1">
    <w:name w:val="WW8Num25z1"/>
    <w:qFormat/>
    <w:rPr>
      <w:b w:val="false"/>
    </w:rPr>
  </w:style>
  <w:style w:type="character" w:styleId="WW8Num25z2">
    <w:name w:val="WW8Num25z2"/>
    <w:qFormat/>
    <w:rPr/>
  </w:style>
  <w:style w:type="character" w:styleId="WW8Num26z0">
    <w:name w:val="WW8Num26z0"/>
    <w:qFormat/>
    <w:rPr/>
  </w:style>
  <w:style w:type="character" w:styleId="WW8Num27z0">
    <w:name w:val="WW8Num27z0"/>
    <w:qFormat/>
    <w:rPr>
      <w:rFonts w:ascii="Times New Roman" w:hAnsi="Times New Roman" w:cs="Times New Roman"/>
      <w:b w:val="false"/>
      <w:i w:val="false"/>
      <w:sz w:val="20"/>
      <w:u w:val="none"/>
    </w:rPr>
  </w:style>
  <w:style w:type="character" w:styleId="WW8Num28z0">
    <w:name w:val="WW8Num28z0"/>
    <w:qFormat/>
    <w:rPr/>
  </w:style>
  <w:style w:type="character" w:styleId="WW8Num29z0">
    <w:name w:val="WW8Num29z0"/>
    <w:qFormat/>
    <w:rPr/>
  </w:style>
  <w:style w:type="character" w:styleId="WW8Num30z0">
    <w:name w:val="WW8Num30z0"/>
    <w:qFormat/>
    <w:rPr>
      <w:rFonts w:ascii="Times New Roman" w:hAnsi="Times New Roman" w:cs="Times New Roman"/>
      <w:b w:val="false"/>
      <w:i w:val="false"/>
      <w:sz w:val="20"/>
      <w:u w:val="none"/>
    </w:rPr>
  </w:style>
  <w:style w:type="character" w:styleId="WW8Num31z0">
    <w:name w:val="WW8Num31z0"/>
    <w:qFormat/>
    <w:rPr>
      <w:rFonts w:ascii="Times New Roman" w:hAnsi="Times New Roman" w:cs="Times New Roman"/>
      <w:b/>
      <w:i w:val="false"/>
      <w:sz w:val="20"/>
      <w:u w:val="none"/>
    </w:rPr>
  </w:style>
  <w:style w:type="character" w:styleId="WW8Num32z0">
    <w:name w:val="WW8Num32z0"/>
    <w:qFormat/>
    <w:rPr>
      <w:b w:val="false"/>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5z0">
    <w:name w:val="WW8Num35z0"/>
    <w:qFormat/>
    <w:rPr>
      <w:rFonts w:ascii="Times New Roman" w:hAnsi="Times New Roman" w:cs="Times New Roman"/>
      <w:b w:val="false"/>
      <w:i w:val="false"/>
      <w:sz w:val="22"/>
      <w:szCs w:val="22"/>
      <w:u w:val="none"/>
    </w:rPr>
  </w:style>
  <w:style w:type="character" w:styleId="WW8Num36z0">
    <w:name w:val="WW8Num36z0"/>
    <w:qFormat/>
    <w:rPr>
      <w:rFonts w:ascii="Times New Roman" w:hAnsi="Times New Roman" w:cs="Times New Roman"/>
      <w:b w:val="false"/>
      <w:i w:val="false"/>
      <w:sz w:val="20"/>
      <w:u w:val="none"/>
    </w:rPr>
  </w:style>
  <w:style w:type="character" w:styleId="WW8Num37z0">
    <w:name w:val="WW8Num37z0"/>
    <w:qFormat/>
    <w:rPr>
      <w:rFonts w:ascii="Times New Roman" w:hAnsi="Times New Roman" w:cs="Times New Roman"/>
      <w:b w:val="false"/>
      <w:i w:val="false"/>
      <w:sz w:val="22"/>
      <w:szCs w:val="22"/>
      <w:u w:val="none"/>
    </w:rPr>
  </w:style>
  <w:style w:type="character" w:styleId="WW8Num38z0">
    <w:name w:val="WW8Num38z0"/>
    <w:qFormat/>
    <w:rPr>
      <w:rFonts w:ascii="Times New Roman" w:hAnsi="Times New Roman" w:cs="Times New Roman"/>
      <w:b w:val="false"/>
      <w:i w:val="false"/>
      <w:sz w:val="20"/>
      <w:u w:val="none"/>
    </w:rPr>
  </w:style>
  <w:style w:type="character" w:styleId="WW8Num39z0">
    <w:name w:val="WW8Num39z0"/>
    <w:qFormat/>
    <w:rPr/>
  </w:style>
  <w:style w:type="character" w:styleId="WW8Num40z0">
    <w:name w:val="WW8Num40z0"/>
    <w:qFormat/>
    <w:rPr/>
  </w:style>
  <w:style w:type="character" w:styleId="WW8NumSt6z0">
    <w:name w:val="WW8NumSt6z0"/>
    <w:qFormat/>
    <w:rPr>
      <w:rFonts w:ascii="Times New Roman" w:hAnsi="Times New Roman" w:cs="Times New Roman"/>
      <w:b w:val="false"/>
      <w:i w:val="false"/>
      <w:sz w:val="20"/>
      <w:u w:val="none"/>
    </w:rPr>
  </w:style>
  <w:style w:type="character" w:styleId="WW8NumSt8z0">
    <w:name w:val="WW8NumSt8z0"/>
    <w:qFormat/>
    <w:rPr>
      <w:rFonts w:ascii="Times New Roman" w:hAnsi="Times New Roman" w:cs="Times New Roman"/>
      <w:b w:val="false"/>
      <w:i w:val="false"/>
      <w:sz w:val="20"/>
      <w:u w:val="none"/>
    </w:rPr>
  </w:style>
  <w:style w:type="character" w:styleId="WW8NumSt11z0">
    <w:name w:val="WW8NumSt11z0"/>
    <w:qFormat/>
    <w:rPr>
      <w:rFonts w:ascii="Times New Roman" w:hAnsi="Times New Roman" w:cs="Times New Roman"/>
      <w:b w:val="false"/>
      <w:i w:val="false"/>
      <w:sz w:val="20"/>
      <w:u w:val="none"/>
    </w:rPr>
  </w:style>
  <w:style w:type="character" w:styleId="11">
    <w:name w:val="Основной шрифт абзаца1"/>
    <w:qFormat/>
    <w:rPr/>
  </w:style>
  <w:style w:type="character" w:styleId="12">
    <w:name w:val="Знак примечания1"/>
    <w:qFormat/>
    <w:rPr>
      <w:sz w:val="16"/>
      <w:szCs w:val="16"/>
    </w:rPr>
  </w:style>
  <w:style w:type="character" w:styleId="Style11">
    <w:name w:val="Интернет-ссылка"/>
    <w:rPr>
      <w:color w:val="0000FF"/>
      <w:u w:val="single"/>
    </w:rPr>
  </w:style>
  <w:style w:type="character" w:styleId="31">
    <w:name w:val="Основной текст с отступом 3 Знак"/>
    <w:qFormat/>
    <w:rPr>
      <w:sz w:val="16"/>
      <w:szCs w:val="16"/>
    </w:rPr>
  </w:style>
  <w:style w:type="character" w:styleId="Style12">
    <w:name w:val="Гипертекстовая ссылка"/>
    <w:qFormat/>
    <w:rPr>
      <w:color w:val="106BBE"/>
    </w:rPr>
  </w:style>
  <w:style w:type="character" w:styleId="Style13">
    <w:name w:val="Основной текст Знак"/>
    <w:basedOn w:val="11"/>
    <w:qFormat/>
    <w:rPr/>
  </w:style>
  <w:style w:type="character" w:styleId="Style14">
    <w:name w:val="Без интервала Знак"/>
    <w:qFormat/>
    <w:rPr>
      <w:sz w:val="24"/>
      <w:szCs w:val="24"/>
      <w:lang w:val="ru-RU" w:bidi="ar-SA"/>
    </w:rPr>
  </w:style>
  <w:style w:type="character" w:styleId="Style15">
    <w:name w:val="Абзац списка Знак"/>
    <w:qFormat/>
    <w:rPr/>
  </w:style>
  <w:style w:type="character" w:styleId="Style16">
    <w:name w:val="Текст концевой сноски Знак"/>
    <w:qFormat/>
    <w:rPr>
      <w:rFonts w:ascii="Univers" w:hAnsi="Univers" w:cs="Univers"/>
      <w:sz w:val="16"/>
      <w:szCs w:val="16"/>
      <w:lang w:val="en-GB"/>
    </w:rPr>
  </w:style>
  <w:style w:type="character" w:styleId="Style17">
    <w:name w:val="Текст примечания Знак"/>
    <w:qFormat/>
    <w:rPr/>
  </w:style>
  <w:style w:type="character" w:styleId="Style18">
    <w:name w:val="Нижний колонтитул Знак"/>
    <w:qFormat/>
    <w:rPr/>
  </w:style>
  <w:style w:type="character" w:styleId="Style19">
    <w:name w:val="Неразрешенное упоминание"/>
    <w:qFormat/>
    <w:rPr>
      <w:color w:val="605E5C"/>
      <w:shd w:fill="E1DFDD" w:val="clear"/>
    </w:rPr>
  </w:style>
  <w:style w:type="paragraph" w:styleId="Style20">
    <w:name w:val="Заголовок"/>
    <w:basedOn w:val="Normal"/>
    <w:next w:val="Style21"/>
    <w:qFormat/>
    <w:pPr>
      <w:spacing w:before="480" w:after="120"/>
      <w:contextualSpacing/>
      <w:jc w:val="center"/>
    </w:pPr>
    <w:rPr>
      <w:b/>
      <w:bCs/>
      <w:caps/>
      <w:sz w:val="24"/>
      <w:szCs w:val="24"/>
    </w:rPr>
  </w:style>
  <w:style w:type="paragraph" w:styleId="Style21">
    <w:name w:val="Body Text"/>
    <w:basedOn w:val="Normal"/>
    <w:pPr>
      <w:spacing w:before="0" w:after="120"/>
    </w:pPr>
    <w:rPr/>
  </w:style>
  <w:style w:type="paragraph" w:styleId="Style22">
    <w:name w:val="List"/>
    <w:basedOn w:val="Normal"/>
    <w:pPr>
      <w:ind w:left="283" w:right="0" w:hanging="283"/>
    </w:pPr>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Style25">
    <w:name w:val="Название объекта"/>
    <w:basedOn w:val="Normal"/>
    <w:qFormat/>
    <w:pPr>
      <w:suppressLineNumbers/>
      <w:spacing w:before="120" w:after="120"/>
    </w:pPr>
    <w:rPr>
      <w:rFonts w:cs="Arial"/>
      <w:i/>
      <w:iCs/>
      <w:sz w:val="24"/>
      <w:szCs w:val="24"/>
    </w:rPr>
  </w:style>
  <w:style w:type="paragraph" w:styleId="22">
    <w:name w:val="Указатель2"/>
    <w:basedOn w:val="Normal"/>
    <w:qFormat/>
    <w:pPr>
      <w:suppressLineNumbers/>
    </w:pPr>
    <w:rPr>
      <w:rFonts w:cs="Arial"/>
    </w:rPr>
  </w:style>
  <w:style w:type="paragraph" w:styleId="13">
    <w:name w:val="Название объекта1"/>
    <w:basedOn w:val="Normal"/>
    <w:qFormat/>
    <w:pPr>
      <w:suppressLineNumbers/>
      <w:spacing w:before="120" w:after="120"/>
    </w:pPr>
    <w:rPr>
      <w:rFonts w:cs="Arial"/>
      <w:i/>
      <w:iCs/>
      <w:sz w:val="24"/>
      <w:szCs w:val="24"/>
    </w:rPr>
  </w:style>
  <w:style w:type="paragraph" w:styleId="14">
    <w:name w:val="Указатель1"/>
    <w:basedOn w:val="Normal"/>
    <w:qFormat/>
    <w:pPr>
      <w:suppressLineNumbers/>
    </w:pPr>
    <w:rPr>
      <w:rFonts w:cs="Arial"/>
    </w:rPr>
  </w:style>
  <w:style w:type="paragraph" w:styleId="211">
    <w:name w:val="Маркированный список 21"/>
    <w:basedOn w:val="Normal"/>
    <w:qFormat/>
    <w:pPr>
      <w:ind w:left="566" w:right="0" w:hanging="283"/>
    </w:pPr>
    <w:rPr/>
  </w:style>
  <w:style w:type="paragraph" w:styleId="Style26">
    <w:name w:val="Текст выноски"/>
    <w:basedOn w:val="Normal"/>
    <w:qFormat/>
    <w:pPr/>
    <w:rPr>
      <w:rFonts w:ascii="Tahoma" w:hAnsi="Tahoma" w:cs="Tahoma"/>
      <w:sz w:val="16"/>
      <w:szCs w:val="16"/>
    </w:rPr>
  </w:style>
  <w:style w:type="paragraph" w:styleId="15">
    <w:name w:val="Текст примечания1"/>
    <w:basedOn w:val="Normal"/>
    <w:qFormat/>
    <w:pPr/>
    <w:rPr/>
  </w:style>
  <w:style w:type="paragraph" w:styleId="Style27">
    <w:name w:val="Тема примечания"/>
    <w:basedOn w:val="15"/>
    <w:next w:val="15"/>
    <w:qFormat/>
    <w:pPr/>
    <w:rPr>
      <w:b/>
      <w:bCs/>
    </w:rPr>
  </w:style>
  <w:style w:type="paragraph" w:styleId="311">
    <w:name w:val="Маркированный список 31"/>
    <w:basedOn w:val="Style21"/>
    <w:qFormat/>
    <w:pPr>
      <w:numPr>
        <w:ilvl w:val="0"/>
        <w:numId w:val="4"/>
      </w:numPr>
      <w:spacing w:before="0" w:after="60"/>
      <w:jc w:val="both"/>
    </w:pPr>
    <w:rPr>
      <w:szCs w:val="24"/>
    </w:rPr>
  </w:style>
  <w:style w:type="paragraph" w:styleId="41">
    <w:name w:val="Маркированный список 41"/>
    <w:basedOn w:val="311"/>
    <w:qFormat/>
    <w:pPr>
      <w:numPr>
        <w:ilvl w:val="0"/>
        <w:numId w:val="4"/>
      </w:numPr>
    </w:pPr>
    <w:rPr/>
  </w:style>
  <w:style w:type="paragraph" w:styleId="Style28">
    <w:name w:val="Endnote Text"/>
    <w:basedOn w:val="Normal"/>
    <w:pPr/>
    <w:rPr>
      <w:rFonts w:ascii="Univers" w:hAnsi="Univers" w:cs="Univers"/>
      <w:sz w:val="16"/>
      <w:szCs w:val="16"/>
      <w:lang w:val="en-GB"/>
    </w:rPr>
  </w:style>
  <w:style w:type="paragraph" w:styleId="Style29">
    <w:name w:val="Верхний и нижний колонтитулы"/>
    <w:basedOn w:val="Normal"/>
    <w:qFormat/>
    <w:pPr>
      <w:suppressLineNumbers/>
      <w:tabs>
        <w:tab w:val="clear" w:pos="720"/>
        <w:tab w:val="center" w:pos="4819" w:leader="none"/>
        <w:tab w:val="right" w:pos="9638" w:leader="none"/>
      </w:tabs>
    </w:pPr>
    <w:rPr/>
  </w:style>
  <w:style w:type="paragraph" w:styleId="Style30">
    <w:name w:val="Header"/>
    <w:basedOn w:val="Normal"/>
    <w:pPr>
      <w:tabs>
        <w:tab w:val="clear" w:pos="720"/>
        <w:tab w:val="center" w:pos="4677" w:leader="none"/>
        <w:tab w:val="right" w:pos="9355" w:leader="none"/>
      </w:tabs>
    </w:pPr>
    <w:rPr/>
  </w:style>
  <w:style w:type="paragraph" w:styleId="Style31">
    <w:name w:val="Footer"/>
    <w:basedOn w:val="Normal"/>
    <w:pPr>
      <w:tabs>
        <w:tab w:val="clear" w:pos="720"/>
        <w:tab w:val="center" w:pos="4677" w:leader="none"/>
        <w:tab w:val="right" w:pos="9355" w:leader="none"/>
      </w:tabs>
    </w:pPr>
    <w:rPr/>
  </w:style>
  <w:style w:type="paragraph" w:styleId="Style32">
    <w:name w:val="Стиль"/>
    <w:qFormat/>
    <w:pPr>
      <w:widowControl w:val="false"/>
      <w:suppressAutoHyphens w:val="true"/>
      <w:autoSpaceDE w:val="false"/>
      <w:bidi w:val="0"/>
    </w:pPr>
    <w:rPr>
      <w:rFonts w:ascii="Arial" w:hAnsi="Arial" w:eastAsia="Times New Roman" w:cs="Arial"/>
      <w:color w:val="auto"/>
      <w:sz w:val="24"/>
      <w:szCs w:val="24"/>
      <w:lang w:val="ru-RU" w:eastAsia="zh-CN" w:bidi="ar-SA"/>
    </w:rPr>
  </w:style>
  <w:style w:type="paragraph" w:styleId="Style33">
    <w:name w:val="Знак"/>
    <w:basedOn w:val="Normal"/>
    <w:qFormat/>
    <w:pPr>
      <w:spacing w:lineRule="exact" w:line="240" w:before="0" w:after="160"/>
    </w:pPr>
    <w:rPr>
      <w:rFonts w:ascii="Verdana" w:hAnsi="Verdana" w:cs="Verdana"/>
      <w:sz w:val="24"/>
      <w:szCs w:val="24"/>
      <w:lang w:val="en-US"/>
    </w:rPr>
  </w:style>
  <w:style w:type="paragraph" w:styleId="ConsNonformat">
    <w:name w:val="ConsNonformat"/>
    <w:qFormat/>
    <w:pPr>
      <w:widowControl/>
      <w:suppressAutoHyphens w:val="true"/>
      <w:bidi w:val="0"/>
    </w:pPr>
    <w:rPr>
      <w:rFonts w:ascii="Consultant;Courier New" w:hAnsi="Consultant;Courier New" w:eastAsia="Arial" w:cs="Consultant;Courier New"/>
      <w:color w:val="auto"/>
      <w:sz w:val="20"/>
      <w:szCs w:val="20"/>
      <w:lang w:val="ru-RU" w:eastAsia="zh-CN" w:bidi="ar-SA"/>
    </w:rPr>
  </w:style>
  <w:style w:type="paragraph" w:styleId="Style34">
    <w:name w:val="Текст таблицы"/>
    <w:basedOn w:val="Normal"/>
    <w:qFormat/>
    <w:pPr>
      <w:numPr>
        <w:ilvl w:val="0"/>
        <w:numId w:val="3"/>
      </w:numPr>
      <w:spacing w:before="40" w:after="40"/>
      <w:ind w:left="57" w:right="57" w:hanging="0"/>
    </w:pPr>
    <w:rPr>
      <w:sz w:val="24"/>
      <w:szCs w:val="24"/>
    </w:rPr>
  </w:style>
  <w:style w:type="paragraph" w:styleId="Style35">
    <w:name w:val="Контракт-раздел"/>
    <w:basedOn w:val="Normal"/>
    <w:next w:val="Style36"/>
    <w:qFormat/>
    <w:pPr>
      <w:keepNext w:val="true"/>
      <w:numPr>
        <w:ilvl w:val="0"/>
        <w:numId w:val="3"/>
      </w:numPr>
      <w:tabs>
        <w:tab w:val="clear" w:pos="720"/>
        <w:tab w:val="left" w:pos="0" w:leader="none"/>
        <w:tab w:val="left" w:pos="540" w:leader="none"/>
      </w:tabs>
      <w:suppressAutoHyphens w:val="true"/>
      <w:spacing w:before="360" w:after="120"/>
      <w:ind w:left="0" w:right="0" w:hanging="0"/>
      <w:jc w:val="center"/>
    </w:pPr>
    <w:rPr>
      <w:b/>
      <w:bCs/>
      <w:caps/>
      <w:sz w:val="24"/>
      <w:szCs w:val="24"/>
    </w:rPr>
  </w:style>
  <w:style w:type="paragraph" w:styleId="Style36">
    <w:name w:val="Контракт-пункт"/>
    <w:basedOn w:val="Normal"/>
    <w:qFormat/>
    <w:pPr>
      <w:numPr>
        <w:ilvl w:val="0"/>
        <w:numId w:val="3"/>
      </w:numPr>
      <w:jc w:val="both"/>
    </w:pPr>
    <w:rPr>
      <w:sz w:val="24"/>
      <w:szCs w:val="24"/>
    </w:rPr>
  </w:style>
  <w:style w:type="paragraph" w:styleId="Style37">
    <w:name w:val="Контракт-подпункт"/>
    <w:basedOn w:val="Normal"/>
    <w:qFormat/>
    <w:pPr>
      <w:numPr>
        <w:ilvl w:val="0"/>
        <w:numId w:val="3"/>
      </w:numPr>
      <w:tabs>
        <w:tab w:val="clear" w:pos="720"/>
        <w:tab w:val="left" w:pos="851" w:leader="none"/>
      </w:tabs>
      <w:ind w:left="851" w:right="0" w:hanging="851"/>
      <w:jc w:val="both"/>
    </w:pPr>
    <w:rPr>
      <w:sz w:val="24"/>
      <w:szCs w:val="24"/>
    </w:rPr>
  </w:style>
  <w:style w:type="paragraph" w:styleId="312">
    <w:name w:val="Основной текст с отступом 31"/>
    <w:basedOn w:val="Normal"/>
    <w:qFormat/>
    <w:pPr>
      <w:spacing w:before="0" w:after="120"/>
      <w:ind w:left="283" w:right="0" w:hanging="0"/>
    </w:pPr>
    <w:rPr>
      <w:sz w:val="16"/>
      <w:szCs w:val="16"/>
      <w:lang w:val="ru-RU"/>
    </w:rPr>
  </w:style>
  <w:style w:type="paragraph" w:styleId="16">
    <w:name w:val="Обычный1"/>
    <w:qFormat/>
    <w:pPr>
      <w:widowControl/>
      <w:suppressAutoHyphens w:val="true"/>
      <w:bidi w:val="0"/>
      <w:spacing w:before="120" w:after="0"/>
      <w:jc w:val="both"/>
    </w:pPr>
    <w:rPr>
      <w:rFonts w:ascii="Times New Roman" w:hAnsi="Times New Roman" w:eastAsia="Times New Roman" w:cs="Times New Roman"/>
      <w:color w:val="auto"/>
      <w:sz w:val="24"/>
      <w:szCs w:val="20"/>
      <w:lang w:val="ru-RU" w:eastAsia="zh-CN" w:bidi="ar-SA"/>
    </w:rPr>
  </w:style>
  <w:style w:type="paragraph" w:styleId="Style38">
    <w:name w:val="Стиль По центру"/>
    <w:basedOn w:val="Normal"/>
    <w:qFormat/>
    <w:pPr>
      <w:jc w:val="both"/>
    </w:pPr>
    <w:rPr>
      <w:sz w:val="24"/>
    </w:rPr>
  </w:style>
  <w:style w:type="paragraph" w:styleId="Style39">
    <w:name w:val="Абзац списка"/>
    <w:basedOn w:val="Normal"/>
    <w:qFormat/>
    <w:pPr>
      <w:suppressAutoHyphens w:val="true"/>
      <w:spacing w:before="0" w:after="0"/>
      <w:ind w:left="720" w:right="0" w:hanging="0"/>
      <w:contextualSpacing/>
    </w:pPr>
    <w:rPr>
      <w:lang w:val="ru-RU"/>
    </w:rPr>
  </w:style>
  <w:style w:type="paragraph" w:styleId="Style40">
    <w:name w:val="Без интервала"/>
    <w:qFormat/>
    <w:pPr>
      <w:widowControl/>
      <w:suppressAutoHyphens w:val="true"/>
      <w:bidi w:val="0"/>
      <w:jc w:val="both"/>
    </w:pPr>
    <w:rPr>
      <w:rFonts w:ascii="Times New Roman" w:hAnsi="Times New Roman" w:eastAsia="Times New Roman" w:cs="Times New Roman"/>
      <w:color w:val="auto"/>
      <w:sz w:val="24"/>
      <w:szCs w:val="24"/>
      <w:lang w:val="ru-RU" w:eastAsia="zh-CN" w:bidi="ar-SA"/>
    </w:rPr>
  </w:style>
  <w:style w:type="paragraph" w:styleId="ConsPlusNormal">
    <w:name w:val="ConsPlusNormal"/>
    <w:qFormat/>
    <w:pPr>
      <w:widowControl w:val="false"/>
      <w:suppressAutoHyphens w:val="true"/>
      <w:autoSpaceDE w:val="false"/>
      <w:bidi w:val="0"/>
    </w:pPr>
    <w:rPr>
      <w:rFonts w:ascii="Calibri" w:hAnsi="Calibri" w:eastAsia="Times New Roman" w:cs="Calibri"/>
      <w:color w:val="auto"/>
      <w:sz w:val="22"/>
      <w:szCs w:val="20"/>
      <w:lang w:val="ru-RU" w:eastAsia="zh-CN" w:bidi="ar-SA"/>
    </w:rPr>
  </w:style>
  <w:style w:type="paragraph" w:styleId="Style41">
    <w:name w:val="Рецензия"/>
    <w:qFormat/>
    <w:pPr>
      <w:widowControl/>
      <w:suppressAutoHyphens w:val="true"/>
      <w:bidi w:val="0"/>
    </w:pPr>
    <w:rPr>
      <w:rFonts w:ascii="Times New Roman" w:hAnsi="Times New Roman" w:eastAsia="Times New Roman" w:cs="Times New Roman"/>
      <w:color w:val="auto"/>
      <w:sz w:val="20"/>
      <w:szCs w:val="20"/>
      <w:lang w:val="ru-RU" w:eastAsia="zh-CN" w:bidi="ar-SA"/>
    </w:rPr>
  </w:style>
  <w:style w:type="paragraph" w:styleId="TableParagraph">
    <w:name w:val="Table Paragraph"/>
    <w:basedOn w:val="Normal"/>
    <w:qFormat/>
    <w:pPr>
      <w:widowControl w:val="false"/>
      <w:autoSpaceDE w:val="false"/>
      <w:spacing w:lineRule="exact" w:line="234"/>
      <w:ind w:left="37" w:right="0" w:hanging="0"/>
    </w:pPr>
    <w:rPr>
      <w:rFonts w:ascii="Arial" w:hAnsi="Arial" w:eastAsia="Arial" w:cs="Arial"/>
      <w:sz w:val="22"/>
      <w:szCs w:val="22"/>
      <w:lang w:bidi="ru-RU"/>
    </w:rPr>
  </w:style>
  <w:style w:type="paragraph" w:styleId="Default">
    <w:name w:val="Default"/>
    <w:qFormat/>
    <w:pPr>
      <w:widowControl/>
      <w:suppressAutoHyphens w:val="true"/>
      <w:autoSpaceDE w:val="false"/>
      <w:bidi w:val="0"/>
    </w:pPr>
    <w:rPr>
      <w:rFonts w:ascii="Times New Roman" w:hAnsi="Times New Roman" w:eastAsia="Times New Roman" w:cs="Times New Roman"/>
      <w:color w:val="000000"/>
      <w:sz w:val="24"/>
      <w:szCs w:val="24"/>
      <w:lang w:val="ru-RU" w:eastAsia="zh-CN" w:bidi="ar-SA"/>
    </w:rPr>
  </w:style>
  <w:style w:type="paragraph" w:styleId="Style42">
    <w:name w:val="Содержимое таблицы"/>
    <w:basedOn w:val="Normal"/>
    <w:qFormat/>
    <w:pPr>
      <w:widowControl w:val="false"/>
      <w:suppressLineNumbers/>
    </w:pPr>
    <w:rPr/>
  </w:style>
  <w:style w:type="paragraph" w:styleId="Style43">
    <w:name w:val="Заголовок таблицы"/>
    <w:basedOn w:val="Style42"/>
    <w:qFormat/>
    <w:pPr>
      <w:suppressLineNumbers/>
      <w:jc w:val="center"/>
    </w:pPr>
    <w:rPr>
      <w:b/>
      <w:bCs/>
    </w:rPr>
  </w:style>
  <w:style w:type="paragraph" w:styleId="Standard">
    <w:name w:val="Standard"/>
    <w:qFormat/>
    <w:pPr>
      <w:widowControl w:val="false"/>
      <w:suppressAutoHyphens w:val="true"/>
      <w:bidi w:val="0"/>
      <w:spacing w:lineRule="atLeast" w:line="360" w:before="0" w:after="200"/>
      <w:jc w:val="both"/>
    </w:pPr>
    <w:rPr>
      <w:rFonts w:ascii="Times New Roman" w:hAnsi="Times New Roman" w:eastAsia="Times New Roman" w:cs="Arial"/>
      <w:color w:val="auto"/>
      <w:sz w:val="18"/>
      <w:szCs w:val="18"/>
      <w:lang w:val="ru-RU" w:eastAsia="zh-CN"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Договор Сем.Дв_x0000_</Template>
  <TotalTime>5</TotalTime>
  <Application>LibreOffice/7.0.6.2$Windows_X86_64 LibreOffice_project/144abb84a525d8e30c9dbbefa69cbbf2d8d4ae3b</Application>
  <AppVersion>15.0000</AppVersion>
  <Pages>6</Pages>
  <Words>1977</Words>
  <Characters>14236</Characters>
  <CharactersWithSpaces>16191</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2026-05-13T09:55:00Z</dcterms:created>
  <dc:creator>Красавчик</dc:creator>
  <dc:description/>
  <dc:language>ru-RU</dc:language>
  <cp:lastModifiedBy/>
  <cp:lastPrinted>2026-03-23T14:51:00Z</cp:lastPrinted>
  <dcterms:modified xsi:type="dcterms:W3CDTF">2026-05-25T10:06:41Z</dcterms:modified>
  <cp:revision>5</cp:revision>
  <dc:subject/>
  <dc:title>Д О Г О В О Р  № _________</dc:title>
</cp:coreProperties>
</file>