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ДОГОВОР № 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i/>
          <w:sz w:val="24"/>
          <w:szCs w:val="24"/>
        </w:rPr>
        <w:t xml:space="preserve">на оказание услуг по адаптации и сопровождению 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экземпляров Систем КонсультантПлюс на основе специаль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 (рег. № в РРПО:212)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i/>
          <w:iCs/>
        </w:rPr>
        <w:t xml:space="preserve">ИКЗ: 26 1 4401050246 440101001 0016 016 0000 242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pStyle w:val="910"/>
        <w:ind w:firstLine="540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г. Кострома 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  <w:t xml:space="preserve">                                                       «___» ______ 2026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567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lang w:eastAsia="ar-SA"/>
        </w:rPr>
        <w:t xml:space="preserve">Управление Федеральной службы государственной регистрации, кадастра и картографии по Костромской области (Управление Росреестра по Костромской области)</w:t>
      </w:r>
      <w:r>
        <w:rPr>
          <w:rFonts w:ascii="PT Astra Serif" w:hAnsi="PT Astra Serif" w:eastAsia="PT Astra Serif" w:cs="PT Astra Serif"/>
          <w:lang w:eastAsia="ar-SA"/>
        </w:rPr>
        <w:t xml:space="preserve">, именуемое в дальнейшем </w:t>
      </w:r>
      <w:r>
        <w:rPr>
          <w:rFonts w:ascii="PT Astra Serif" w:hAnsi="PT Astra Serif" w:eastAsia="PT Astra Serif" w:cs="PT Astra Serif"/>
          <w:b/>
          <w:bCs/>
          <w:lang w:eastAsia="ar-SA"/>
        </w:rPr>
        <w:t xml:space="preserve">«Заказчик»</w:t>
      </w:r>
      <w:r>
        <w:rPr>
          <w:rFonts w:ascii="PT Astra Serif" w:hAnsi="PT Astra Serif" w:eastAsia="PT Astra Serif" w:cs="PT Astra Serif"/>
          <w:lang w:eastAsia="ar-SA"/>
        </w:rPr>
        <w:t xml:space="preserve">, в лице руководителя Управления </w:t>
      </w:r>
      <w:r>
        <w:rPr>
          <w:rFonts w:ascii="PT Astra Serif" w:hAnsi="PT Astra Serif" w:eastAsia="PT Astra Serif" w:cs="PT Astra Serif"/>
        </w:rPr>
        <w:t xml:space="preserve">Шаровой Ольги Владимировны</w:t>
      </w:r>
      <w:r>
        <w:rPr>
          <w:rFonts w:ascii="PT Astra Serif" w:hAnsi="PT Astra Serif" w:eastAsia="PT Astra Serif" w:cs="PT Astra Serif"/>
          <w:lang w:eastAsia="ar-SA"/>
        </w:rPr>
        <w:t xml:space="preserve">, действующего на основании Положения об Управлении, с одной стороны,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7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ar-SA"/>
        </w:rPr>
        <w:t xml:space="preserve">и </w:t>
      </w:r>
      <w:r>
        <w:rPr>
          <w:rFonts w:ascii="PT Astra Serif" w:hAnsi="PT Astra Serif" w:eastAsia="PT Astra Serif" w:cs="PT Astra Serif"/>
          <w:b/>
          <w:lang w:eastAsia="ar-SA"/>
        </w:rPr>
        <w:t xml:space="preserve">________________________,</w:t>
      </w:r>
      <w:r>
        <w:rPr>
          <w:rFonts w:ascii="PT Astra Serif" w:hAnsi="PT Astra Serif" w:eastAsia="PT Astra Serif" w:cs="PT Astra Serif"/>
          <w:lang w:eastAsia="ar-SA"/>
        </w:rPr>
        <w:t xml:space="preserve"> именуемое в дальнейшем </w:t>
      </w:r>
      <w:r>
        <w:rPr>
          <w:rFonts w:ascii="PT Astra Serif" w:hAnsi="PT Astra Serif" w:eastAsia="PT Astra Serif" w:cs="PT Astra Serif"/>
          <w:b/>
          <w:bCs/>
          <w:lang w:eastAsia="ar-SA"/>
        </w:rPr>
        <w:t xml:space="preserve">«Исполнитель»</w:t>
      </w:r>
      <w:r>
        <w:rPr>
          <w:rFonts w:ascii="PT Astra Serif" w:hAnsi="PT Astra Serif" w:eastAsia="PT Astra Serif" w:cs="PT Astra Serif"/>
          <w:lang w:eastAsia="ar-SA"/>
        </w:rPr>
        <w:t xml:space="preserve">, в лице _____________________________, действующего на основании _______________, с другой стороны, именуемые в дальнейшем </w:t>
      </w:r>
      <w:r>
        <w:rPr>
          <w:rFonts w:ascii="PT Astra Serif" w:hAnsi="PT Astra Serif" w:eastAsia="PT Astra Serif" w:cs="PT Astra Serif"/>
          <w:b/>
          <w:bCs/>
          <w:lang w:eastAsia="ar-SA"/>
        </w:rPr>
        <w:t xml:space="preserve">«Стороны»</w:t>
      </w:r>
      <w:r>
        <w:rPr>
          <w:rFonts w:ascii="PT Astra Serif" w:hAnsi="PT Astra Serif" w:eastAsia="PT Astra Serif" w:cs="PT Astra Serif"/>
          <w:lang w:eastAsia="ar-SA"/>
        </w:rPr>
        <w:t xml:space="preserve">, </w:t>
      </w:r>
      <w:r>
        <w:rPr>
          <w:rFonts w:ascii="PT Astra Serif" w:hAnsi="PT Astra Serif" w:eastAsia="PT Astra Serif" w:cs="PT Astra Serif"/>
        </w:rPr>
        <w:t xml:space="preserve">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№44-ФЗ), заключили настоящий договор</w:t>
      </w:r>
      <w:r>
        <w:rPr>
          <w:rFonts w:ascii="PT Astra Serif" w:hAnsi="PT Astra Serif" w:eastAsia="PT Astra Serif" w:cs="PT Astra Serif"/>
        </w:rPr>
        <w:t xml:space="preserve"> о нижеследующем: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ind w:firstLine="540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bCs/>
          <w:sz w:val="24"/>
          <w:szCs w:val="24"/>
        </w:rPr>
        <w:outlineLvl w:val="1"/>
      </w:pPr>
      <w:r/>
      <w:bookmarkStart w:id="0" w:name="Par561"/>
      <w:r/>
      <w:bookmarkStart w:id="1" w:name="Par2230"/>
      <w:r/>
      <w:bookmarkEnd w:id="0"/>
      <w:r/>
      <w:bookmarkEnd w:id="1"/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1. ОСНОВНЫЕ ПОНЯТИЯ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2" w:name="Par501"/>
      <w:r/>
      <w:bookmarkStart w:id="3" w:name="Par2171"/>
      <w:r/>
      <w:bookmarkEnd w:id="2"/>
      <w:r/>
      <w:bookmarkEnd w:id="3"/>
      <w:r>
        <w:rPr>
          <w:rFonts w:ascii="PT Astra Serif" w:hAnsi="PT Astra Serif" w:eastAsia="PT Astra Serif" w:cs="PT Astra Serif"/>
          <w:sz w:val="24"/>
          <w:szCs w:val="24"/>
        </w:rPr>
        <w:t xml:space="preserve">1.1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Справочная Правовая Система КонсультантПлюс (далее - Система КонсультантПлюс или Система)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1.2. Экземпляр Системы - копия Системы КонсультантПлюс на материальном носителе, позволяющая Заказчику получать необходимую информацию. Экземпляр Системы не позволяет изменять и передавать полученную информацию.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1.3. Порядок использования Систем - совокупность технических параметров, разрешенных способов и условий использования комплекта Систем.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1.4. Уникальный пользователь - физическое лицо, состоящее в трудовых отношениях с Заказчиком (работник), являющееся пользователем Системы.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1.5. Регистрация - процедура, при которой запоминаются параметры конкретного электронного устройства и в экземпляр Системы вносятся определенные изменения (адаптация Системы)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после чего становится возможным использование экземпляра Системы. По выбору Заказчика экземпляр Системы может быть зарегистрирован на ЭВМ Заказчика, на ЭВМ Исполнителя, на ЭВМ Разработчика Систем. Особенности регистрации определяются настоящим Договором.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4" w:name="Par448"/>
      <w:r/>
      <w:bookmarkStart w:id="5" w:name="Par2113"/>
      <w:r/>
      <w:bookmarkStart w:id="6" w:name="Par449"/>
      <w:r/>
      <w:bookmarkStart w:id="7" w:name="Par2114"/>
      <w:r/>
      <w:bookmarkEnd w:id="4"/>
      <w:r/>
      <w:bookmarkEnd w:id="5"/>
      <w:r/>
      <w:bookmarkEnd w:id="6"/>
      <w:r/>
      <w:bookmarkEnd w:id="7"/>
      <w:r>
        <w:rPr>
          <w:rFonts w:ascii="PT Astra Serif" w:hAnsi="PT Astra Serif" w:eastAsia="PT Astra Serif" w:cs="PT Astra Serif"/>
          <w:sz w:val="24"/>
          <w:szCs w:val="24"/>
        </w:rPr>
        <w:t xml:space="preserve">1.</w:t>
      </w:r>
      <w:hyperlink w:tooltip="Ссылка на текущий документ" w:anchor="Par326" w:history="1">
        <w:r>
          <w:rPr>
            <w:rFonts w:ascii="PT Astra Serif" w:hAnsi="PT Astra Serif" w:eastAsia="PT Astra Serif" w:cs="PT Astra Serif"/>
            <w:sz w:val="24"/>
            <w:szCs w:val="24"/>
          </w:rPr>
          <w:t xml:space="preserve">6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. КЦ КонсультантПлюс - организация, на основании договора с которой Дистрибьютор осуществляет поставку и оказание услуг по адаптации и сопровождению экземпляров Систем.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8" w:name="Par450"/>
      <w:r/>
      <w:bookmarkStart w:id="9" w:name="Par2115"/>
      <w:r/>
      <w:bookmarkEnd w:id="8"/>
      <w:r/>
      <w:bookmarkEnd w:id="9"/>
      <w:r>
        <w:rPr>
          <w:rFonts w:ascii="PT Astra Serif" w:hAnsi="PT Astra Serif" w:eastAsia="PT Astra Serif" w:cs="PT Astra Serif"/>
          <w:sz w:val="24"/>
          <w:szCs w:val="24"/>
        </w:rPr>
        <w:t xml:space="preserve">1.</w:t>
      </w:r>
      <w:hyperlink w:tooltip="Ссылка на текущий документ" w:anchor="Par326" w:history="1">
        <w:r>
          <w:rPr>
            <w:rFonts w:ascii="PT Astra Serif" w:hAnsi="PT Astra Serif" w:eastAsia="PT Astra Serif" w:cs="PT Astra Serif"/>
            <w:sz w:val="24"/>
            <w:szCs w:val="24"/>
          </w:rPr>
          <w:t xml:space="preserve">7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Правомерный приобретатель экземпляра Системы (Заказчик) - физическое/юридическое лицо, приобретшее экземпляр Системы у офи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циального Представителя Сети КонсультантПлюс или получившее на законных основаниях от физического/юридического лица экземпляр Системы, ранее приобретенный у официального Представителя Сети КонсультантПлюс (от правомерного приобретателя экземпляра Системы).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1.8. Разработчик (правообладатель) Систем КонсультантПлюс - ЗАО "Консультант Плюс".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10" w:name="Par453"/>
      <w:r>
        <w:rPr>
          <w:color w:val="000000" w:themeColor="text1"/>
        </w:rPr>
      </w:r>
      <w:bookmarkStart w:id="11" w:name="Par2118"/>
      <w:r>
        <w:rPr>
          <w:color w:val="000000" w:themeColor="text1"/>
        </w:rPr>
      </w:r>
      <w:bookmarkEnd w:id="10"/>
      <w:r>
        <w:rPr>
          <w:color w:val="000000" w:themeColor="text1"/>
        </w:rPr>
      </w:r>
      <w:bookmarkEnd w:id="11"/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2. ПРЕДМЕТ ДОГОВОРА</w:t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2.1. По настоящему Договору Стороны принимают на себя исполнение следующих обязательств: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12" w:name="Par456"/>
      <w:r>
        <w:rPr>
          <w:color w:val="000000" w:themeColor="text1"/>
        </w:rPr>
      </w:r>
      <w:bookmarkStart w:id="13" w:name="Par2121"/>
      <w:r>
        <w:rPr>
          <w:color w:val="000000" w:themeColor="text1"/>
        </w:rPr>
      </w:r>
      <w:bookmarkEnd w:id="12"/>
      <w:r>
        <w:rPr>
          <w:color w:val="000000" w:themeColor="text1"/>
        </w:rPr>
      </w:r>
      <w:bookmarkEnd w:id="13"/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2.1.1. Исполнитель обязуется передавать Заказчику и адаптировать (устанавливать, регистрировать, тестировать, формир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овать в комплекты и вносить другие изменения, необходимые для работоспособности на оборудовании Заказчика), а Заказчик обязуется принимать и оплачивать экземпляры Систем, иного программного обеспечения, если это предусмотрено условиями настоящего Договора.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910"/>
        <w:jc w:val="both"/>
        <w:widowControl/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14" w:name="Par470"/>
      <w:r>
        <w:rPr>
          <w:color w:val="000000" w:themeColor="text1"/>
        </w:rPr>
      </w:r>
      <w:bookmarkStart w:id="15" w:name="Par2135"/>
      <w:r>
        <w:rPr>
          <w:color w:val="000000" w:themeColor="text1"/>
        </w:rPr>
      </w:r>
      <w:bookmarkEnd w:id="14"/>
      <w:r>
        <w:rPr>
          <w:color w:val="000000" w:themeColor="text1"/>
        </w:rPr>
      </w:r>
      <w:bookmarkEnd w:id="15"/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fldChar w:fldCharType="begin"/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instrText xml:space="preserve">HYPERLINK \l Par326  \o "Ссылка на текущий документ"</w:instrTex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fldChar w:fldCharType="separate"/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ab/>
        <w:t xml:space="preserve">2.1.2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fldChar w:fldCharType="end"/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Исполнитель обязуется оказывать Заказчику услуги по адаптации и сопровождению экземпляров Систем, иного про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граммного обеспечения в течение срока действия настоящего Договора в соответствии со Спецификацией (Приложение №1 к настоящему Договору) и Техническим заданием (Приложение №2 к настоящему Договору), которые являются неотъемлемой частью настоящего Договора.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Порядок использования экземпляров Систем определяется разделом 3 настоящего Договора.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910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b/>
        </w:rPr>
      </w:pPr>
      <w:r/>
      <w:bookmarkStart w:id="16" w:name="Par477"/>
      <w:r/>
      <w:bookmarkStart w:id="17" w:name="Par2142"/>
      <w:r/>
      <w:bookmarkEnd w:id="16"/>
      <w:r/>
      <w:bookmarkEnd w:id="17"/>
      <w:r>
        <w:rPr>
          <w:rFonts w:ascii="PT Astra Serif" w:hAnsi="PT Astra Serif" w:eastAsia="PT Astra Serif" w:cs="PT Astra Serif"/>
          <w:b/>
        </w:rPr>
        <w:t xml:space="preserve">3. ПОРЯДОК ПОСТАВКИ ЭКЗЕМПЛЯРА СИСТЕМЫ И ОКАЗАНИЯ УСЛУГ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3.1. По факту передачи экземпляра Системы составляется УПД (двусторонний Акт приемки-передачи, товарная накладная).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18" w:name="Par481"/>
      <w:r/>
      <w:bookmarkStart w:id="19" w:name="Par2145"/>
      <w:r/>
      <w:bookmarkStart w:id="20" w:name="Par484"/>
      <w:r/>
      <w:bookmarkStart w:id="21" w:name="Par2149"/>
      <w:r/>
      <w:bookmarkStart w:id="22" w:name="Par2151"/>
      <w:r/>
      <w:bookmarkStart w:id="23" w:name="Par2152"/>
      <w:r/>
      <w:bookmarkStart w:id="24" w:name="Par2154"/>
      <w:r/>
      <w:bookmarkStart w:id="25" w:name="Par2156"/>
      <w:r/>
      <w:bookmarkStart w:id="26" w:name="Par486"/>
      <w:r/>
      <w:bookmarkStart w:id="27" w:name="Par489"/>
      <w:r/>
      <w:bookmarkStart w:id="28" w:name="Par2159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>
        <w:rPr>
          <w:rFonts w:ascii="PT Astra Serif" w:hAnsi="PT Astra Serif" w:eastAsia="PT Astra Serif" w:cs="PT Astra Serif"/>
          <w:sz w:val="24"/>
          <w:szCs w:val="24"/>
        </w:rPr>
        <w:t xml:space="preserve">3.2. Оказание услуг предусматривает: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3.2.1. Адаптацию (установку, тестирование, регистрацию, формирование в комплекты, внесение других изменений, необходимых для работоспособности на оборудовании Заказчика) экземпляров Систем;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 Сопровождение адаптированных Исполнителем экземпляров Систем, в т.ч.: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3.2.2.1. Передачу Заказчику актуальной информации (актуальных наборов текстовой информации, адаптированных к имеющимся у Заказчика экземплярам Систем);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3.2.2.2.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(тестирование, переустановка);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3.2.2.3. Предоставление дополнительной информации и возможностей, состав которых определяется Исполнителем;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3.2.2.4. Мониторинг данных об использовании Систем с целью предотвращения их противоправного и контрафактного использования, а также замедления работы;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3.2.2.5.</w:t>
      </w:r>
      <w:r>
        <w:rPr>
          <w:rFonts w:ascii="PT Astra Serif" w:hAnsi="PT Astra Serif" w:eastAsia="PT Astra Serif" w:cs="PT Astra Serif"/>
        </w:rPr>
        <w:t xml:space="preserve"> Консультирование по работе с Системами, в т.ч. обучение Заказчика работе с Системами по методикам Сети КонсультантПлюс с возможностью получения специального сертификата об обучении;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3.2.2.6. Предоставление возможности получения Заказчиком консультаций по работе Систем по телефону, по электронной почте, </w:t>
      </w:r>
      <w:bookmarkStart w:id="29" w:name="_Hlk52049394"/>
      <w:r>
        <w:rPr>
          <w:rFonts w:ascii="PT Astra Serif" w:hAnsi="PT Astra Serif" w:eastAsia="PT Astra Serif" w:cs="PT Astra Serif"/>
        </w:rPr>
        <w:t xml:space="preserve">через специальные сервисы </w:t>
      </w:r>
      <w:bookmarkEnd w:id="29"/>
      <w:r>
        <w:rPr>
          <w:rFonts w:ascii="PT Astra Serif" w:hAnsi="PT Astra Serif" w:eastAsia="PT Astra Serif" w:cs="PT Astra Serif"/>
        </w:rPr>
        <w:t xml:space="preserve">и базы данных либо в офисе Исполнителя;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3.2.2.7. Предоставление другой информации и материалов;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3.2.2.8. Предоставление иных услуг по сопровождению адаптированных Исполнителем экземпляров Систем.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ind w:firstLine="706"/>
        <w:jc w:val="both"/>
        <w:widowControl/>
        <w:rPr>
          <w:rFonts w:ascii="PT Astra Serif" w:hAnsi="PT Astra Serif" w:eastAsia="PT Astra Serif" w:cs="PT Astra Serif"/>
          <w:sz w:val="24"/>
          <w:szCs w:val="24"/>
        </w:rPr>
      </w:pPr>
      <w:r/>
      <w:bookmarkStart w:id="30" w:name="Par497"/>
      <w:r/>
      <w:bookmarkStart w:id="31" w:name="Par2168"/>
      <w:r/>
      <w:bookmarkEnd w:id="30"/>
      <w:r/>
      <w:bookmarkEnd w:id="31"/>
      <w:r>
        <w:rPr>
          <w:rFonts w:ascii="PT Astra Serif" w:hAnsi="PT Astra Serif" w:eastAsia="PT Astra Serif" w:cs="PT Astra Serif"/>
          <w:sz w:val="24"/>
          <w:szCs w:val="24"/>
        </w:rPr>
        <w:t xml:space="preserve">3.3. 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казание Заказчику текущих услуг с использованием экземпляров Систем осуществляется без выбора документов.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910"/>
        <w:jc w:val="both"/>
        <w:widowControl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4. ПРАВА И ОБЯЗАННОСТИ СТОРОН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6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4.1. Исполнитель обязан: 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4.1.1. Оказать услуги в полном объеме и в сроки, установленные настоящим Договором и Техническим заданием (Приложение № 2 к настоящему Договору).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4.1.2. Обеспечить совместимость (взаимодействие) услуг по адаптации и сопровождению с: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8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а) ранее установленными у заказчика экземплярами Систем КонсультантПлюс (в </w:t>
      </w:r>
      <w:r>
        <w:rPr>
          <w:rFonts w:ascii="PT Astra Serif" w:hAnsi="PT Astra Serif" w:eastAsia="PT Astra Serif" w:cs="PT Astra Serif"/>
        </w:rPr>
        <w:t xml:space="preserve">том числе установленной на электронном устройстве заказчика специальной копией Системы КонсультантПлюс, дающей возможность в любое время пользоваться минимально необходимым объёмом правовой информации);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8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</w:rPr>
        <w:t xml:space="preserve">б) информационными ресурсами заказчика, ранее самостоятельно подготовленными им с использованием технологий КонсультантПлюс, в том числе с: 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9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КонсультантПлюс;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4.1.3. Своими силами и за свой счет, не нарушая сроков оказания услуг, устранять допущенные по своей вине недостатки, которые могут повлечь отступления от Технического задания (Приложение № 2 к настоящему Контракту).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4.1.4.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4.2. Исполнитель вправе: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4.2.1. </w:t>
      </w:r>
      <w:r>
        <w:rPr>
          <w:rFonts w:ascii="PT Astra Serif" w:hAnsi="PT Astra Serif" w:eastAsia="PT Astra Serif" w:cs="PT Astra Serif"/>
          <w:color w:val="000000"/>
        </w:rPr>
        <w:t xml:space="preserve">Исполнитель имеет право приостанавливать исполнение Договора, если Заказчик не выполняет либо ненадлежащим образом выполняет свои обязательства по настоящему Договору.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4.2.2. </w:t>
      </w:r>
      <w:r>
        <w:rPr>
          <w:rFonts w:ascii="PT Astra Serif" w:hAnsi="PT Astra Serif" w:eastAsia="PT Astra Serif" w:cs="PT Astra Serif"/>
          <w:lang w:eastAsia="ru-RU"/>
        </w:rPr>
        <w:t xml:space="preserve">Требовать своевременной оплаты на условиях, установленных Договором, надлежащим образом оказанных и принятых Заказчиком Услуг.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4.2.3. П</w:t>
      </w:r>
      <w:r>
        <w:rPr>
          <w:rFonts w:ascii="PT Astra Serif" w:hAnsi="PT Astra Serif" w:eastAsia="PT Astra Serif" w:cs="PT Astra Serif"/>
        </w:rPr>
        <w:t xml:space="preserve">ринять решение об одностороннем отказе от исполнения настоящего Договора в соответствии с гражданским законодательством.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4.2.4. Осуществлять иные права в соответствии с действующим законодательством Российской Федерации.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947"/>
        <w:ind w:firstLine="709"/>
        <w:spacing w:line="240" w:lineRule="auto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4.3. Заказчик обязан: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47"/>
        <w:ind w:firstLine="709"/>
        <w:spacing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4.3.1. Принять услуги с соблюдением всех требований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47"/>
        <w:ind w:firstLine="709"/>
        <w:spacing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4.3.2. Оплатить услуги в порядке, сроки и на условиях, оговоренных настоящим Договором.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  <w:b/>
          <w:color w:val="000000"/>
        </w:rPr>
      </w:pPr>
      <w:r>
        <w:rPr>
          <w:rFonts w:ascii="PT Astra Serif" w:hAnsi="PT Astra Serif" w:eastAsia="PT Astra Serif" w:cs="PT Astra Serif"/>
          <w:b/>
          <w:color w:val="000000"/>
        </w:rPr>
        <w:t xml:space="preserve">4.4. Заказчик вправе:</w:t>
      </w:r>
      <w:r>
        <w:rPr>
          <w:rFonts w:ascii="PT Astra Serif" w:hAnsi="PT Astra Serif" w:cs="PT Astra Serif"/>
          <w:b/>
          <w:color w:val="000000"/>
        </w:rPr>
      </w:r>
      <w:r>
        <w:rPr>
          <w:rFonts w:ascii="PT Astra Serif" w:hAnsi="PT Astra Serif" w:cs="PT Astra Serif"/>
          <w:b/>
          <w:color w:val="000000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4.4.1. Требовать от Исполнителя надлежащего исполнения обязательств, установленных Договором.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4.4.2. Требовать от Исполнителя своевременного устранения недостатков, выявленных в ходе приемки.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4.4.3. Проверять ход и качество выполнения Исполнителем условий настоящего Договора без вмешательства в оперативно-хозяйственную деятельность Исполнителя.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4.4.4. Принять решение об одностороннем отказе от исполнения настоящего Договора в соответствии с гражданским законодательством.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4.4.5. До принятия решения об одностороннем отказе от исполнения Договора провести экспертизу оказанных услуг с привлечением экспертов, экспертных организаций, выбор которых осуществляется в соответствии с Федеральным </w:t>
      </w:r>
      <w:hyperlink r:id="rId11" w:tooltip="consultantplus://offline/ref=7F7231C27B22B4FBCE8EBF893BCBB30C3B073B68D8824A61098CB75D11B28D50154DBC5B9529D52C55911027B2JD59I" w:history="1">
        <w:r>
          <w:rPr>
            <w:rFonts w:ascii="PT Astra Serif" w:hAnsi="PT Astra Serif" w:eastAsia="PT Astra Serif" w:cs="PT Astra Serif"/>
            <w:lang w:eastAsia="ru-RU"/>
          </w:rPr>
          <w:t xml:space="preserve">законом</w:t>
        </w:r>
      </w:hyperlink>
      <w:r>
        <w:rPr>
          <w:rFonts w:ascii="PT Astra Serif" w:hAnsi="PT Astra Serif" w:eastAsia="PT Astra Serif" w:cs="PT Astra Serif"/>
          <w:lang w:eastAsia="ru-RU"/>
        </w:rPr>
        <w:t xml:space="preserve"> № 44-ФЗ.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hd w:val="clear" w:color="auto" w:fill="ffff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4.4.6. О</w:t>
      </w:r>
      <w:r>
        <w:rPr>
          <w:rFonts w:ascii="PT Astra Serif" w:hAnsi="PT Astra Serif" w:eastAsia="PT Astra Serif" w:cs="PT Astra Serif"/>
        </w:rPr>
        <w:t xml:space="preserve">существлять иные права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hd w:val="clear" w:color="auto" w:fill="ffffff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4. СТОИМОСТЬ ПОСТАВКИ И УСЛУГ. ПОРЯДОК РАСЧЕТОВ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/>
      <w:bookmarkStart w:id="32" w:name="Par527"/>
      <w:r/>
      <w:bookmarkStart w:id="33" w:name="Par2196"/>
      <w:r/>
      <w:bookmarkEnd w:id="32"/>
      <w:r/>
      <w:bookmarkEnd w:id="33"/>
      <w:r>
        <w:rPr>
          <w:rFonts w:ascii="PT Astra Serif" w:hAnsi="PT Astra Serif" w:eastAsia="PT Astra Serif" w:cs="PT Astra Serif"/>
        </w:rPr>
        <w:t xml:space="preserve">4.1. </w:t>
      </w:r>
      <w:r>
        <w:rPr>
          <w:rFonts w:ascii="PT Astra Serif" w:hAnsi="PT Astra Serif" w:eastAsia="PT Astra Serif" w:cs="PT Astra Serif"/>
          <w:color w:val="000000"/>
        </w:rPr>
        <w:t xml:space="preserve">Цена настоящего Договора составляет _________________________ </w:t>
      </w:r>
      <w:r>
        <w:rPr>
          <w:rFonts w:ascii="PT Astra Serif" w:hAnsi="PT Astra Serif" w:eastAsia="PT Astra Serif" w:cs="PT Astra Serif"/>
          <w:color w:val="000000"/>
        </w:rPr>
        <w:t xml:space="preserve">(_____________________) рублей ____ копеек, в том числе НДС ________%, что составляет __________(__________) рублей ___________копеек (или НДС не облагается).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4.2. Сумма, подлежащей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4.3. Цена Договора является твердой и определяется на весь срок исполнения Договора, за исключением случаев, установленных Федеральным законом № 44-ФЗ и настоящим Договором.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44"/>
        <w:jc w:val="both"/>
        <w:tabs>
          <w:tab w:val="left" w:pos="567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ab/>
        <w:t xml:space="preserve">4.4. Цена настоящего Договора включа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ет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6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  <w:t xml:space="preserve">4.5. Источник финансирования Договора-Федеральный бюджет (по главе 321, разделу 04, подразделу 12, целевой статье расходов 5440190020, виду расходов 242).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4.6. Оплата производится в рублях Российской Федерации.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4.7. Расчеты между Заказчиком и Исполнителем за оказанные услуги производятся по факту оказанных услуг в течение 7(Семи) рабочих дней с даты подписания Заказчиком Акта сдачи-приемки оказанных услуг, на основании счета (счет-фактуры).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4.8.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Договоре. В случае изменения расчетного счета Исполнитель о</w:t>
      </w:r>
      <w:r>
        <w:rPr>
          <w:rFonts w:ascii="PT Astra Serif" w:hAnsi="PT Astra Serif" w:eastAsia="PT Astra Serif" w:cs="PT Astra Serif"/>
        </w:rPr>
        <w:t xml:space="preserve">бязан в трехдневный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</w:t>
      </w:r>
      <w:r>
        <w:rPr>
          <w:rFonts w:ascii="PT Astra Serif" w:hAnsi="PT Astra Serif" w:eastAsia="PT Astra Serif" w:cs="PT Astra Serif"/>
        </w:rPr>
        <w:t xml:space="preserve">сполнитель.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4.9. Датой надлежащего исполнения Заказчиком своих обязательств по оплате оказанных услуг является дата списания денежных средств с лицевого счёта Заказчика.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  <w:t xml:space="preserve">4.10. Стороны производят сверку расчетов, которой подтверждается объем услуг, </w:t>
      </w:r>
      <w:r>
        <w:rPr>
          <w:rFonts w:ascii="PT Astra Serif" w:hAnsi="PT Astra Serif" w:cs="PT Astra Serif"/>
          <w:color w:val="000000" w:themeColor="text1"/>
        </w:rPr>
        <w:t xml:space="preserve">оказанных Исполнителем и принятых Заказчиком, а также размер суммы, перечисленной Заказчиком Исполнителю за оказанные услуги. Исполнитель обязан ежеквартально предоставлять Заказчику акты сверки расчетов (ф.0510477) по унифицированной форме, установленной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приказом Минфина от 15.04.2021 № 61н. Акт предоставляется не позднее        15 числа месяца, следующего за отчетным кварталом.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5. СРОКИ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ОКАЗАНИЯ УСЛУГ И ПОРЯДОК ПРИЕМКИ УСЛУГ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</w:r>
    </w:p>
    <w:p>
      <w:pPr>
        <w:pStyle w:val="947"/>
        <w:ind w:firstLine="706"/>
        <w:spacing w:line="240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5.1. Оказание услуг осуществляется с 01.07.2026 по 30.11.2026г. по адресу: 156013, Костромская область, г. Кострома, ул. Сенная, д. 17. Отчетный период оказания услуг: ежемесячно.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jc w:val="both"/>
        <w:shd w:val="clear" w:color="auto" w:fill="ffffff"/>
        <w:tabs>
          <w:tab w:val="left" w:pos="0" w:leader="none"/>
        </w:tabs>
        <w:rPr>
          <w:rFonts w:ascii="PT Astra Serif" w:hAnsi="PT Astra Serif" w:eastAsia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</w:rPr>
        <w:tab/>
        <w:t xml:space="preserve">5.2. </w:t>
      </w:r>
      <w:r>
        <w:rPr>
          <w:rFonts w:ascii="PT Astra Serif" w:hAnsi="PT Astra Serif" w:eastAsia="PT Astra Serif" w:cs="PT Astra Serif"/>
        </w:rPr>
        <w:t xml:space="preserve">Исполнитель </w:t>
      </w:r>
      <w:r>
        <w:rPr>
          <w:rFonts w:ascii="PT Astra Serif" w:hAnsi="PT Astra Serif" w:eastAsia="PT Astra Serif" w:cs="PT Astra Serif"/>
        </w:rPr>
        <w:t xml:space="preserve">в течении 3 (Трех) рабочих дней</w:t>
      </w:r>
      <w:r>
        <w:rPr>
          <w:rFonts w:ascii="PT Astra Serif" w:hAnsi="PT Astra Serif" w:eastAsia="PT Astra Serif" w:cs="PT Astra Serif"/>
          <w:color w:val="334059"/>
          <w:highlight w:val="white"/>
        </w:rPr>
        <w:t xml:space="preserve"> </w:t>
      </w:r>
      <w:r>
        <w:rPr>
          <w:rFonts w:ascii="PT Astra Serif" w:hAnsi="PT Astra Serif" w:eastAsia="PT Astra Serif" w:cs="PT Astra Serif"/>
        </w:rPr>
        <w:t xml:space="preserve"> после выполнения обязательств по Договору </w:t>
      </w:r>
      <w:r>
        <w:rPr>
          <w:rFonts w:ascii="PT Astra Serif" w:hAnsi="PT Astra Serif" w:eastAsia="PT Astra Serif" w:cs="PT Astra Serif"/>
        </w:rPr>
        <w:t xml:space="preserve">предоставляет Заказчику 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платежные документы об оказанных услугах: счет/счет-фактуру/УПД/акт оказанных услуг.</w:t>
      </w:r>
      <w:r>
        <w:rPr>
          <w:rFonts w:ascii="PT Astra Serif" w:hAnsi="PT Astra Serif" w:eastAsia="PT Astra Serif" w:cs="PT Astra Serif"/>
          <w:color w:val="000000" w:themeColor="text1"/>
        </w:rPr>
      </w:r>
      <w:r>
        <w:rPr>
          <w:rFonts w:ascii="PT Astra Serif" w:hAnsi="PT Astra Serif" w:eastAsia="PT Astra Serif" w:cs="PT Astra Serif"/>
          <w:color w:val="000000" w:themeColor="text1"/>
        </w:rPr>
      </w:r>
    </w:p>
    <w:p>
      <w:pPr>
        <w:jc w:val="both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color w:val="000000" w:themeColor="text1"/>
        </w:rPr>
      </w:pPr>
      <w:r>
        <w:rPr>
          <w:rStyle w:val="877"/>
          <w:rFonts w:ascii="PT Astra Serif" w:hAnsi="PT Astra Serif" w:eastAsia="PT Astra Serif" w:cs="PT Astra Serif"/>
          <w:color w:val="000000" w:themeColor="text1"/>
        </w:rPr>
        <w:tab/>
        <w:t xml:space="preserve">5.3. </w:t>
      </w:r>
      <w:r>
        <w:rPr>
          <w:rFonts w:ascii="PT Astra Serif" w:hAnsi="PT Astra Serif" w:eastAsia="PT Astra Serif" w:cs="PT Astra Serif"/>
        </w:rPr>
        <w:t xml:space="preserve">Для проверки предоставленных Исполнителем результатов, предусмотренных Договором, в части их соответствия условиям Договора Заказчик проводит экспертизу. Экспертиза </w:t>
      </w:r>
      <w:r>
        <w:rPr>
          <w:rFonts w:ascii="PT Astra Serif" w:hAnsi="PT Astra Serif" w:eastAsia="PT Astra Serif" w:cs="PT Astra Serif"/>
        </w:rPr>
        <w:t xml:space="preserve">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           № 44-ФЗ.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950"/>
        <w:ind w:firstLine="706"/>
        <w:jc w:val="both"/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5.4.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Срок осуществления Заказчиком приемки оказанных услуг составляет 5 (пять) рабочих дней с момента получения от Исполнителя платежных документов, указанных в      п. 5.2 Договора.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</w:p>
    <w:p>
      <w:pPr>
        <w:pStyle w:val="950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По результатам приемки, Сторонами в рамках указанного срока подписывается акт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оказанных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либо Исполнителю в те же сроки Заказчиком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направляется в письменной форме мотивированный отказ от подписания акта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оказанных услуг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lang w:eastAsia="ar-SA"/>
        </w:rPr>
        <w:t xml:space="preserve"> В случае мотивированного отказа Сторонами составляется двусторонний акт с указанием перечня необходимых доработок и сроков их устранения.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jc w:val="both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c00000"/>
        </w:rPr>
        <w:tab/>
      </w:r>
      <w:r>
        <w:rPr>
          <w:rFonts w:ascii="PT Astra Serif" w:hAnsi="PT Astra Serif" w:eastAsia="PT Astra Serif" w:cs="PT Astra Serif"/>
          <w:color w:val="000000" w:themeColor="text1"/>
        </w:rPr>
        <w:t xml:space="preserve">5.5.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Оформление документа о приемке оказанных услуг осуществляется Заказчиком в течение 1 (одного) рабочего дня без участия Исполнителя на основании документов, указанных в пункте 5.2 Договора, и подтверждается подписанным Актом приемки товара по форме 0510452,</w:t>
      </w:r>
      <w:r>
        <w:rPr>
          <w:rFonts w:ascii="PT Astra Serif" w:hAnsi="PT Astra Serif" w:eastAsia="PT Astra Serif" w:cs="PT Astra Serif"/>
          <w:color w:val="000000" w:themeColor="text1"/>
        </w:rPr>
        <w:t xml:space="preserve"> утвержденной приказом Минфина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</w:t>
      </w:r>
      <w:r>
        <w:rPr>
          <w:rFonts w:ascii="PT Astra Serif" w:hAnsi="PT Astra Serif" w:eastAsia="PT Astra Serif" w:cs="PT Astra Serif"/>
          <w:color w:val="000000" w:themeColor="text1"/>
        </w:rPr>
        <w:t xml:space="preserve">казаний по их формированию и применению". Копия подписанного акта приемки по форме 0510452 направляется Исполнителю на адрес электронной почты _________________________.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5.6. </w:t>
      </w:r>
      <w:r>
        <w:rPr>
          <w:rFonts w:ascii="PT Astra Serif" w:hAnsi="PT Astra Serif" w:eastAsia="PT Astra Serif" w:cs="PT Astra Serif"/>
          <w:color w:val="000000" w:themeColor="text1"/>
          <w:spacing w:val="2"/>
          <w:shd w:val="clear" w:color="auto" w:fill="ffffff"/>
        </w:rPr>
        <w:t xml:space="preserve">Услуги считаются оказанными и принятыми после подписания сторонами Акта оказанных услуг</w:t>
      </w:r>
      <w:r>
        <w:rPr>
          <w:rFonts w:ascii="PT Astra Serif" w:hAnsi="PT Astra Serif" w:eastAsia="PT Astra Serif" w:cs="PT Astra Serif"/>
          <w:color w:val="000000" w:themeColor="text1"/>
        </w:rPr>
        <w:t xml:space="preserve">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jc w:val="both"/>
        <w:widowControl/>
        <w:rPr>
          <w:rFonts w:ascii="PT Astra Serif" w:hAnsi="PT Astra Serif" w:cs="PT Astra Serif"/>
          <w:b/>
          <w:bCs/>
          <w:sz w:val="24"/>
          <w:szCs w:val="24"/>
        </w:rPr>
        <w:outlineLvl w:val="1"/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sz w:val="24"/>
          <w:szCs w:val="24"/>
        </w:rPr>
        <w:outlineLvl w:val="1"/>
      </w:pPr>
      <w:r/>
      <w:bookmarkStart w:id="34" w:name="Par533"/>
      <w:r/>
      <w:bookmarkStart w:id="35" w:name="Par2202"/>
      <w:r/>
      <w:bookmarkEnd w:id="34"/>
      <w:r/>
      <w:bookmarkEnd w:id="35"/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6. ОТВЕТСТВЕННОСТЬ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36" w:name="Par536"/>
      <w:r/>
      <w:bookmarkStart w:id="37" w:name="Par2205"/>
      <w:r/>
      <w:bookmarkEnd w:id="36"/>
      <w:r/>
      <w:bookmarkEnd w:id="37"/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6.1.В случае неисполнения, либо ненадлежащего исполнения обязаннос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тей, предусмотренных настоящим Договором, стороны несут ответственность в соответствии с действующим законодательством Российской Федерации и настоящим Договором и определяется в порядке, предусмотренном Постановлением Правительства РФ от 30.08.2017 №1042.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6.2. В случае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просрочки исполнения Заказчиком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исполнитель вправе потребовать уплаты неустоек (штрафов, пеней).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6.3. Пеня начисляется за каждый день просрочки Поставщика обязательства, предусмотренного Договором, начиная со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дня, следующего после дня истечения установленного Договором срока исполнения обязательства. Пеня устанавливается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по требованию исполнителя уплачивает штраф в размере 1 000, 00 руб.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6.5.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6.6. В случае просрочки испол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исполнителю требование об уплате неустоек (штрафов, пеней).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6.7. Пеня начисляется за каждый день просрочки исполнения Поставщиком обязательства, предусмотренного Договором,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6.8. За каждый факт неисполнения или ненадлежащего исполнения Поставщиком обязательств, предусмотренных Договором, за исключением просрочки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исполнения обязательств, предусмотренных Договором, исполнитель по требованию заказчика уплачивает штраф в размере 10 % от цены Договора, что составляет ___________ руб.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6.9.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bookmarkStart w:id="38" w:name="Par917"/>
      <w:r/>
      <w:bookmarkEnd w:id="38"/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6.11.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случае если у Заказчика возникнут обоснованные претензии к Системе в частях качества включенной в нее информации и/или некорректной работы программных средств и/или иной предоставленной информации и материалов, подготовленных Исполнителем с использование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 экземпляра Системы, Исполнитель обязуется рассмотреть Претензию Заказчика в течение 15 (пятнадцати) дней с момента ее получения. Претензии принимаются Исполнителем только в оплаченном периоде пополнения экземпляра Системы. В случае признания Претензии об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основанной Исполнитель обязан устранить недостатки в разумный срок. В случае неустранения недостатков в указанный срок Заказчик будет вправе потребовать выплаты исключительной неустойки (штрафа) в размере, не превышающем стоимости одного месяца оказания ус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луг с использованием соответствующего экземпляра Системы, и/или досрочного расторжения настоящего Договора путем составления дополнительной Претензии. Исполнитель обязуется в пятнадцатидневный срок со дня получения дополнительной Претензии письменно ответи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ть на нее.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(штраф) и/или расторгнуть настоящий Договор.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6.12. Исполнитель не несет ответственности за качество отключенного от сопровождения экземпляра Системы.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6.13. При нарушении Заказчиком условий оплаты Исполнитель имеет право прекратить исполнение любых обязательств перед Заказчиком, в т.ч. блокировать использование Заказчиком любых сервисов, предварительно уведомив об этом Заказчика за 5 (пять) дней.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39" w:name="Par539"/>
      <w:r/>
      <w:bookmarkStart w:id="40" w:name="Par2208"/>
      <w:r/>
      <w:bookmarkEnd w:id="39"/>
      <w:r/>
      <w:bookmarkEnd w:id="40"/>
      <w:r>
        <w:rPr>
          <w:rFonts w:ascii="PT Astra Serif" w:hAnsi="PT Astra Serif" w:eastAsia="PT Astra Serif" w:cs="PT Astra Serif"/>
          <w:sz w:val="24"/>
          <w:szCs w:val="24"/>
        </w:rPr>
        <w:t xml:space="preserve">6.14. Исполнитель имеет право отказаться от исполнения настоящего Договора в одностороннем внесудебном порядке в случаях: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6.14.1. Внесения Заказчиком изменений в средства программной защиты Системы, приводящих к ее декомпилированию или модификации;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6.14.2. Изготовления, воспроизведения, распространения (любым способом) Заказчиком конт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рафактных экземпляров Систем;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6.14.3. В иных случаях, установленных настоящим Договором.</w:t>
      </w:r>
      <w:bookmarkStart w:id="41" w:name="Par543"/>
      <w:r/>
      <w:bookmarkStart w:id="42" w:name="Par2212"/>
      <w:r/>
      <w:bookmarkEnd w:id="41"/>
      <w:r/>
      <w:bookmarkEnd w:id="42"/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6.15.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Исполнитель не несет ответственности за невозможность исполнения своих обязательств перед Заказчи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ком по причине неполадок в работе компьютерного, телекоммуникационного оборудования или каналов связи Заказчика и/или третьих лиц (в том числе оборудования оператора, предоставляющего Заказчику услуги связи), а также в иных согласованных Сторонами случаях.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6.16. Заказчик обязан оплачивать услуги Исполнителя, в том числе и за периоды, в которые Заказчик фактически не использовал Системы по не зависящим от Исполнителя причинам.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eastAsia="PT Astra Serif" w:cs="PT Astra Serif"/>
          <w:b/>
          <w:bCs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7. СРОК ДЕЙСТВИЯ ДОГОВОРА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</w:rPr>
        <w:t xml:space="preserve">7.1. Настоящий Договор вступает в силу с моме</w:t>
      </w:r>
      <w:r>
        <w:rPr>
          <w:rFonts w:ascii="PT Astra Serif" w:hAnsi="PT Astra Serif" w:eastAsia="PT Astra Serif" w:cs="PT Astra Serif"/>
        </w:rPr>
        <w:t xml:space="preserve">нта подписания и действует до 30.12.2026 года, а в части расчетов – до полного исполнения обязательств Сторонами.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702"/>
        <w:ind w:firstLine="709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7.2. Настоящий Контракт может быть расторгнут по соглашению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8. ПОРЯДОК </w:t>
      </w:r>
      <w:r>
        <w:rPr>
          <w:rFonts w:ascii="PT Astra Serif" w:hAnsi="PT Astra Serif" w:eastAsia="PT Astra Serif" w:cs="PT Astra Serif"/>
          <w:b/>
          <w:bCs/>
          <w:color w:val="000000"/>
          <w:spacing w:val="-1"/>
          <w:lang w:eastAsia="ru-RU"/>
        </w:rPr>
        <w:t xml:space="preserve">УРЕГУЛИРОВАНИЯ</w:t>
      </w:r>
      <w:r>
        <w:rPr>
          <w:rFonts w:ascii="PT Astra Serif" w:hAnsi="PT Astra Serif" w:eastAsia="PT Astra Serif" w:cs="PT Astra Serif"/>
          <w:b/>
          <w:bCs/>
          <w:lang w:eastAsia="ru-RU"/>
        </w:rPr>
        <w:t xml:space="preserve"> СПОРОВ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8.1. В случае возникновения между Сторонами споров и разногласий, Стороны обязуются решать их путем переговоров с соблюдением претензионного порядка. Срок рассмотрения претензии - 10 (десять) календарных дней от даты ее получения.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en-US"/>
        </w:rPr>
        <w:t xml:space="preserve">8.2. В случае неурегулирования споров и разногласий в претензионном порядке, они подлежат рассмотрению в Арбитражном суде Костромской области в порядке, установленном действующим законодательством Российской Федерации.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jc w:val="center"/>
        <w:widowControl/>
        <w:rPr>
          <w:rFonts w:ascii="PT Astra Serif" w:hAnsi="PT Astra Serif" w:eastAsia="PT Astra Serif" w:cs="PT Astra Serif"/>
          <w:b/>
          <w:bCs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eastAsia="PT Astra Serif" w:cs="PT Astra Serif"/>
          <w:b/>
          <w:bCs/>
          <w:sz w:val="24"/>
          <w:szCs w:val="24"/>
        </w:rPr>
        <w:outlineLvl w:val="1"/>
      </w:pPr>
      <w:r/>
      <w:bookmarkStart w:id="43" w:name="Par545"/>
      <w:r/>
      <w:bookmarkStart w:id="44" w:name="Par2214"/>
      <w:r/>
      <w:bookmarkEnd w:id="43"/>
      <w:r/>
      <w:bookmarkEnd w:id="44"/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9. ОСОБЫЕ УСЛОВИЯ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45" w:name="Par547"/>
      <w:r/>
      <w:bookmarkStart w:id="46" w:name="Par2216"/>
      <w:r/>
      <w:bookmarkEnd w:id="45"/>
      <w:r/>
      <w:bookmarkEnd w:id="46"/>
      <w:r>
        <w:rPr>
          <w:rFonts w:ascii="PT Astra Serif" w:hAnsi="PT Astra Serif" w:eastAsia="PT Astra Serif" w:cs="PT Astra Serif"/>
          <w:sz w:val="24"/>
          <w:szCs w:val="24"/>
        </w:rPr>
        <w:t xml:space="preserve">9.1. Заказчик имеет право отказаться от услуг, оказываемых Исполнителем согласно </w:t>
      </w:r>
      <w:hyperlink w:tooltip="Ссылка на текущий документ" w:anchor="Par470" w:history="1">
        <w:r>
          <w:rPr>
            <w:rFonts w:ascii="PT Astra Serif" w:hAnsi="PT Astra Serif" w:eastAsia="PT Astra Serif" w:cs="PT Astra Serif"/>
            <w:sz w:val="24"/>
            <w:szCs w:val="24"/>
          </w:rPr>
          <w:t xml:space="preserve">п. 2.1.2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настоящего Договора, до истечения срока действия Договора. Заказчик обязан уведомить Исполнителя о таком отказе не менее чем за 30 (тридцать) дней.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9.2. Оказание услуг, отмененное Заказчиком в соответствии с </w:t>
      </w:r>
      <w:hyperlink w:tooltip="Ссылка на текущий документ" w:anchor="Par547" w:history="1">
        <w:r>
          <w:rPr>
            <w:rFonts w:ascii="PT Astra Serif" w:hAnsi="PT Astra Serif" w:eastAsia="PT Astra Serif" w:cs="PT Astra Serif"/>
            <w:sz w:val="24"/>
            <w:szCs w:val="24"/>
          </w:rPr>
          <w:t xml:space="preserve">п. 9.1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настоящего Договора, может быть продолжено Исполнителем после оплаты Заказчиком стоимости возобновления обслуживания по Прейскуранту Исполнителя.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47" w:name="Par549"/>
      <w:r/>
      <w:bookmarkStart w:id="48" w:name="Par2218"/>
      <w:r/>
      <w:bookmarkStart w:id="49" w:name="Par550"/>
      <w:r/>
      <w:bookmarkStart w:id="50" w:name="Par2219"/>
      <w:r/>
      <w:bookmarkEnd w:id="47"/>
      <w:r/>
      <w:bookmarkEnd w:id="48"/>
      <w:r/>
      <w:bookmarkEnd w:id="49"/>
      <w:r/>
      <w:bookmarkEnd w:id="50"/>
      <w:r>
        <w:rPr>
          <w:rFonts w:ascii="PT Astra Serif" w:hAnsi="PT Astra Serif" w:eastAsia="PT Astra Serif" w:cs="PT Astra Serif"/>
          <w:sz w:val="24"/>
          <w:szCs w:val="24"/>
        </w:rPr>
        <w:t xml:space="preserve">9.3.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Заказчик обязан обеспечить соблюдение Уникальными пользователями положений настоящего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9.4. Условия настоящего Договора являются конфиденциальными и не подлежат разглашению, за исключением случаев, когда иное предусмотрено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1" w:name="Par552"/>
      <w:r/>
      <w:bookmarkEnd w:id="51"/>
      <w:r>
        <w:rPr>
          <w:rFonts w:ascii="PT Astra Serif" w:hAnsi="PT Astra Serif" w:eastAsia="PT Astra Serif" w:cs="PT Astra Serif"/>
          <w:sz w:val="24"/>
          <w:szCs w:val="24"/>
        </w:rPr>
        <w:t xml:space="preserve">9.5. Исполнитель вправе передать все права и обязанности по настоящему Договору другому официальному Дистрибьютору Сети КонсультантПлюс с уведомлением Заказчика за 10 (десять) дней до момента передачи.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2" w:name="Par553"/>
      <w:r/>
      <w:bookmarkStart w:id="53" w:name="Par2222"/>
      <w:r/>
      <w:bookmarkEnd w:id="52"/>
      <w:r/>
      <w:bookmarkEnd w:id="53"/>
      <w:r>
        <w:rPr>
          <w:rFonts w:ascii="PT Astra Serif" w:hAnsi="PT Astra Serif" w:eastAsia="PT Astra Serif" w:cs="PT Astra Serif"/>
          <w:sz w:val="24"/>
          <w:szCs w:val="24"/>
        </w:rPr>
        <w:t xml:space="preserve">9.6.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Экземпляры Систем передаются и сопровождаются Исполнителем в виде "как есть" с параметрами информационного содержания, определяемыми разработчиком, и не подлежат изменению по желанию Заказчика, если иное не предусмотрено соглашением Сторон. Разработчик Сис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тем вправе самостоятельно определять информационное содержание Систем в рамках их общей направленности. Информация, содержащаяся в Системе, включая авторские материалы (комментарии, книги, статьи, ответы на вопросы и т.д.), имеет справочный характер. Разра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ботчик не несет ответственности за правильность информации, изложенной в авторских материалах.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4" w:name="Par555"/>
      <w:r/>
      <w:bookmarkStart w:id="55" w:name="Par2224"/>
      <w:r/>
      <w:bookmarkEnd w:id="54"/>
      <w:r/>
      <w:bookmarkEnd w:id="55"/>
      <w:r>
        <w:rPr>
          <w:rFonts w:ascii="PT Astra Serif" w:hAnsi="PT Astra Serif" w:eastAsia="PT Astra Serif" w:cs="PT Astra Serif"/>
          <w:sz w:val="24"/>
          <w:szCs w:val="24"/>
        </w:rPr>
        <w:t xml:space="preserve">9.7.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 случае если в силу те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экземпляров данной Системы.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9.8. Исполнитель может исполнять свои обязательства по настоящему Договору с привлечением третьих лиц.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6" w:name="Par557"/>
      <w:r/>
      <w:bookmarkStart w:id="57" w:name="Par2226"/>
      <w:r/>
      <w:bookmarkEnd w:id="56"/>
      <w:r/>
      <w:bookmarkEnd w:id="57"/>
      <w:r>
        <w:rPr>
          <w:rFonts w:ascii="PT Astra Serif" w:hAnsi="PT Astra Serif" w:eastAsia="PT Astra Serif" w:cs="PT Astra Serif"/>
          <w:sz w:val="24"/>
          <w:szCs w:val="24"/>
        </w:rPr>
        <w:t xml:space="preserve">9.9.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Исполнитель может получать служебные файлы и информацию с компьютера Заказчика, необходимые для надлежащего исполнения обязательств перед Заказчиком.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8" w:name="Par558"/>
      <w:r/>
      <w:bookmarkStart w:id="59" w:name="Par2227"/>
      <w:r/>
      <w:bookmarkStart w:id="60" w:name="Par559"/>
      <w:r/>
      <w:bookmarkEnd w:id="58"/>
      <w:r/>
      <w:bookmarkEnd w:id="59"/>
      <w:r/>
      <w:bookmarkEnd w:id="60"/>
      <w:r>
        <w:rPr>
          <w:rFonts w:ascii="PT Astra Serif" w:hAnsi="PT Astra Serif" w:eastAsia="PT Astra Serif" w:cs="PT Astra Serif"/>
          <w:sz w:val="24"/>
          <w:szCs w:val="24"/>
        </w:rPr>
        <w:t xml:space="preserve">9.10. С согласия Заказчика Исполнитель вправе изменить параметры и/или название экземпляра Системы, сопровождаемого по настоящем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 Договору, путем передачи в адрес Заказчика письма с указанием новых параметров и/или названия экземпляра Системы. Соответствующие изменения в Договор вступают в силу с момента получения Заказчиком указанного письма или иного момента, указанного в письме.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9.11.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Заказчик обязан обеспечить правомерность использования Исполнителем персональных данных физических лиц, которые Заказчик передает Исполнителю по настоящему Договору.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9.12. Заказчик уведомлен, что Разработчиком для отдельных Систем и сервисов КонсультантПлюс применяются технические средства защиты авторских прав (ст. 1299 ГК РФ), в связи с чем для использования Систем и сервисов может быть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необходима регистрация и/или авторизация Уникальных пользователей на электронных ресурсах Исполнителя и передача соответствующих данных.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 указанных случаях использование пользователями Систем и сервисов без ре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гистрации и/или авторизации может быть невозможным, что не будет являться нарушением настоящего Договора со стороны Исполнителя и/или основанием для ответственности Исполнителя по настоящему Договору и/или основанием для изменения цены настоящего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9.13. В случае заключения </w:t>
      </w:r>
      <w:bookmarkStart w:id="61" w:name="_Hlk132721951"/>
      <w:r>
        <w:rPr>
          <w:rFonts w:ascii="PT Astra Serif" w:hAnsi="PT Astra Serif" w:eastAsia="PT Astra Serif" w:cs="PT Astra Serif"/>
          <w:sz w:val="24"/>
          <w:szCs w:val="24"/>
        </w:rPr>
        <w:t xml:space="preserve">дополнительного соглашения к настоящему Договору Стороны могут установить приоритет условий дополнительного соглашения над условиями настоящего Договора</w:t>
      </w:r>
      <w:bookmarkEnd w:id="61"/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9.14. У любой из Сторон, которая является кредиторо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 по денежному обязательству другой Стороны (должника), возникшему в связи с действием настоящего Договора, не возникает права на получение с должника процентов на сумму долга за период пользования денежными средствами по ст. 317.1 Гражданского кодекса РФ.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9.15. Оформление и обмен любыми документами по настоящему Договору (включая, но не ограничиваясь, счета, акты, накладные, счета-фактуры, УПД) допускаются в электронном виде, с использованием электронного документооборота. Такие документы оформляются в соот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ветствии с требованиями действующих нормативно-правовых актов, в т.ч. Федерального закона от 6 апреля 2011 г. N 63-ФЗ "Об электронной подписи", и подписываются квалифицированной электронной подписью. Заказчик и Исполнитель признают указанные документы равн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означными документам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онной подписи и за их несанкционированное использование.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9.16.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Системы по заказу Разработчика Систем могут модифицироваться офиц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Систем. Исполнитель оказывает Заказчику услуги по адаптации и сопровождению Систем, модифицированных Исполнителем.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center"/>
        <w:widowControl/>
        <w:rPr>
          <w:b/>
          <w:bCs/>
          <w:sz w:val="19"/>
          <w:szCs w:val="19"/>
        </w:rPr>
        <w:outlineLvl w:val="1"/>
      </w:pP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>
      <w:pPr>
        <w:ind w:left="360"/>
        <w:jc w:val="center"/>
        <w:spacing w:before="120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10. ЗАКЛЮЧИТЕЛЬНЫЕ ПОЛОЖЕНИЯ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540"/>
        <w:jc w:val="both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lang w:eastAsia="ru-RU"/>
        </w:rPr>
        <w:t xml:space="preserve">10.1. Неотъемлемой частью настоящего Контракта являются следующие приложения: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20"/>
        <w:jc w:val="both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  <w:t xml:space="preserve">Приложение №1 «Спецификация»;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20"/>
        <w:jc w:val="both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  <w:t xml:space="preserve">Приложение №2 «Техническое задание».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jc w:val="center"/>
        <w:widowControl/>
        <w:rPr>
          <w:b/>
          <w:bCs/>
          <w:sz w:val="19"/>
          <w:szCs w:val="19"/>
        </w:rPr>
        <w:outlineLvl w:val="1"/>
      </w:pP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>
      <w:pPr>
        <w:pStyle w:val="910"/>
        <w:jc w:val="center"/>
        <w:widowControl/>
        <w:rPr>
          <w:b/>
          <w:sz w:val="19"/>
          <w:szCs w:val="19"/>
        </w:rPr>
        <w:outlineLvl w:val="1"/>
      </w:pPr>
      <w:r>
        <w:rPr>
          <w:b/>
          <w:sz w:val="19"/>
          <w:szCs w:val="19"/>
        </w:rPr>
      </w:r>
      <w:r>
        <w:rPr>
          <w:b/>
          <w:sz w:val="19"/>
          <w:szCs w:val="19"/>
        </w:rPr>
      </w:r>
      <w:r>
        <w:rPr>
          <w:b/>
          <w:sz w:val="19"/>
          <w:szCs w:val="19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11. РЕКВИЗИТЫ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956"/>
        <w:gridCol w:w="4399"/>
      </w:tblGrid>
      <w:tr>
        <w:tblPrEx/>
        <w:trPr>
          <w:trHeight w:val="3109"/>
        </w:trPr>
        <w:tc>
          <w:tcPr>
            <w:shd w:val="clear" w:color="auto" w:fill="auto"/>
            <w:tcW w:w="495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color w:val="000000"/>
              </w:rPr>
            </w:r>
            <w:r>
              <w:rPr>
                <w:rFonts w:ascii="PT Astra Serif" w:hAnsi="PT Astra Serif" w:cs="PT Astra Serif"/>
                <w:b/>
                <w:color w:val="000000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Управление Федеральной службы государственной регистрации, кадастра и картографии по Костромской области</w:t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Место нахождения: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156013, г. Кострома, ул. Сенная, д. 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ОГРН 1044408640561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ИНН 4401050246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КПП 440101001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ОКПО 50120100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ОКТМО 34701000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</w:rPr>
              <w:t xml:space="preserve">Банковские реквизиты: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л/с 03411А54810 в УФК по Нижегородской области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Казначейский счет: 03211643000000013202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Единый казначейский счет: 40102810745370000024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БИК: 012202102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 банка: ОКЦ №1 ВОЛГО-ВЯТСКОГО ГУ БАНКА РОССИИ//УФК  по Нижегородской области г. Нижний Новгород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Тел./Факс: 8(4942) 64-56-33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Факс: 8(4942) 64-56-61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</w:rPr>
              <w:t xml:space="preserve">: 44_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upr</w:t>
            </w:r>
            <w:r>
              <w:rPr>
                <w:rFonts w:ascii="PT Astra Serif" w:hAnsi="PT Astra Serif" w:eastAsia="PT Astra Serif" w:cs="PT Astra Serif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rosreestr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Контактное лицо (Ф.И.О.): Герасимова Елена Леонидовна</w:t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Внутренний телефон: 8(4942) 64-56-33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mto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rosreestr</w:t>
            </w:r>
            <w:r>
              <w:rPr>
                <w:rFonts w:ascii="PT Astra Serif" w:hAnsi="PT Astra Serif" w:eastAsia="PT Astra Serif" w:cs="PT Astra Serif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439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2"/>
        </w:trPr>
        <w:tc>
          <w:tcPr>
            <w:shd w:val="clear" w:color="auto" w:fill="auto"/>
            <w:tcW w:w="4956" w:type="dxa"/>
            <w:textDirection w:val="lrTb"/>
            <w:noWrap w:val="false"/>
          </w:tcPr>
          <w:sdt>
            <w:sdtPr>
              <w:alias w:val="Название"/>
              <w15:appearance w15:val="boundingBox"/>
              <w:id w:val="1571236125"/>
              <w:placeholder>
                <w:docPart w:val="99FE552324B84D22ACB536C1560351B2"/>
              </w:placeholder>
              <w:tag w:val=""/>
              <w:rPr>
                <w:rFonts w:ascii="Arial" w:hAnsi="Arial" w:eastAsia="Arial" w:cs="Arial"/>
                <w:b/>
                <w:bCs/>
                <w:color w:val="000000"/>
                <w:sz w:val="19"/>
                <w:szCs w:val="19"/>
              </w:rPr>
            </w:sdtPr>
            <w:sdtContent>
              <w:p>
                <w:pPr>
                  <w:jc w:val="center"/>
                  <w:shd w:val="clear" w:color="auto" w:fill="ffffff" w:themeFill="background1"/>
                  <w:rPr>
                    <w:rFonts w:ascii="PT Astra Serif" w:hAnsi="PT Astra Serif" w:cs="PT Astra Serif"/>
                    <w:b/>
                    <w:bCs/>
                    <w:color w:val="000000"/>
                  </w:rPr>
                </w:pPr>
                <w:r>
                  <w:rPr>
                    <w:rFonts w:ascii="PT Astra Serif" w:hAnsi="PT Astra Serif" w:eastAsia="PT Astra Serif" w:cs="PT Astra Serif"/>
                    <w:b/>
                    <w:bCs/>
                    <w:color w:val="000000"/>
                  </w:rPr>
                  <w:t xml:space="preserve">Заказчик</w:t>
                </w:r>
                <w:r>
                  <w:rPr>
                    <w:rFonts w:ascii="PT Astra Serif" w:hAnsi="PT Astra Serif" w:cs="PT Astra Serif"/>
                    <w:b/>
                    <w:bCs/>
                    <w:color w:val="000000"/>
                  </w:rPr>
                </w:r>
                <w:r>
                  <w:rPr>
                    <w:rFonts w:ascii="PT Astra Serif" w:hAnsi="PT Astra Serif" w:cs="PT Astra Serif"/>
                    <w:b/>
                    <w:bCs/>
                    <w:color w:val="000000"/>
                  </w:rPr>
                </w:r>
              </w:p>
            </w:sdtContent>
          </w:sdt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</w:rPr>
              <w:t xml:space="preserve">____________________  /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sdt>
              <w:sdtPr>
                <w:alias w:val="Руководитель"/>
                <w15:appearance w15:val="boundingBox"/>
                <w:id w:val="1527452371"/>
                <w:placeholder>
                  <w:docPart w:val="C840AD8BBF4C446BAEA145FBEFDE3E8C"/>
                </w:placeholder>
                <w:tag w:val=""/>
                <w:rPr>
                  <w:rFonts w:ascii="PT Astra Serif" w:hAnsi="PT Astra Serif" w:eastAsia="PT Astra Serif" w:cs="PT Astra Serif"/>
                  <w:b/>
                  <w:bCs/>
                  <w:color w:val="000000"/>
                  <w:szCs w:val="19"/>
                </w:rPr>
              </w:sdtPr>
              <w:sdtContent>
                <w:r>
                  <w:rPr>
                    <w:rFonts w:ascii="PT Astra Serif" w:hAnsi="PT Astra Serif" w:eastAsia="PT Astra Serif" w:cs="PT Astra Serif"/>
                    <w:b/>
                    <w:bCs/>
                    <w:color w:val="000000"/>
                  </w:rPr>
                  <w:t xml:space="preserve">Шарова О.В.</w:t>
                </w:r>
              </w:sdtContent>
            </w:sdt>
            <w:r>
              <w:rPr>
                <w:rFonts w:ascii="PT Astra Serif" w:hAnsi="PT Astra Serif" w:eastAsia="PT Astra Serif" w:cs="PT Astra Serif"/>
                <w:b/>
                <w:bCs/>
                <w:color w:val="000000"/>
              </w:rPr>
              <w:t xml:space="preserve">/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</w:rPr>
              <w:t xml:space="preserve">            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439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</w:rPr>
              <w:t xml:space="preserve">_______________________/                   /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</w:rPr>
              <w:t xml:space="preserve">                   М.П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91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right"/>
        <w:pageBreakBefore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Приложение № 1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к Договору от «___» __________ 2026 года  №</w:t>
      </w:r>
      <w:r>
        <w:rPr>
          <w:rFonts w:ascii="PT Astra Serif" w:hAnsi="PT Astra Serif" w:cs="PT Astra Serif"/>
        </w:rPr>
        <w:t xml:space="preserve"> 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pStyle w:val="947"/>
        <w:ind w:firstLine="709"/>
        <w:spacing w:line="100" w:lineRule="atLeast"/>
        <w:rPr>
          <w:rFonts w:ascii="PT Astra Serif" w:hAnsi="PT Astra Serif" w:cs="PT Astra Serif"/>
          <w:highlight w:val="yellow"/>
        </w:rPr>
      </w:pP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</w:p>
    <w:p>
      <w:pPr>
        <w:pStyle w:val="947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47"/>
        <w:ind w:firstLine="709"/>
        <w:jc w:val="center"/>
        <w:spacing w:line="100" w:lineRule="atLeast"/>
        <w:rPr>
          <w:rFonts w:ascii="PT Astra Serif" w:hAnsi="PT Astra Serif" w:eastAsia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47"/>
        <w:ind w:firstLine="709"/>
        <w:jc w:val="center"/>
        <w:spacing w:line="100" w:lineRule="atLeast"/>
        <w:rPr>
          <w:rFonts w:ascii="PT Astra Serif" w:hAnsi="PT Astra Serif" w:eastAsia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Спецификация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47"/>
        <w:ind w:firstLine="709"/>
        <w:jc w:val="center"/>
        <w:spacing w:line="100" w:lineRule="atLeast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705"/>
        <w:gridCol w:w="1559"/>
        <w:gridCol w:w="1276"/>
        <w:gridCol w:w="1701"/>
      </w:tblGrid>
      <w:tr>
        <w:tblPrEx/>
        <w:trPr>
          <w:trHeight w:val="6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Количество, месяц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Цена,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руб.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Стоимость, руб.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Оказание услуг по адаптации и сопровождению </w:t>
            </w:r>
            <w:r>
              <w:rPr>
                <w:rFonts w:ascii="PT Astra Serif" w:hAnsi="PT Astra Serif" w:eastAsia="PT Astra Serif" w:cs="PT Astra Serif"/>
              </w:rPr>
              <w:t xml:space="preserve">экземпляров Систем КонсультантПлюс</w:t>
            </w:r>
            <w:r>
              <w:rPr>
                <w:rFonts w:ascii="PT Astra Serif" w:hAnsi="PT Astra Serif" w:eastAsia="PT Astra Serif" w:cs="PT Astra Serif"/>
              </w:rPr>
              <w:t xml:space="preserve">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 </w:t>
            </w:r>
            <w:r>
              <w:rPr>
                <w:rFonts w:ascii="PT Astra Serif" w:hAnsi="PT Astra Serif" w:eastAsia="PT Astra Serif" w:cs="PT Astra Serif"/>
                <w:lang w:eastAsia="ru-RU"/>
              </w:rPr>
              <w:t xml:space="preserve">(рег. № в РРПО:212)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0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 т.ч. НДС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(или НДС не облагается)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</w:tbl>
    <w:p>
      <w:pPr>
        <w:pStyle w:val="947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tabs>
          <w:tab w:val="left" w:pos="5971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  <w:p>
            <w:pPr>
              <w:ind w:firstLine="14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hanging="3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_________________________ О.В. Шарова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137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eastAsia="PT Astra Serif" w:cs="PT Astra Serif"/>
              </w:rPr>
              <w:t xml:space="preserve">_______________________ </w:t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  <w:p>
            <w:pPr>
              <w:ind w:firstLine="141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</w:pPr>
      <w:r/>
      <w:r/>
    </w:p>
    <w:p>
      <w:pPr>
        <w:jc w:val="right"/>
        <w:pageBreakBefore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2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 Договору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от «___» __________ 2026 года  №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948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48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48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Техническое задание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709"/>
        <w:jc w:val="center"/>
        <w:keepNext/>
        <w:rPr>
          <w:rFonts w:ascii="PT Astra Serif" w:hAnsi="PT Astra Serif" w:cs="PT Astra Serif"/>
          <w:b/>
          <w:i/>
          <w:sz w:val="24"/>
          <w:szCs w:val="24"/>
        </w:rPr>
        <w:suppressLineNumbers/>
      </w:pPr>
      <w:r>
        <w:rPr>
          <w:rFonts w:ascii="PT Astra Serif" w:hAnsi="PT Astra Serif" w:eastAsia="PT Astra Serif" w:cs="PT Astra Serif"/>
          <w:b/>
          <w:bCs/>
          <w:i/>
          <w:sz w:val="24"/>
          <w:szCs w:val="24"/>
        </w:rPr>
        <w:t xml:space="preserve">на оказание услуг по адаптации и сопровождению 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экземпляров Систем КонсультантПлюс на основе специаль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 (рег. № в РРПО:212)</w:t>
      </w:r>
      <w:r>
        <w:rPr>
          <w:rFonts w:ascii="PT Astra Serif" w:hAnsi="PT Astra Serif" w:cs="PT Astra Serif"/>
          <w:b/>
          <w:i/>
          <w:sz w:val="24"/>
          <w:szCs w:val="24"/>
        </w:rPr>
      </w:r>
      <w:r>
        <w:rPr>
          <w:rFonts w:ascii="PT Astra Serif" w:hAnsi="PT Astra Serif" w:cs="PT Astra Serif"/>
          <w:b/>
          <w:i/>
          <w:sz w:val="24"/>
          <w:szCs w:val="24"/>
        </w:rPr>
      </w:r>
    </w:p>
    <w:p>
      <w:pPr>
        <w:pStyle w:val="948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i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i/>
          <w:sz w:val="24"/>
          <w:szCs w:val="24"/>
        </w:rPr>
      </w:r>
      <w:r>
        <w:rPr>
          <w:rFonts w:ascii="PT Astra Serif" w:hAnsi="PT Astra Serif" w:cs="PT Astra Serif"/>
          <w:b/>
          <w:bCs/>
          <w:i/>
          <w:sz w:val="24"/>
          <w:szCs w:val="24"/>
        </w:rPr>
      </w:r>
      <w:r>
        <w:rPr>
          <w:rFonts w:ascii="PT Astra Serif" w:hAnsi="PT Astra Serif" w:cs="PT Astra Serif"/>
          <w:b/>
          <w:bCs/>
          <w:i/>
          <w:sz w:val="24"/>
          <w:szCs w:val="24"/>
        </w:rPr>
      </w:r>
    </w:p>
    <w:p>
      <w:pPr>
        <w:pStyle w:val="928"/>
        <w:numPr>
          <w:ilvl w:val="0"/>
          <w:numId w:val="2"/>
        </w:numPr>
        <w:ind w:left="0" w:firstLine="1057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Наименование объекта закупки: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оказание </w:t>
      </w:r>
      <w:r>
        <w:rPr>
          <w:rFonts w:ascii="PT Astra Serif" w:hAnsi="PT Astra Serif" w:eastAsia="PT Astra Serif" w:cs="PT Astra Serif"/>
          <w:bCs/>
          <w:sz w:val="24"/>
          <w:szCs w:val="24"/>
          <w:lang w:eastAsia="zh-CN"/>
        </w:rPr>
        <w:t xml:space="preserve">услуг по адаптации и сопровождению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экземпляров Систем КонсультантПлюс на основе специа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льного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                  </w:t>
      </w:r>
      <w:r>
        <w:rPr>
          <w:rFonts w:ascii="PT Astra Serif" w:hAnsi="PT Astra Serif" w:eastAsia="PT Astra Serif" w:cs="PT Astra Serif"/>
          <w:bCs/>
          <w:sz w:val="24"/>
          <w:szCs w:val="24"/>
          <w:lang w:eastAsia="zh-CN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рег. № в РРПО:212).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firstLine="706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В соответствии с пунктом 1 части 1 статьи 33 Федерального закона от 05.04.2013 г.         № 44-ФЗ «О контрактной системе в сфере закупок товаров, работ, услуг дл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я обеспечения государственных и муниципальных нужд», товарный знак не сопровождается словами «или эквивалент», в связи с необходимостью обеспечить совместимость (взаимодействие) услуг с ранее установленными у Заказчика экземплярами Систем КонсультантПлюс.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28"/>
        <w:ind w:left="0" w:firstLine="708"/>
        <w:spacing w:after="0" w:line="264" w:lineRule="auto"/>
        <w:shd w:val="clear" w:color="auto" w:fill="ffffff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Совместимость обеспечивается оказанием услуг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на основе (посредством)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специального лицензионного сервисного программного обеспечения КонсультантПлюс,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которое обеспечивает совместимость (взаимодействие) услуг с ранее установленными у заказчика экземплярами Систем КонсультантПлюс, а также с информационн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ыми ресурсами заказчика, ранее самостоятельно подготовленными им с использованием технологий КонсультантПлюс. Справочные правовые системы с другими товарными знаками (без товарных знаков), а также услуги, оказываемые с использованием сервисного программног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о обеспечения, на котором ра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змещены другие товарные знаки (или отсутствуют товарные знаки), не могут корректно взаимодействовать (а потому технически несовместимы) с Системами КонсультантПлюс и с информационными ресурсами, подготовленными с использованием технологий КонсультантПлюс. 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2. Перечень экземпляров Систем КонсультантПлюс, в отношении которых оказываются услуги: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По адресу: 156013, Костромская обл., г. Кострома, ул. Сенная, д. 17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888" w:type="dxa"/>
        <w:tblInd w:w="30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5"/>
        <w:gridCol w:w="1701"/>
        <w:gridCol w:w="1525"/>
      </w:tblGrid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</w:rPr>
              <w:t xml:space="preserve">пп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</w:rPr>
              <w:t xml:space="preserve">Название экземпляра Системы КонсультантПлюс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Число ОД&lt;1&gt;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Количество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СПС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КонсультантПлюс:Сводное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региональное законодательство ЛСВ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20 ОД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</w:tbl>
    <w:p>
      <w:pPr>
        <w:pStyle w:val="91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&lt;1&gt; Указывается максимальное количество электронных устройств (ЭВМ), с которых может быть осуществлен одновременный доступ к комплекту с разных УЗ.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3.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Срок оказания услуг: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 01.07.2026г. по 30.11.2026 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4.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Технические требования к оказываемым услугам: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Оказание услуг по адаптации и сопровождению экземпляров  Систем КонсультантПлюс, ранее установленных у заказчика должно предусматривать: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6"/>
        <w:jc w:val="both"/>
        <w:spacing w:after="0" w:afterAutospacing="0" w:line="264" w:lineRule="auto"/>
        <w:widowControl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Адаптацию (установку, тестирование, регистрацию, формирование в комплекты, внесение других изменений, необходимых для работоспособности на оборудовании Заказчика) экземпляров Систем;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Сопровождение экземпляров Систем, в т.ч.: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Style w:val="893"/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Передачу</w:t>
      </w:r>
      <w:r>
        <w:rPr>
          <w:rStyle w:val="893"/>
          <w:rFonts w:ascii="PT Astra Serif" w:hAnsi="PT Astra Serif" w:eastAsia="PT Astra Serif" w:cs="PT Astra Serif"/>
          <w:sz w:val="24"/>
          <w:szCs w:val="24"/>
          <w:highlight w:val="white"/>
        </w:rPr>
        <w:t xml:space="preserve"> заказчику актуальной информации (актуальных наборов текстовой информации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адаптированных к имеющимся у Заказчика экземплярам </w:t>
      </w:r>
      <w:r>
        <w:rPr>
          <w:rStyle w:val="893"/>
          <w:rFonts w:ascii="PT Astra Serif" w:hAnsi="PT Astra Serif" w:eastAsia="PT Astra Serif" w:cs="PT Astra Serif"/>
          <w:sz w:val="24"/>
          <w:szCs w:val="24"/>
          <w:highlight w:val="white"/>
        </w:rPr>
        <w:t xml:space="preserve">Систем КонсультантПлюс) -ежедневно; </w:t>
      </w:r>
      <w:r>
        <w:rPr>
          <w:rStyle w:val="893"/>
          <w:rFonts w:ascii="PT Astra Serif" w:hAnsi="PT Astra Serif" w:cs="PT Astra Serif"/>
          <w:sz w:val="24"/>
          <w:szCs w:val="24"/>
          <w:highlight w:val="white"/>
        </w:rPr>
      </w:r>
      <w:r>
        <w:rPr>
          <w:rStyle w:val="893"/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Техническую профилактику работоспособности Систем КонсультантПлюс и восстановление работоспособности экземпляров Систем КонсультантПлюс в случаях сбоев компьютерного оборудования после их устранения заказчиком (тестирование, переустановка);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4.2.3.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Предоставление дополнительной информации и возможностей, состав которых определяется исполнителем;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Мониторинг данных об использовании Систем КонсультантПлюс с целью предотвращения их противоправного и контрафактного использования, а также замедления работы;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4.2.5.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Консультирование по работе с Системами КонсультантПлюс, в т.ч. обучение заказчика работе с этими Системами по методикам Сети КонсультантПлюс с возможностью получения специального сертификата об обучении;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4.2.6.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Предоставление возможности получения заказчиком консультаций по работе экземпляров Систем КонсультантПлюс по телефону, по электронной почте, через специальные сервисы и базы данных либо в офисе исполнителя;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4.2.7.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Предоставление другой информации и материалов по СПС КонсультантПлюс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4.2.8.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Предоставление иных услуг по сопровождению адаптированных исполнителем экземпляров Систем.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5.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Требования к качеству оказываемых услуг: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Участник закупки (исполнитель) обязан обеспечить совместимость (взаимодействие) услуг по адаптации и сопровождению с: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contextualSpacing/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ранее установленными у заказчика экземплярами Систем КонсультантПлюс (в том числе установленной на электронном устройстве заказчика специальной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копией Системы КонсультантПлюс, дающей возможность в любое время пользоваться минимально необходимым объёмом правовой информации);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contextualSpacing/>
        <w:ind w:left="0" w:firstLine="706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информационными ресурсами заказчика, ранее самостоятельно подготовленными им с использованием технологий КонсультантПлюс, в том числе с: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5"/>
        </w:numPr>
        <w:contextualSpacing/>
        <w:ind w:left="1560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составленными заказчиком внутри СПС подборками документов,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перечнями документов «на контроле», комментариями и закладками заказчика в текстах документов Систем КонсультантПлюс;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5"/>
        </w:numPr>
        <w:contextualSpacing/>
        <w:ind w:left="1560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5"/>
        </w:numPr>
        <w:contextualSpacing/>
        <w:ind w:left="1560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Участник закупки (исполнитель) обязан предоставить заказчику документы, подтверждающие наличие у участника закупки (исполнителя) необхо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сервисное программное обеспечение, предназначенное участником закупки (используемое ис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полнителем) для оказания заказчику услуг по адаптации и сопровождению, полностью совместимо (взаимодействует) с  ранее установленными у заказчика экземплярами Систем КонсультантПлюс (в том числе установленной на электронном устройстве заказчика специальной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копией Системы КонсультантПлюс, дающей возможность в любое время пользоваться минимально необходимым объёмом правовой информации) и с указанными выше информационными ресурсами заказчика.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Участник закупки обязуется предоставлять только достоверные сведения и подтв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ерждает, что его предложение об объекте закупки является достоверной информацией о совместимости (взаимодействии) оказываемых услуг по адаптации и сопровождению с ранее установленными у заказчика экземплярами Систем КонсультантПлюс (в том числе специальной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копией Системы КонсультантПлюс) и с информационными ресурсам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 заказчика (ранее самостоятельно подготовленными им с использованием технологий КонсультантПлюс) на основе специального лицензионного сервисного программного обеспечения, обеспечивающего такую совместимость, а также о возможности оказания указанных услуг.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Сведения о совместимости должны быть предоставлены в отношении всех вышеупомянутых информационных ресурсов заказчика, в том числе о совместимости с: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6"/>
        </w:numPr>
        <w:ind w:left="1077" w:hanging="357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составленными заказчиком внутри СПС подборками документов,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перечнями документов «на контроле», комментариями и закладками заказчика в текстах документов Систем КонсультантПлюс;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6"/>
        </w:numPr>
        <w:ind w:left="1077" w:hanging="357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6"/>
        </w:numPr>
        <w:ind w:left="1077" w:hanging="357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6.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Требования к функционалу Системы КонсультантПлюс: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6.1.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поиска, резул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ьтат которого представлен в виде единого списка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6.2.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поиска, результат которого представлен в виде дерева-списка, в котором отражено точное количество найденных документов по каждому разделу и информационному банку.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6.3.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поиска по тексту документа с формулированием запроса как на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естественном языке, так и с использованием различных логических условий и ограничений (с учетом близости слов, задаваемой пользователем, либо присутствия их в одном абзаце документа, с одновременным использованием логических условий «и» / «или» / «кроме»).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6.4.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Наличие специальных карточек реквизитов, адаптированных для поиска конкретных типов информации (содержание специфических для этого типа информации реквизитов)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6.5.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поиска с помощью самонастраивающихся словарей.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6.6.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контекстного поиска по списку найденных документов, в том числе с многократным уточнением запроса.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6.7.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Наличие информации о статусе документа: утратил силу или отменен, не вступил в силу; все акты, кроме утративших силу, отменённых и не вступивших в силу.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6.8.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У каждого конкретного фрагмента НПА должна иметься информация обо всех его изменениях.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6.9.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безопасной работы с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неактуализируемыми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документами (решениями ФАС и УФАС, разъясняющими письмами госорганов, консультационными материалами и т.д.) за счет перехода по гиперссылкам из текста в ту редакцию НПА, которая действовала в момент создания соответствующего документа.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6.10.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Связи между документами оформляются в отдельный список, в котором могут быть разделы: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содержит дополнительную информацию о следующих документах;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упоминает следующий документ;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упоминается в следующем документе;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разъяснен следующим документом;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действие изменено следующим документом;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дан в редакции следующего документа;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изменен следующим документом;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дополнительную информацию смотрите в следующих документах.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Системе представляется инструментарий для сравнения редакций документа,      включая недействующие.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Предусмотрена возможность получения редакции документа на конкретную дату с указанием диапазона действия редакции.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6.13.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 документам, имеющим структуру, содержится структурированное интерактивное оглавление с возможностью поиска встречающихся слов в наименованиях структурных частей документа.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Сервис для автоматизированного (при наличии подключения к Интернету) создания договора, обеспечивающий безопасное его составление и применение через следующие возможности: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изменение каждого условия внутри каждого раздела договора посредством выбора одного из предложенных вариантов;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высокая вариативность шаблонов (не менее 100 условий с разными вариантами для каждого), создаваемая анкетами для наиболее востребованных договоров (договоры аренды, поставки, купли-продажи, подряда, возмездного оказания услуг);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изменение любого условия должно автоматически согласовываться с другими связанными условиями, чтобы обеспечивать юридическую корректность договора;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экспертных предупреждений о рисках для конкретных условий каждого договора со ссылками на законодательство, практику, аналитические материалы;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автоматическое предупреждение об изменениях законодательства и необходимости корректировки сохраненного договора (с предложением автоматической корректировки шаблона с учетом этих изменений);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формирование дополнительных документов (актов, отчетов, заявок и т.д.), предусмотренных договором, содержание которых автоматически подстраивается под выбранные условия договора;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аннотаций к договорам с их наиболее существенными характеристиками (для каких отношений предназначен договор, как он соотносится со смежными договорами, каковы существенные условия и др.).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6.15.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ознакомиться с изменениями в законодательстве с помощью аналитических обзоров.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6.16.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функционала «История рассмотрения дела» для арбитражных дел.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6.17.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справочной информации (календари; формы, утвержденные законодательно; курсы валют; процентные ставки; расчетные индикаторы и прочее).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6.18.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сохранения результатов работы с помощью истории запросов, папок и закладок пользователя.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6.19.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обмена результатами работы («папки», «закладки») между пользователями.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6.20.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Для отслеживания информации о внесении изменений в документы (в т.ч. редакции документов), определенные пользователем, 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Системе предусмотрена возможность постановки этих документов на контроль. При этом пользователь информируется об изменении документа и о типе этого изменения (создана новая редакция, документ утратил силу и т.д.) непосредственно в Системе КонсультантПлюс.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сопровождения пользователями текстов, входящих в Систему КонсультантПлюс, своими комментариями.  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аналитических материалов (Путеводителей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), которые раскрывают тему в одном документе. Путеводители должны содержать: ссылки на нормативные акты, судебную практику, консультации экспертов, примеры и ситуации из практики, образцы заполнения форм документов, сами формы с инструкциями по заполнению.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6.23.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экспорта (сохранения) выбранного документа, его фрагмента или списка документов в файл текстового формата или формата *.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pdf.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выделения нескольких произвольных фрагментов в тексте документов (НПА, судебных решений и т.д.) для их одновременного копирования и распечатывания.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6.25.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информации об ошибках и опечатках в оригиналах НПА и консультационных материалах.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6.26.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словаря финансовых и юридических терминов, определения которых даны в НПА.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6.27.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Названия ведомств могут отображаться как в полном, так и в сокращенном виде.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6.28.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изменения размера шрифта в соответствии с предпочтениями пользователя.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6.29.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системы помощи.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9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0"/>
        <w:jc w:val="right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0"/>
        <w:jc w:val="right"/>
      </w:pPr>
      <w:r/>
      <w:r/>
    </w:p>
    <w:sectPr>
      <w:footnotePr/>
      <w:endnotePr/>
      <w:type w:val="nextPage"/>
      <w:pgSz w:w="11906" w:h="16838" w:orient="portrait"/>
      <w:pgMar w:top="737" w:right="850" w:bottom="737" w:left="1417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angal">
    <w:panose1 w:val="02040503050406030204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Segoe UI">
    <w:panose1 w:val="020B0502040504020204"/>
  </w:font>
  <w:font w:name="Andale Sans UI">
    <w:panose1 w:val="02000603000000000000"/>
  </w:font>
  <w:font w:name="Wingdings">
    <w:panose1 w:val="05010000000000000000"/>
  </w:font>
  <w:font w:name="GaramondC">
    <w:panose1 w:val="02000603000000000000"/>
  </w:font>
  <w:font w:name="Lucida Sans">
    <w:panose1 w:val="020B050204050402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2160" w:hanging="372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</w:pPr>
      <w:rPr>
        <w:rFonts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00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79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2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0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4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224" w:hanging="180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2137" w:hanging="360"/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3914" w:hanging="36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605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828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996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174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387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656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560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41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14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2 Char"/>
    <w:basedOn w:val="712"/>
    <w:link w:val="704"/>
    <w:uiPriority w:val="9"/>
    <w:rPr>
      <w:rFonts w:ascii="Liberation Sans" w:hAnsi="Liberation Sans" w:eastAsia="Liberation Sans" w:cs="Liberation Sans"/>
      <w:sz w:val="34"/>
    </w:rPr>
  </w:style>
  <w:style w:type="character" w:styleId="686">
    <w:name w:val="Heading 3 Char"/>
    <w:basedOn w:val="712"/>
    <w:link w:val="70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7">
    <w:name w:val="Heading 4 Char"/>
    <w:basedOn w:val="712"/>
    <w:link w:val="70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8">
    <w:name w:val="Heading 5 Char"/>
    <w:basedOn w:val="712"/>
    <w:link w:val="70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9">
    <w:name w:val="Heading 6 Char"/>
    <w:basedOn w:val="712"/>
    <w:link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7 Char"/>
    <w:basedOn w:val="712"/>
    <w:link w:val="70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1">
    <w:name w:val="Heading 8 Char"/>
    <w:basedOn w:val="712"/>
    <w:link w:val="71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2">
    <w:name w:val="Heading 9 Char"/>
    <w:basedOn w:val="712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3">
    <w:name w:val="Title Char"/>
    <w:basedOn w:val="712"/>
    <w:link w:val="724"/>
    <w:uiPriority w:val="10"/>
    <w:rPr>
      <w:sz w:val="48"/>
      <w:szCs w:val="48"/>
    </w:rPr>
  </w:style>
  <w:style w:type="character" w:styleId="694">
    <w:name w:val="Subtitle Char"/>
    <w:basedOn w:val="712"/>
    <w:link w:val="726"/>
    <w:uiPriority w:val="11"/>
    <w:rPr>
      <w:sz w:val="24"/>
      <w:szCs w:val="24"/>
    </w:rPr>
  </w:style>
  <w:style w:type="character" w:styleId="695">
    <w:name w:val="Quote Char"/>
    <w:link w:val="728"/>
    <w:uiPriority w:val="29"/>
    <w:rPr>
      <w:i/>
    </w:rPr>
  </w:style>
  <w:style w:type="character" w:styleId="696">
    <w:name w:val="Intense Quote Char"/>
    <w:link w:val="730"/>
    <w:uiPriority w:val="30"/>
    <w:rPr>
      <w:i/>
    </w:rPr>
  </w:style>
  <w:style w:type="character" w:styleId="697">
    <w:name w:val="Header Char"/>
    <w:basedOn w:val="712"/>
    <w:link w:val="915"/>
    <w:uiPriority w:val="99"/>
  </w:style>
  <w:style w:type="character" w:styleId="698">
    <w:name w:val="Footer Char"/>
    <w:basedOn w:val="712"/>
    <w:link w:val="916"/>
    <w:uiPriority w:val="99"/>
  </w:style>
  <w:style w:type="character" w:styleId="699">
    <w:name w:val="Caption Char"/>
    <w:basedOn w:val="712"/>
    <w:link w:val="902"/>
    <w:uiPriority w:val="35"/>
    <w:rPr>
      <w:b/>
      <w:bCs/>
      <w:color w:val="4f81bd" w:themeColor="accent1"/>
      <w:sz w:val="18"/>
      <w:szCs w:val="18"/>
    </w:rPr>
  </w:style>
  <w:style w:type="character" w:styleId="700">
    <w:name w:val="Footnote Text Char"/>
    <w:link w:val="860"/>
    <w:uiPriority w:val="99"/>
    <w:rPr>
      <w:sz w:val="18"/>
    </w:rPr>
  </w:style>
  <w:style w:type="character" w:styleId="701">
    <w:name w:val="Endnote Text Char"/>
    <w:link w:val="863"/>
    <w:uiPriority w:val="99"/>
    <w:rPr>
      <w:sz w:val="20"/>
    </w:rPr>
  </w:style>
  <w:style w:type="paragraph" w:styleId="702" w:default="1">
    <w:name w:val="Normal"/>
    <w:qFormat/>
    <w:pPr>
      <w:widowControl w:val="off"/>
    </w:pPr>
    <w:rPr>
      <w:rFonts w:eastAsia="Andale Sans UI"/>
      <w:sz w:val="24"/>
      <w:szCs w:val="24"/>
      <w:lang w:eastAsia="zh-CN"/>
    </w:rPr>
  </w:style>
  <w:style w:type="paragraph" w:styleId="703">
    <w:name w:val="Heading 1"/>
    <w:basedOn w:val="702"/>
    <w:next w:val="702"/>
    <w:link w:val="880"/>
    <w:qFormat/>
    <w:pPr>
      <w:keepNext/>
      <w:spacing w:before="240" w:after="60" w:line="276" w:lineRule="auto"/>
      <w:widowControl/>
      <w:outlineLvl w:val="0"/>
    </w:pPr>
    <w:rPr>
      <w:rFonts w:ascii="Arial" w:hAnsi="Arial" w:eastAsia="Times New Roman" w:cs="Arial"/>
      <w:b/>
      <w:bCs/>
      <w:sz w:val="32"/>
      <w:szCs w:val="32"/>
      <w:lang w:eastAsia="en-US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Liberation Sans" w:hAnsi="Liberation Sans" w:eastAsia="Liberation Sans" w:cs="Liberation Sans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Заголовок Знак"/>
    <w:basedOn w:val="712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2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Верхний колонтитул Знак2"/>
    <w:basedOn w:val="712"/>
    <w:link w:val="915"/>
    <w:uiPriority w:val="99"/>
  </w:style>
  <w:style w:type="character" w:styleId="733" w:customStyle="1">
    <w:name w:val="Нижний колонтитул Знак1"/>
    <w:basedOn w:val="712"/>
    <w:link w:val="916"/>
    <w:uiPriority w:val="99"/>
  </w:style>
  <w:style w:type="character" w:styleId="734" w:customStyle="1">
    <w:name w:val="Название объекта Знак"/>
    <w:basedOn w:val="712"/>
    <w:link w:val="902"/>
    <w:uiPriority w:val="35"/>
    <w:rPr>
      <w:b/>
      <w:bCs/>
      <w:color w:val="4f81bd" w:themeColor="accent1"/>
      <w:sz w:val="18"/>
      <w:szCs w:val="18"/>
    </w:rPr>
  </w:style>
  <w:style w:type="table" w:styleId="735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7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8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5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13"/>
    <w:link w:val="95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7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7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0">
    <w:name w:val="footnote text"/>
    <w:basedOn w:val="702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12"/>
    <w:uiPriority w:val="99"/>
    <w:unhideWhenUsed/>
    <w:rPr>
      <w:vertAlign w:val="superscript"/>
    </w:rPr>
  </w:style>
  <w:style w:type="paragraph" w:styleId="863">
    <w:name w:val="endnote text"/>
    <w:basedOn w:val="702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12"/>
    <w:uiPriority w:val="99"/>
    <w:semiHidden/>
    <w:unhideWhenUsed/>
    <w:rPr>
      <w:vertAlign w:val="superscript"/>
    </w:rPr>
  </w:style>
  <w:style w:type="paragraph" w:styleId="866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67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68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69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0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1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2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3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702"/>
    <w:next w:val="702"/>
    <w:uiPriority w:val="99"/>
    <w:unhideWhenUsed/>
  </w:style>
  <w:style w:type="character" w:styleId="876" w:customStyle="1">
    <w:name w:val="Основной шрифт абзаца2"/>
    <w:qFormat/>
  </w:style>
  <w:style w:type="character" w:styleId="877" w:customStyle="1">
    <w:name w:val="Основной шрифт абзаца1"/>
    <w:qFormat/>
  </w:style>
  <w:style w:type="character" w:styleId="878">
    <w:name w:val="Placeholder Text"/>
    <w:basedOn w:val="712"/>
    <w:uiPriority w:val="99"/>
    <w:semiHidden/>
    <w:qFormat/>
    <w:rPr>
      <w:color w:val="808080"/>
    </w:rPr>
  </w:style>
  <w:style w:type="character" w:styleId="879" w:customStyle="1">
    <w:name w:val="Текст выноски Знак"/>
    <w:basedOn w:val="712"/>
    <w:uiPriority w:val="99"/>
    <w:qFormat/>
    <w:rPr>
      <w:rFonts w:ascii="Tahoma" w:hAnsi="Tahoma" w:eastAsia="Andale Sans UI" w:cs="Tahoma"/>
      <w:sz w:val="16"/>
      <w:szCs w:val="16"/>
      <w:lang w:eastAsia="zh-CN"/>
    </w:rPr>
  </w:style>
  <w:style w:type="character" w:styleId="880" w:customStyle="1">
    <w:name w:val="Заголовок 1 Знак"/>
    <w:basedOn w:val="712"/>
    <w:link w:val="703"/>
    <w:qFormat/>
    <w:rPr>
      <w:rFonts w:ascii="Arial" w:hAnsi="Arial" w:cs="Arial"/>
      <w:b/>
      <w:bCs/>
      <w:sz w:val="32"/>
      <w:szCs w:val="32"/>
      <w:lang w:eastAsia="en-US"/>
    </w:rPr>
  </w:style>
  <w:style w:type="character" w:styleId="881" w:customStyle="1">
    <w:name w:val="blk3"/>
    <w:qFormat/>
    <w:rPr>
      <w:vanish w:val="0"/>
    </w:rPr>
  </w:style>
  <w:style w:type="character" w:styleId="882" w:customStyle="1">
    <w:name w:val="Интернет-ссылка"/>
    <w:unhideWhenUsed/>
    <w:rPr>
      <w:color w:val="0000ff"/>
      <w:u w:val="single"/>
    </w:rPr>
  </w:style>
  <w:style w:type="character" w:styleId="883">
    <w:name w:val="Strong"/>
    <w:uiPriority w:val="22"/>
    <w:qFormat/>
    <w:rPr>
      <w:b/>
      <w:bCs/>
    </w:rPr>
  </w:style>
  <w:style w:type="character" w:styleId="884" w:customStyle="1">
    <w:name w:val="f"/>
    <w:qFormat/>
  </w:style>
  <w:style w:type="character" w:styleId="885" w:customStyle="1">
    <w:name w:val="Верхний колонтитул Знак"/>
    <w:basedOn w:val="712"/>
    <w:qFormat/>
    <w:rPr>
      <w:rFonts w:eastAsia="Calibri"/>
      <w:sz w:val="24"/>
      <w:szCs w:val="24"/>
      <w:lang w:eastAsia="en-US"/>
    </w:rPr>
  </w:style>
  <w:style w:type="character" w:styleId="886" w:customStyle="1">
    <w:name w:val="Нижний колонтитул Знак"/>
    <w:basedOn w:val="712"/>
    <w:qFormat/>
    <w:rPr>
      <w:rFonts w:eastAsia="Calibri"/>
      <w:sz w:val="24"/>
      <w:szCs w:val="24"/>
      <w:lang w:eastAsia="en-US"/>
    </w:rPr>
  </w:style>
  <w:style w:type="character" w:styleId="887">
    <w:name w:val="annotation reference"/>
    <w:semiHidden/>
    <w:unhideWhenUsed/>
    <w:qFormat/>
    <w:rPr>
      <w:sz w:val="16"/>
      <w:szCs w:val="16"/>
    </w:rPr>
  </w:style>
  <w:style w:type="character" w:styleId="888" w:customStyle="1">
    <w:name w:val="Текст примечания Знак"/>
    <w:basedOn w:val="712"/>
    <w:semiHidden/>
    <w:qFormat/>
    <w:rPr>
      <w:rFonts w:eastAsia="Calibri"/>
      <w:lang w:eastAsia="en-US"/>
    </w:rPr>
  </w:style>
  <w:style w:type="character" w:styleId="889" w:customStyle="1">
    <w:name w:val="Тема примечания Знак"/>
    <w:basedOn w:val="888"/>
    <w:semiHidden/>
    <w:qFormat/>
    <w:rPr>
      <w:rFonts w:eastAsia="Calibri"/>
      <w:b/>
      <w:bCs/>
      <w:lang w:eastAsia="en-US"/>
    </w:rPr>
  </w:style>
  <w:style w:type="character" w:styleId="890" w:customStyle="1">
    <w:name w:val="Посещённая гиперссылка"/>
    <w:unhideWhenUsed/>
    <w:rPr>
      <w:color w:val="800080"/>
      <w:u w:val="single"/>
    </w:rPr>
  </w:style>
  <w:style w:type="character" w:styleId="891">
    <w:name w:val="page number"/>
    <w:basedOn w:val="712"/>
    <w:qFormat/>
  </w:style>
  <w:style w:type="character" w:styleId="892" w:customStyle="1">
    <w:name w:val="u"/>
    <w:basedOn w:val="712"/>
    <w:qFormat/>
  </w:style>
  <w:style w:type="character" w:styleId="893" w:customStyle="1">
    <w:name w:val="blk"/>
    <w:basedOn w:val="712"/>
    <w:qFormat/>
  </w:style>
  <w:style w:type="character" w:styleId="894" w:customStyle="1">
    <w:name w:val="Стандартный HTML Знак"/>
    <w:basedOn w:val="712"/>
    <w:qFormat/>
    <w:rPr>
      <w:rFonts w:ascii="Courier New" w:hAnsi="Courier New" w:cs="Courier New"/>
    </w:rPr>
  </w:style>
  <w:style w:type="character" w:styleId="895" w:customStyle="1">
    <w:name w:val="r"/>
    <w:basedOn w:val="712"/>
    <w:qFormat/>
  </w:style>
  <w:style w:type="character" w:styleId="896" w:customStyle="1">
    <w:name w:val="ep"/>
    <w:basedOn w:val="712"/>
    <w:qFormat/>
  </w:style>
  <w:style w:type="character" w:styleId="897" w:customStyle="1">
    <w:name w:val="Верхний колонтитул Знак1"/>
    <w:uiPriority w:val="99"/>
    <w:qFormat/>
    <w:rPr>
      <w:sz w:val="24"/>
      <w:szCs w:val="24"/>
      <w:lang w:val="ru-RU" w:eastAsia="ru-RU" w:bidi="ar-SA"/>
    </w:rPr>
  </w:style>
  <w:style w:type="character" w:styleId="898" w:customStyle="1">
    <w:name w:val="Оглавление 1 Знак"/>
    <w:link w:val="927"/>
    <w:qFormat/>
    <w:rPr>
      <w:sz w:val="17"/>
      <w:szCs w:val="17"/>
      <w:shd w:val="clear" w:color="auto" w:fill="ffffff"/>
    </w:rPr>
  </w:style>
  <w:style w:type="paragraph" w:styleId="899" w:customStyle="1">
    <w:name w:val="Заголовок1"/>
    <w:basedOn w:val="702"/>
    <w:next w:val="900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900">
    <w:name w:val="Body Text"/>
    <w:basedOn w:val="702"/>
    <w:link w:val="938"/>
    <w:pPr>
      <w:spacing w:after="120"/>
    </w:pPr>
  </w:style>
  <w:style w:type="paragraph" w:styleId="901">
    <w:name w:val="List"/>
    <w:basedOn w:val="900"/>
    <w:rPr>
      <w:rFonts w:cs="Tahoma"/>
    </w:rPr>
  </w:style>
  <w:style w:type="paragraph" w:styleId="902">
    <w:name w:val="Caption"/>
    <w:basedOn w:val="702"/>
    <w:link w:val="734"/>
    <w:qFormat/>
    <w:pPr>
      <w:spacing w:before="120" w:after="120"/>
      <w:suppressLineNumbers/>
    </w:pPr>
    <w:rPr>
      <w:rFonts w:cs="Mangal"/>
      <w:i/>
      <w:iCs/>
    </w:rPr>
  </w:style>
  <w:style w:type="paragraph" w:styleId="903">
    <w:name w:val="index heading"/>
    <w:basedOn w:val="702"/>
    <w:qFormat/>
    <w:pPr>
      <w:suppressLineNumbers/>
    </w:pPr>
    <w:rPr>
      <w:rFonts w:cs="Lucida Sans"/>
    </w:rPr>
  </w:style>
  <w:style w:type="paragraph" w:styleId="904" w:customStyle="1">
    <w:name w:val="Указатель3"/>
    <w:basedOn w:val="702"/>
    <w:qFormat/>
    <w:pPr>
      <w:suppressLineNumbers/>
    </w:pPr>
    <w:rPr>
      <w:rFonts w:cs="Mangal"/>
    </w:rPr>
  </w:style>
  <w:style w:type="paragraph" w:styleId="905" w:customStyle="1">
    <w:name w:val="Название объекта2"/>
    <w:basedOn w:val="702"/>
    <w:qFormat/>
    <w:pPr>
      <w:spacing w:before="120" w:after="120"/>
      <w:suppressLineNumbers/>
    </w:pPr>
    <w:rPr>
      <w:rFonts w:cs="Mangal"/>
      <w:i/>
      <w:iCs/>
    </w:rPr>
  </w:style>
  <w:style w:type="paragraph" w:styleId="906" w:customStyle="1">
    <w:name w:val="Указатель2"/>
    <w:basedOn w:val="702"/>
    <w:qFormat/>
    <w:pPr>
      <w:suppressLineNumbers/>
    </w:pPr>
    <w:rPr>
      <w:rFonts w:cs="Mangal"/>
    </w:rPr>
  </w:style>
  <w:style w:type="paragraph" w:styleId="907" w:customStyle="1">
    <w:name w:val="Название объекта1"/>
    <w:basedOn w:val="702"/>
    <w:qFormat/>
    <w:pPr>
      <w:spacing w:before="120" w:after="120"/>
      <w:suppressLineNumbers/>
    </w:pPr>
    <w:rPr>
      <w:rFonts w:cs="Tahoma"/>
      <w:i/>
      <w:iCs/>
    </w:rPr>
  </w:style>
  <w:style w:type="paragraph" w:styleId="908" w:customStyle="1">
    <w:name w:val="Указатель1"/>
    <w:basedOn w:val="702"/>
    <w:qFormat/>
    <w:pPr>
      <w:suppressLineNumbers/>
    </w:pPr>
    <w:rPr>
      <w:rFonts w:cs="Tahoma"/>
    </w:rPr>
  </w:style>
  <w:style w:type="paragraph" w:styleId="909" w:customStyle="1">
    <w:name w:val="фриизз начало"/>
    <w:basedOn w:val="702"/>
    <w:qFormat/>
    <w:pPr>
      <w:jc w:val="right"/>
    </w:pPr>
    <w:rPr>
      <w:rFonts w:ascii="GaramondC" w:hAnsi="GaramondC" w:eastAsia="Times New Roman" w:cs="GaramondC"/>
      <w:b/>
      <w:bCs/>
      <w:sz w:val="22"/>
      <w:szCs w:val="22"/>
    </w:rPr>
  </w:style>
  <w:style w:type="paragraph" w:styleId="910" w:customStyle="1">
    <w:name w:val="ConsPlusNormal"/>
    <w:qFormat/>
    <w:pPr>
      <w:widowControl w:val="off"/>
    </w:pPr>
    <w:rPr>
      <w:rFonts w:ascii="Arial" w:hAnsi="Arial" w:cs="Arial"/>
      <w:lang w:eastAsia="zh-CN"/>
    </w:rPr>
  </w:style>
  <w:style w:type="paragraph" w:styleId="911" w:customStyle="1">
    <w:name w:val="Содержимое таблицы"/>
    <w:basedOn w:val="702"/>
    <w:qFormat/>
    <w:pPr>
      <w:suppressLineNumbers/>
    </w:pPr>
  </w:style>
  <w:style w:type="paragraph" w:styleId="912" w:customStyle="1">
    <w:name w:val="Заголовок таблицы"/>
    <w:basedOn w:val="911"/>
    <w:qFormat/>
    <w:pPr>
      <w:jc w:val="center"/>
    </w:pPr>
    <w:rPr>
      <w:b/>
      <w:bCs/>
    </w:rPr>
  </w:style>
  <w:style w:type="paragraph" w:styleId="913">
    <w:name w:val="Balloon Text"/>
    <w:basedOn w:val="702"/>
    <w:uiPriority w:val="99"/>
    <w:unhideWhenUsed/>
    <w:qFormat/>
    <w:rPr>
      <w:rFonts w:ascii="Tahoma" w:hAnsi="Tahoma" w:cs="Tahoma"/>
      <w:sz w:val="16"/>
      <w:szCs w:val="16"/>
    </w:rPr>
  </w:style>
  <w:style w:type="paragraph" w:styleId="914" w:customStyle="1">
    <w:name w:val="Верхний и нижний колонтитулы"/>
    <w:basedOn w:val="702"/>
    <w:qFormat/>
  </w:style>
  <w:style w:type="paragraph" w:styleId="915">
    <w:name w:val="Header"/>
    <w:basedOn w:val="702"/>
    <w:link w:val="732"/>
    <w:unhideWhenUsed/>
    <w:pPr>
      <w:jc w:val="both"/>
      <w:spacing w:after="240"/>
      <w:widowControl/>
      <w:tabs>
        <w:tab w:val="center" w:pos="4677" w:leader="none"/>
        <w:tab w:val="right" w:pos="9355" w:leader="none"/>
      </w:tabs>
    </w:pPr>
    <w:rPr>
      <w:rFonts w:eastAsia="Calibri"/>
      <w:lang w:eastAsia="en-US"/>
    </w:rPr>
  </w:style>
  <w:style w:type="paragraph" w:styleId="916">
    <w:name w:val="Footer"/>
    <w:basedOn w:val="702"/>
    <w:link w:val="733"/>
    <w:unhideWhenUsed/>
    <w:pPr>
      <w:jc w:val="both"/>
      <w:spacing w:after="240"/>
      <w:widowControl/>
      <w:tabs>
        <w:tab w:val="center" w:pos="4677" w:leader="none"/>
        <w:tab w:val="right" w:pos="9355" w:leader="none"/>
      </w:tabs>
    </w:pPr>
    <w:rPr>
      <w:rFonts w:eastAsia="Calibri"/>
      <w:lang w:eastAsia="en-US"/>
    </w:rPr>
  </w:style>
  <w:style w:type="paragraph" w:styleId="917">
    <w:name w:val="annotation text"/>
    <w:basedOn w:val="702"/>
    <w:semiHidden/>
    <w:unhideWhenUsed/>
    <w:qFormat/>
    <w:pPr>
      <w:jc w:val="both"/>
      <w:spacing w:after="240"/>
      <w:widowControl/>
    </w:pPr>
    <w:rPr>
      <w:rFonts w:eastAsia="Calibri"/>
      <w:sz w:val="20"/>
      <w:szCs w:val="20"/>
      <w:lang w:eastAsia="en-US"/>
    </w:rPr>
  </w:style>
  <w:style w:type="paragraph" w:styleId="918">
    <w:name w:val="annotation subject"/>
    <w:basedOn w:val="917"/>
    <w:next w:val="917"/>
    <w:semiHidden/>
    <w:unhideWhenUsed/>
    <w:qFormat/>
    <w:rPr>
      <w:b/>
      <w:bCs/>
    </w:rPr>
  </w:style>
  <w:style w:type="paragraph" w:styleId="919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920">
    <w:name w:val="HTML Preformatted"/>
    <w:basedOn w:val="702"/>
    <w:qFormat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1" w:customStyle="1">
    <w:name w:val="ConsPlusCell"/>
    <w:qFormat/>
    <w:pPr>
      <w:widowControl w:val="off"/>
    </w:pPr>
    <w:rPr>
      <w:rFonts w:ascii="Arial" w:hAnsi="Arial" w:cs="Arial"/>
    </w:rPr>
  </w:style>
  <w:style w:type="paragraph" w:styleId="922" w:customStyle="1">
    <w:name w:val="ConsPlusTitle"/>
    <w:basedOn w:val="702"/>
    <w:qFormat/>
    <w:pPr>
      <w:widowControl/>
    </w:pPr>
    <w:rPr>
      <w:rFonts w:ascii="Arial" w:hAnsi="Arial" w:eastAsia="Calibri" w:cs="Arial"/>
      <w:b/>
      <w:bCs/>
      <w:sz w:val="16"/>
      <w:szCs w:val="16"/>
      <w:lang w:eastAsia="ru-RU"/>
    </w:rPr>
  </w:style>
  <w:style w:type="paragraph" w:styleId="923" w:customStyle="1">
    <w:name w:val="Абзац списка1"/>
    <w:basedOn w:val="702"/>
    <w:qFormat/>
    <w:pPr>
      <w:contextualSpacing/>
      <w:ind w:left="720"/>
      <w:spacing w:after="200" w:line="276" w:lineRule="auto"/>
      <w:widowControl/>
    </w:pPr>
    <w:rPr>
      <w:rFonts w:ascii="Calibri" w:hAnsi="Calibri" w:eastAsia="Times New Roman"/>
      <w:sz w:val="22"/>
      <w:szCs w:val="22"/>
      <w:lang w:eastAsia="en-US"/>
    </w:rPr>
  </w:style>
  <w:style w:type="paragraph" w:styleId="924" w:customStyle="1">
    <w:name w:val="ConsPlusDocList"/>
    <w:qFormat/>
    <w:pPr>
      <w:widowControl w:val="off"/>
    </w:pPr>
    <w:rPr>
      <w:rFonts w:ascii="Tahoma" w:hAnsi="Tahoma" w:cs="Tahoma"/>
      <w:sz w:val="18"/>
      <w:szCs w:val="18"/>
    </w:rPr>
  </w:style>
  <w:style w:type="paragraph" w:styleId="925" w:customStyle="1">
    <w:name w:val="consplusnormal"/>
    <w:basedOn w:val="702"/>
    <w:qFormat/>
    <w:pPr>
      <w:ind w:firstLine="720"/>
      <w:widowControl/>
    </w:pPr>
    <w:rPr>
      <w:rFonts w:ascii="Arial" w:hAnsi="Arial" w:eastAsia="Times New Roman" w:cs="Arial"/>
      <w:sz w:val="20"/>
      <w:szCs w:val="20"/>
      <w:lang w:eastAsia="ru-RU"/>
    </w:rPr>
  </w:style>
  <w:style w:type="paragraph" w:styleId="926" w:customStyle="1">
    <w:name w:val="A_osn_text"/>
    <w:basedOn w:val="702"/>
    <w:qFormat/>
    <w:pPr>
      <w:ind w:firstLine="340"/>
      <w:jc w:val="both"/>
      <w:spacing w:line="192" w:lineRule="exact"/>
      <w:widowControl/>
      <w:tabs>
        <w:tab w:val="left" w:pos="794" w:leader="none"/>
      </w:tabs>
    </w:pPr>
    <w:rPr>
      <w:rFonts w:ascii="Arial" w:hAnsi="Arial" w:eastAsia="Times New Roman" w:cs="Arial"/>
      <w:sz w:val="18"/>
      <w:szCs w:val="20"/>
      <w:lang w:eastAsia="ru-RU"/>
    </w:rPr>
  </w:style>
  <w:style w:type="paragraph" w:styleId="927">
    <w:name w:val="toc 1"/>
    <w:basedOn w:val="702"/>
    <w:next w:val="702"/>
    <w:link w:val="898"/>
    <w:semiHidden/>
    <w:pPr>
      <w:spacing w:before="60" w:after="60" w:line="276" w:lineRule="auto"/>
      <w:widowControl/>
      <w:tabs>
        <w:tab w:val="left" w:pos="440" w:leader="none"/>
        <w:tab w:val="right" w:pos="9736" w:leader="dot"/>
      </w:tabs>
    </w:pPr>
    <w:rPr>
      <w:rFonts w:ascii="Calibri" w:hAnsi="Calibri" w:eastAsia="Times New Roman"/>
      <w:sz w:val="22"/>
      <w:szCs w:val="22"/>
      <w:lang w:eastAsia="en-US"/>
    </w:rPr>
  </w:style>
  <w:style w:type="paragraph" w:styleId="928">
    <w:name w:val="List Paragraph"/>
    <w:basedOn w:val="702"/>
    <w:link w:val="951"/>
    <w:uiPriority w:val="34"/>
    <w:qFormat/>
    <w:pPr>
      <w:ind w:left="708"/>
      <w:jc w:val="both"/>
      <w:spacing w:after="240"/>
      <w:widowControl/>
    </w:pPr>
    <w:rPr>
      <w:rFonts w:eastAsia="Calibri"/>
      <w:lang w:eastAsia="en-US"/>
    </w:rPr>
  </w:style>
  <w:style w:type="paragraph" w:styleId="929">
    <w:name w:val="Revision"/>
    <w:uiPriority w:val="99"/>
    <w:semiHidden/>
    <w:qFormat/>
    <w:rPr>
      <w:rFonts w:eastAsia="Calibri"/>
      <w:sz w:val="24"/>
      <w:szCs w:val="24"/>
      <w:lang w:eastAsia="en-US"/>
    </w:rPr>
  </w:style>
  <w:style w:type="paragraph" w:styleId="930" w:customStyle="1">
    <w:name w:val="ConsNormal"/>
    <w:qFormat/>
    <w:pPr>
      <w:ind w:right="19772" w:firstLine="720"/>
      <w:widowControl w:val="off"/>
    </w:pPr>
    <w:rPr>
      <w:rFonts w:ascii="Arial" w:hAnsi="Arial" w:cs="Arial"/>
    </w:rPr>
  </w:style>
  <w:style w:type="paragraph" w:styleId="931" w:customStyle="1">
    <w:name w:val="Основной текст1"/>
    <w:basedOn w:val="702"/>
    <w:link w:val="940"/>
    <w:qFormat/>
    <w:pPr>
      <w:ind w:firstLine="400"/>
      <w:spacing w:line="290" w:lineRule="auto"/>
      <w:shd w:val="clear" w:color="auto" w:fill="ffffff"/>
    </w:pPr>
    <w:rPr>
      <w:rFonts w:eastAsia="Times New Roman"/>
      <w:sz w:val="17"/>
      <w:szCs w:val="17"/>
      <w:lang w:eastAsia="ru-RU"/>
    </w:rPr>
  </w:style>
  <w:style w:type="table" w:styleId="932">
    <w:name w:val="Table Grid"/>
    <w:basedOn w:val="71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3">
    <w:name w:val="Hyperlink"/>
    <w:rPr>
      <w:color w:val="000080"/>
      <w:u w:val="single"/>
    </w:rPr>
  </w:style>
  <w:style w:type="paragraph" w:styleId="934" w:customStyle="1">
    <w:name w:val="western"/>
    <w:basedOn w:val="702"/>
    <w:uiPriority w:val="99"/>
    <w:pPr>
      <w:spacing w:before="100" w:beforeAutospacing="1" w:after="119"/>
      <w:widowControl/>
    </w:pPr>
    <w:rPr>
      <w:rFonts w:eastAsia="Times New Roman"/>
      <w:color w:val="000000"/>
      <w:lang w:eastAsia="ru-RU"/>
    </w:rPr>
  </w:style>
  <w:style w:type="character" w:styleId="935" w:customStyle="1">
    <w:name w:val="Основной шрифт абзаца3"/>
  </w:style>
  <w:style w:type="character" w:styleId="936">
    <w:name w:val="FollowedHyperlink"/>
    <w:rPr>
      <w:color w:val="800080"/>
      <w:u w:val="single"/>
    </w:rPr>
  </w:style>
  <w:style w:type="character" w:styleId="937" w:customStyle="1">
    <w:name w:val="Символ нумерации"/>
  </w:style>
  <w:style w:type="character" w:styleId="938" w:customStyle="1">
    <w:name w:val="Основной текст Знак"/>
    <w:basedOn w:val="712"/>
    <w:link w:val="900"/>
    <w:rPr>
      <w:rFonts w:eastAsia="Andale Sans UI"/>
      <w:sz w:val="24"/>
      <w:szCs w:val="24"/>
      <w:lang w:eastAsia="zh-CN"/>
    </w:rPr>
  </w:style>
  <w:style w:type="paragraph" w:styleId="939" w:customStyle="1">
    <w:name w:val="Указатель4"/>
    <w:basedOn w:val="702"/>
    <w:pPr>
      <w:suppressLineNumbers/>
    </w:pPr>
    <w:rPr>
      <w:rFonts w:cs="Tahoma"/>
      <w:color w:val="00000a"/>
      <w:lang w:bidi="ru-RU"/>
    </w:rPr>
  </w:style>
  <w:style w:type="character" w:styleId="940" w:customStyle="1">
    <w:name w:val="Основной текст_"/>
    <w:link w:val="931"/>
    <w:rPr>
      <w:sz w:val="17"/>
      <w:szCs w:val="17"/>
      <w:shd w:val="clear" w:color="auto" w:fill="ffffff"/>
    </w:rPr>
  </w:style>
  <w:style w:type="paragraph" w:styleId="941">
    <w:name w:val="Normal (Web)"/>
    <w:basedOn w:val="702"/>
    <w:uiPriority w:val="99"/>
    <w:semiHidden/>
    <w:unhideWhenUsed/>
    <w:pPr>
      <w:jc w:val="both"/>
      <w:spacing w:after="240"/>
      <w:widowControl/>
    </w:pPr>
    <w:rPr>
      <w:rFonts w:eastAsia="Calibri"/>
      <w:lang w:eastAsia="en-US"/>
    </w:rPr>
  </w:style>
  <w:style w:type="paragraph" w:styleId="942" w:customStyle="1">
    <w:name w:val="Абзац списка2"/>
    <w:basedOn w:val="702"/>
    <w:pPr>
      <w:contextualSpacing/>
      <w:ind w:left="720"/>
      <w:spacing w:after="200" w:line="276" w:lineRule="auto"/>
      <w:widowControl/>
    </w:pPr>
    <w:rPr>
      <w:rFonts w:ascii="Calibri" w:hAnsi="Calibri" w:eastAsia="Times New Roman"/>
      <w:sz w:val="22"/>
      <w:szCs w:val="22"/>
      <w:lang w:eastAsia="en-US"/>
    </w:rPr>
  </w:style>
  <w:style w:type="paragraph" w:styleId="943" w:customStyle="1">
    <w:name w:val="Абзац списка3"/>
    <w:basedOn w:val="702"/>
    <w:pPr>
      <w:contextualSpacing/>
      <w:ind w:left="720"/>
      <w:spacing w:after="200" w:line="276" w:lineRule="auto"/>
      <w:widowControl/>
    </w:pPr>
    <w:rPr>
      <w:rFonts w:ascii="Calibri" w:hAnsi="Calibri" w:eastAsia="Times New Roman"/>
      <w:sz w:val="22"/>
      <w:szCs w:val="22"/>
      <w:lang w:eastAsia="en-US"/>
    </w:rPr>
  </w:style>
  <w:style w:type="paragraph" w:styleId="944">
    <w:name w:val="No Spacing"/>
    <w:qFormat/>
    <w:rPr>
      <w:rFonts w:ascii="Calibri" w:hAnsi="Calibri" w:eastAsia="Calibri"/>
      <w:sz w:val="22"/>
      <w:szCs w:val="22"/>
      <w:lang w:eastAsia="en-US"/>
    </w:rPr>
  </w:style>
  <w:style w:type="character" w:styleId="945">
    <w:name w:val="Unresolved Mention"/>
    <w:basedOn w:val="712"/>
    <w:uiPriority w:val="99"/>
    <w:semiHidden/>
    <w:unhideWhenUsed/>
    <w:rPr>
      <w:color w:val="605e5c"/>
      <w:shd w:val="clear" w:color="auto" w:fill="e1dfdd"/>
    </w:rPr>
  </w:style>
  <w:style w:type="paragraph" w:styleId="946" w:customStyle="1">
    <w:name w:val="Абзац списка;Bullet List;FooterText;numbered;Paragraphe de liste1;lp1;Маркер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2"/>
      <w:szCs w:val="22"/>
      <w:lang w:eastAsia="en-US"/>
    </w:rPr>
  </w:style>
  <w:style w:type="paragraph" w:styleId="947" w:customStyle="1">
    <w:name w:val="Основной текст;Основной текст Знак;Знак Знак;Знак Знак Знак Знак Знак;Знак Знак Знак Знак Знак Знак;Знак Знак Знак Знак1;Основной текст Знак1;Знак Знак Знак Знак Знак Знак Зн;Çàã1;BO;ID;body indent;andrad;EHPT;Body Text2;body text;NoticeText-List;Знак23"/>
    <w:qFormat/>
    <w:pPr>
      <w:jc w:val="both"/>
      <w:spacing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</w:rPr>
  </w:style>
  <w:style w:type="paragraph" w:styleId="948" w:customStyle="1">
    <w:name w:val="Основной текст;Основной текст Знак;Знак Знак;Знак Знак Знак Знак Знак;Знак Знак Знак Знак Знак Знак;Знак Знак Знак Знак1;Основной текст Знак1;Знак Знак Знак Знак Знак Знак Зн;Çàã1;BO;ID;body indent;andrad;EHPT;Body Text2;body text;NoticeText-List;Знак23"/>
    <w:qFormat/>
    <w:pPr>
      <w:jc w:val="both"/>
      <w:spacing w:before="1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</w:rPr>
  </w:style>
  <w:style w:type="paragraph" w:styleId="949" w:customStyle="1">
    <w:name w:val="Текст выноски1"/>
    <w:uiPriority w:val="99"/>
    <w:unhideWhenUsed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Segoe UI" w:hAnsi="Segoe UI" w:cs="Segoe UI"/>
      <w:sz w:val="18"/>
      <w:szCs w:val="18"/>
      <w:lang w:eastAsia="ar-SA"/>
    </w:rPr>
  </w:style>
  <w:style w:type="paragraph" w:styleId="950" w:customStyle="1">
    <w:name w:val="Без интервала1"/>
    <w:link w:val="8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sz w:val="22"/>
      <w:szCs w:val="22"/>
    </w:rPr>
  </w:style>
  <w:style w:type="character" w:styleId="951" w:customStyle="1">
    <w:name w:val="Абзац списка Знак"/>
    <w:link w:val="928"/>
    <w:uiPriority w:val="34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7F7231C27B22B4FBCE8EBF893BCBB30C3B073B68D8824A61098CB75D11B28D50154DBC5B9529D52C55911027B2JD59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9FE552324B84D22ACB536C156035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51088-5450-4218-ACB0-68D7D8641D00}"/>
      </w:docPartPr>
      <w:docPartBody>
        <w:p>
          <w:r>
            <w:rPr>
              <w:rStyle w:val="1620"/>
            </w:rPr>
            <w:t xml:space="preserve">[Название]</w:t>
          </w:r>
          <w:r/>
        </w:p>
      </w:docPartBody>
    </w:docPart>
    <w:docPart>
      <w:docPartPr>
        <w:name w:val="C840AD8BBF4C446BAEA145FBEFDE3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22E19-F7B7-42C1-8402-F59337CBD7B4}"/>
      </w:docPartPr>
      <w:docPartBody>
        <w:p>
          <w:r>
            <w:rPr>
              <w:rStyle w:val="1620"/>
            </w:rPr>
            <w:t xml:space="preserve">[Руководитель]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20">
    <w:name w:val="Heading 1 Char"/>
    <w:basedOn w:val="1448"/>
    <w:link w:val="143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421">
    <w:name w:val="Heading 2 Char"/>
    <w:basedOn w:val="1448"/>
    <w:link w:val="1440"/>
    <w:uiPriority w:val="9"/>
    <w:rPr>
      <w:rFonts w:ascii="Liberation Sans" w:hAnsi="Liberation Sans" w:eastAsia="Liberation Sans" w:cs="Liberation Sans"/>
      <w:sz w:val="34"/>
    </w:rPr>
  </w:style>
  <w:style w:type="character" w:styleId="1422">
    <w:name w:val="Heading 3 Char"/>
    <w:basedOn w:val="1448"/>
    <w:link w:val="144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1423">
    <w:name w:val="Heading 4 Char"/>
    <w:basedOn w:val="1448"/>
    <w:link w:val="144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1424">
    <w:name w:val="Heading 5 Char"/>
    <w:basedOn w:val="1448"/>
    <w:link w:val="14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1425">
    <w:name w:val="Heading 6 Char"/>
    <w:basedOn w:val="1448"/>
    <w:link w:val="14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1426">
    <w:name w:val="Heading 7 Char"/>
    <w:basedOn w:val="1448"/>
    <w:link w:val="14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1427">
    <w:name w:val="Heading 8 Char"/>
    <w:basedOn w:val="1448"/>
    <w:link w:val="14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1428">
    <w:name w:val="Heading 9 Char"/>
    <w:basedOn w:val="1448"/>
    <w:link w:val="144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1429">
    <w:name w:val="Title Char"/>
    <w:basedOn w:val="1448"/>
    <w:link w:val="1462"/>
    <w:uiPriority w:val="10"/>
    <w:rPr>
      <w:sz w:val="48"/>
      <w:szCs w:val="48"/>
    </w:rPr>
  </w:style>
  <w:style w:type="character" w:styleId="1430">
    <w:name w:val="Subtitle Char"/>
    <w:basedOn w:val="1448"/>
    <w:link w:val="1464"/>
    <w:uiPriority w:val="11"/>
    <w:rPr>
      <w:sz w:val="24"/>
      <w:szCs w:val="24"/>
    </w:rPr>
  </w:style>
  <w:style w:type="character" w:styleId="1431">
    <w:name w:val="Quote Char"/>
    <w:link w:val="1466"/>
    <w:uiPriority w:val="29"/>
    <w:rPr>
      <w:i/>
    </w:rPr>
  </w:style>
  <w:style w:type="character" w:styleId="1432">
    <w:name w:val="Intense Quote Char"/>
    <w:link w:val="1468"/>
    <w:uiPriority w:val="30"/>
    <w:rPr>
      <w:i/>
    </w:rPr>
  </w:style>
  <w:style w:type="character" w:styleId="1433">
    <w:name w:val="Header Char"/>
    <w:basedOn w:val="1448"/>
    <w:link w:val="1470"/>
    <w:uiPriority w:val="99"/>
  </w:style>
  <w:style w:type="character" w:styleId="1434">
    <w:name w:val="Footer Char"/>
    <w:basedOn w:val="1448"/>
    <w:link w:val="1472"/>
    <w:uiPriority w:val="99"/>
  </w:style>
  <w:style w:type="character" w:styleId="1435">
    <w:name w:val="Caption Char"/>
    <w:basedOn w:val="1448"/>
    <w:link w:val="1474"/>
    <w:uiPriority w:val="35"/>
    <w:rPr>
      <w:b/>
      <w:bCs/>
      <w:color w:val="4f81bd" w:themeColor="accent1"/>
      <w:sz w:val="18"/>
      <w:szCs w:val="18"/>
    </w:rPr>
  </w:style>
  <w:style w:type="character" w:styleId="1436">
    <w:name w:val="Footnote Text Char"/>
    <w:link w:val="1603"/>
    <w:uiPriority w:val="99"/>
    <w:rPr>
      <w:sz w:val="18"/>
    </w:rPr>
  </w:style>
  <w:style w:type="character" w:styleId="1437">
    <w:name w:val="Endnote Text Char"/>
    <w:link w:val="1606"/>
    <w:uiPriority w:val="99"/>
    <w:rPr>
      <w:sz w:val="20"/>
    </w:rPr>
  </w:style>
  <w:style w:type="paragraph" w:styleId="1438" w:default="1">
    <w:name w:val="Normal"/>
    <w:qFormat/>
  </w:style>
  <w:style w:type="paragraph" w:styleId="1439">
    <w:name w:val="Heading 1"/>
    <w:basedOn w:val="1438"/>
    <w:next w:val="1438"/>
    <w:link w:val="1451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1440">
    <w:name w:val="Heading 2"/>
    <w:basedOn w:val="1438"/>
    <w:next w:val="1438"/>
    <w:link w:val="1452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1441">
    <w:name w:val="Heading 3"/>
    <w:basedOn w:val="1438"/>
    <w:next w:val="1438"/>
    <w:link w:val="1453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1442">
    <w:name w:val="Heading 4"/>
    <w:basedOn w:val="1438"/>
    <w:next w:val="1438"/>
    <w:link w:val="1454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1443">
    <w:name w:val="Heading 5"/>
    <w:basedOn w:val="1438"/>
    <w:next w:val="1438"/>
    <w:link w:val="1455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1444">
    <w:name w:val="Heading 6"/>
    <w:basedOn w:val="1438"/>
    <w:next w:val="1438"/>
    <w:link w:val="1456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1445">
    <w:name w:val="Heading 7"/>
    <w:basedOn w:val="1438"/>
    <w:next w:val="1438"/>
    <w:link w:val="1457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1446">
    <w:name w:val="Heading 8"/>
    <w:basedOn w:val="1438"/>
    <w:next w:val="1438"/>
    <w:link w:val="1458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1447">
    <w:name w:val="Heading 9"/>
    <w:basedOn w:val="1438"/>
    <w:next w:val="1438"/>
    <w:link w:val="1459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1448" w:default="1">
    <w:name w:val="Default Paragraph Font"/>
    <w:uiPriority w:val="1"/>
    <w:semiHidden/>
    <w:unhideWhenUsed/>
  </w:style>
  <w:style w:type="table" w:styleId="14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50" w:default="1">
    <w:name w:val="No List"/>
    <w:uiPriority w:val="99"/>
    <w:semiHidden/>
    <w:unhideWhenUsed/>
  </w:style>
  <w:style w:type="character" w:styleId="1451" w:customStyle="1">
    <w:name w:val="Заголовок 1 Знак"/>
    <w:basedOn w:val="1448"/>
    <w:link w:val="143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452" w:customStyle="1">
    <w:name w:val="Заголовок 2 Знак"/>
    <w:basedOn w:val="1448"/>
    <w:link w:val="1440"/>
    <w:uiPriority w:val="9"/>
    <w:rPr>
      <w:rFonts w:ascii="Liberation Sans" w:hAnsi="Liberation Sans" w:eastAsia="Liberation Sans" w:cs="Liberation Sans"/>
      <w:sz w:val="34"/>
    </w:rPr>
  </w:style>
  <w:style w:type="character" w:styleId="1453" w:customStyle="1">
    <w:name w:val="Заголовок 3 Знак"/>
    <w:basedOn w:val="1448"/>
    <w:link w:val="144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1454" w:customStyle="1">
    <w:name w:val="Заголовок 4 Знак"/>
    <w:basedOn w:val="1448"/>
    <w:link w:val="144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1455" w:customStyle="1">
    <w:name w:val="Заголовок 5 Знак"/>
    <w:basedOn w:val="1448"/>
    <w:link w:val="14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1456" w:customStyle="1">
    <w:name w:val="Заголовок 6 Знак"/>
    <w:basedOn w:val="1448"/>
    <w:link w:val="14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1457" w:customStyle="1">
    <w:name w:val="Заголовок 7 Знак"/>
    <w:basedOn w:val="1448"/>
    <w:link w:val="14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1458" w:customStyle="1">
    <w:name w:val="Заголовок 8 Знак"/>
    <w:basedOn w:val="1448"/>
    <w:link w:val="14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1459" w:customStyle="1">
    <w:name w:val="Заголовок 9 Знак"/>
    <w:basedOn w:val="1448"/>
    <w:link w:val="144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1460">
    <w:name w:val="List Paragraph"/>
    <w:basedOn w:val="1438"/>
    <w:uiPriority w:val="34"/>
    <w:qFormat/>
    <w:pPr>
      <w:contextualSpacing/>
      <w:ind w:left="720"/>
    </w:pPr>
  </w:style>
  <w:style w:type="paragraph" w:styleId="1461">
    <w:name w:val="No Spacing"/>
    <w:uiPriority w:val="1"/>
    <w:qFormat/>
    <w:pPr>
      <w:spacing w:after="0" w:line="240" w:lineRule="auto"/>
    </w:pPr>
  </w:style>
  <w:style w:type="paragraph" w:styleId="1462">
    <w:name w:val="Title"/>
    <w:basedOn w:val="1438"/>
    <w:next w:val="1438"/>
    <w:link w:val="1463"/>
    <w:uiPriority w:val="10"/>
    <w:qFormat/>
    <w:pPr>
      <w:contextualSpacing/>
      <w:spacing w:before="300"/>
    </w:pPr>
    <w:rPr>
      <w:sz w:val="48"/>
      <w:szCs w:val="48"/>
    </w:rPr>
  </w:style>
  <w:style w:type="character" w:styleId="1463" w:customStyle="1">
    <w:name w:val="Заголовок Знак"/>
    <w:basedOn w:val="1448"/>
    <w:link w:val="1462"/>
    <w:uiPriority w:val="10"/>
    <w:rPr>
      <w:sz w:val="48"/>
      <w:szCs w:val="48"/>
    </w:rPr>
  </w:style>
  <w:style w:type="paragraph" w:styleId="1464">
    <w:name w:val="Subtitle"/>
    <w:basedOn w:val="1438"/>
    <w:next w:val="1438"/>
    <w:link w:val="1465"/>
    <w:uiPriority w:val="11"/>
    <w:qFormat/>
    <w:pPr>
      <w:spacing w:before="200"/>
    </w:pPr>
    <w:rPr>
      <w:sz w:val="24"/>
      <w:szCs w:val="24"/>
    </w:rPr>
  </w:style>
  <w:style w:type="character" w:styleId="1465" w:customStyle="1">
    <w:name w:val="Подзаголовок Знак"/>
    <w:basedOn w:val="1448"/>
    <w:link w:val="1464"/>
    <w:uiPriority w:val="11"/>
    <w:rPr>
      <w:sz w:val="24"/>
      <w:szCs w:val="24"/>
    </w:rPr>
  </w:style>
  <w:style w:type="paragraph" w:styleId="1466">
    <w:name w:val="Quote"/>
    <w:basedOn w:val="1438"/>
    <w:next w:val="1438"/>
    <w:link w:val="1467"/>
    <w:uiPriority w:val="29"/>
    <w:qFormat/>
    <w:pPr>
      <w:ind w:left="720" w:right="720"/>
    </w:pPr>
    <w:rPr>
      <w:i/>
    </w:rPr>
  </w:style>
  <w:style w:type="character" w:styleId="1467" w:customStyle="1">
    <w:name w:val="Цитата 2 Знак"/>
    <w:link w:val="1466"/>
    <w:uiPriority w:val="29"/>
    <w:rPr>
      <w:i/>
    </w:rPr>
  </w:style>
  <w:style w:type="paragraph" w:styleId="1468">
    <w:name w:val="Intense Quote"/>
    <w:basedOn w:val="1438"/>
    <w:next w:val="1438"/>
    <w:link w:val="14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69" w:customStyle="1">
    <w:name w:val="Выделенная цитата Знак"/>
    <w:link w:val="1468"/>
    <w:uiPriority w:val="30"/>
    <w:rPr>
      <w:i/>
    </w:rPr>
  </w:style>
  <w:style w:type="paragraph" w:styleId="1470">
    <w:name w:val="Header"/>
    <w:basedOn w:val="1438"/>
    <w:link w:val="14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1" w:customStyle="1">
    <w:name w:val="Верхний колонтитул Знак"/>
    <w:basedOn w:val="1448"/>
    <w:link w:val="1470"/>
    <w:uiPriority w:val="99"/>
  </w:style>
  <w:style w:type="paragraph" w:styleId="1472">
    <w:name w:val="Footer"/>
    <w:basedOn w:val="1438"/>
    <w:link w:val="14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3" w:customStyle="1">
    <w:name w:val="Нижний колонтитул Знак"/>
    <w:basedOn w:val="1448"/>
    <w:link w:val="1472"/>
    <w:uiPriority w:val="99"/>
  </w:style>
  <w:style w:type="paragraph" w:styleId="1474">
    <w:name w:val="Caption"/>
    <w:basedOn w:val="1438"/>
    <w:next w:val="1438"/>
    <w:link w:val="1475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styleId="1475" w:customStyle="1">
    <w:name w:val="Название объекта Знак"/>
    <w:basedOn w:val="1448"/>
    <w:link w:val="1474"/>
    <w:uiPriority w:val="35"/>
    <w:rPr>
      <w:b/>
      <w:bCs/>
      <w:color w:val="156082" w:themeColor="accent1"/>
      <w:sz w:val="18"/>
      <w:szCs w:val="18"/>
    </w:rPr>
  </w:style>
  <w:style w:type="table" w:styleId="1476">
    <w:name w:val="Table Grid"/>
    <w:basedOn w:val="14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7" w:customStyle="1">
    <w:name w:val="Table Grid Light"/>
    <w:basedOn w:val="14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78">
    <w:name w:val="Plain Table 1"/>
    <w:basedOn w:val="14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1479">
    <w:name w:val="Plain Table 2"/>
    <w:basedOn w:val="14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1480">
    <w:name w:val="Plain Table 3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81">
    <w:name w:val="Plain Table 4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2">
    <w:name w:val="Plain Table 5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83">
    <w:name w:val="Grid Table 1 Light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4" w:customStyle="1">
    <w:name w:val="Grid Table 1 Light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 w:customStyle="1">
    <w:name w:val="Grid Table 1 Light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 w:customStyle="1">
    <w:name w:val="Grid Table 1 Light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 w:customStyle="1">
    <w:name w:val="Grid Table 1 Light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 w:customStyle="1">
    <w:name w:val="Grid Table 1 Light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 w:customStyle="1">
    <w:name w:val="Grid Table 1 Light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Grid Table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Grid Table 2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Grid Table 2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Grid Table 2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Grid Table 2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Grid Table 2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Grid Table 2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Grid Table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Grid Table 3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Grid Table 3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Grid Table 3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Grid Table 3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Grid Table 3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Grid Table 3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Grid Table 4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05" w:customStyle="1">
    <w:name w:val="Grid Table 4 - Accent 1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1506" w:customStyle="1">
    <w:name w:val="Grid Table 4 - Accent 2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1507" w:customStyle="1">
    <w:name w:val="Grid Table 4 - Accent 3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1508" w:customStyle="1">
    <w:name w:val="Grid Table 4 - Accent 4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1509" w:customStyle="1">
    <w:name w:val="Grid Table 4 - Accent 5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1510" w:customStyle="1">
    <w:name w:val="Grid Table 4 - Accent 6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1511">
    <w:name w:val="Grid Table 5 Dark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12" w:customStyle="1">
    <w:name w:val="Grid Table 5 Dark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1513" w:customStyle="1">
    <w:name w:val="Grid Table 5 Dark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1514" w:customStyle="1">
    <w:name w:val="Grid Table 5 Dark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1515" w:customStyle="1">
    <w:name w:val="Grid Table 5 Dark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1516" w:customStyle="1">
    <w:name w:val="Grid Table 5 Dark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1517" w:customStyle="1">
    <w:name w:val="Grid Table 5 Dark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1518">
    <w:name w:val="Grid Table 6 Colorful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19" w:customStyle="1">
    <w:name w:val="Grid Table 6 Colorful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Liberation Sans" w:hAnsi="Liberation Sans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1520" w:customStyle="1">
    <w:name w:val="Grid Table 6 Colorful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1521" w:customStyle="1">
    <w:name w:val="Grid Table 6 Colorful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Liberation Sans" w:hAnsi="Liberation Sans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1522" w:customStyle="1">
    <w:name w:val="Grid Table 6 Colorful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1523" w:customStyle="1">
    <w:name w:val="Grid Table 6 Colorful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Liberation Sans" w:hAnsi="Liberation Sans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1524" w:customStyle="1">
    <w:name w:val="Grid Table 6 Colorful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Liberation Sans" w:hAnsi="Liberation Sans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1525">
    <w:name w:val="Grid Table 7 Colorful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 w:customStyle="1">
    <w:name w:val="Grid Table 7 Colorful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Liberation Sans" w:hAnsi="Liberation Sans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 w:customStyle="1">
    <w:name w:val="Grid Table 7 Colorful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 w:customStyle="1">
    <w:name w:val="Grid Table 7 Colorful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Liberation Sans" w:hAnsi="Liberation Sans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Grid Table 7 Colorful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Grid Table 7 Colorful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Liberation Sans" w:hAnsi="Liberation Sans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  <w:tblStylePr w:type="firstCol">
      <w:rPr>
        <w:rFonts w:ascii="Liberation Sans" w:hAnsi="Liberation Sans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Grid Table 7 Colorful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Liberation Sans" w:hAnsi="Liberation Sans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  <w:tblStylePr w:type="firstCol">
      <w:rPr>
        <w:rFonts w:ascii="Liberation Sans" w:hAnsi="Liberation Sans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>
    <w:name w:val="List Table 1 Light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List Table 1 Light - Accent 1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List Table 1 Light - Accent 2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List Table 1 Light - Accent 3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List Table 1 Light - Accent 4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 w:customStyle="1">
    <w:name w:val="List Table 1 Light - Accent 5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 w:customStyle="1">
    <w:name w:val="List Table 1 Light - Accent 6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>
    <w:name w:val="List Table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40" w:customStyle="1">
    <w:name w:val="List Table 2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1541" w:customStyle="1">
    <w:name w:val="List Table 2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1542" w:customStyle="1">
    <w:name w:val="List Table 2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1543" w:customStyle="1">
    <w:name w:val="List Table 2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1544" w:customStyle="1">
    <w:name w:val="List Table 2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1545" w:customStyle="1">
    <w:name w:val="List Table 2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1546">
    <w:name w:val="List Table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7" w:customStyle="1">
    <w:name w:val="List Table 3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8" w:customStyle="1">
    <w:name w:val="List Table 3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9" w:customStyle="1">
    <w:name w:val="List Table 3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 w:customStyle="1">
    <w:name w:val="List Table 3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1" w:customStyle="1">
    <w:name w:val="List Table 3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2" w:customStyle="1">
    <w:name w:val="List Table 3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3">
    <w:name w:val="List Table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4" w:customStyle="1">
    <w:name w:val="List Table 4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5" w:customStyle="1">
    <w:name w:val="List Table 4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6" w:customStyle="1">
    <w:name w:val="List Table 4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7" w:customStyle="1">
    <w:name w:val="List Table 4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8" w:customStyle="1">
    <w:name w:val="List Table 4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9" w:customStyle="1">
    <w:name w:val="List Table 4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0">
    <w:name w:val="List Table 5 Dark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1" w:customStyle="1">
    <w:name w:val="List Table 5 Dark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2" w:customStyle="1">
    <w:name w:val="List Table 5 Dark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3" w:customStyle="1">
    <w:name w:val="List Table 5 Dark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4" w:customStyle="1">
    <w:name w:val="List Table 5 Dark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5" w:customStyle="1">
    <w:name w:val="List Table 5 Dark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6" w:customStyle="1">
    <w:name w:val="List Table 5 Dark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7">
    <w:name w:val="List Table 6 Colorful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68" w:customStyle="1">
    <w:name w:val="List Table 6 Colorful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Liberation Sans" w:hAnsi="Liberation Sans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1569" w:customStyle="1">
    <w:name w:val="List Table 6 Colorful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1570" w:customStyle="1">
    <w:name w:val="List Table 6 Colorful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Liberation Sans" w:hAnsi="Liberation Sans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1571" w:customStyle="1">
    <w:name w:val="List Table 6 Colorful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1572" w:customStyle="1">
    <w:name w:val="List Table 6 Colorful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Liberation Sans" w:hAnsi="Liberation Sans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1573" w:customStyle="1">
    <w:name w:val="List Table 6 Colorful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Liberation Sans" w:hAnsi="Liberation Sans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1574">
    <w:name w:val="List Table 7 Colorful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5" w:customStyle="1">
    <w:name w:val="List Table 7 Colorful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Liberation Sans" w:hAnsi="Liberation Sans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  <w:tblStylePr w:type="firstCol">
      <w:rPr>
        <w:rFonts w:ascii="Liberation Sans" w:hAnsi="Liberation Sans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Liberation Sans" w:hAnsi="Liberation Sans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6" w:customStyle="1">
    <w:name w:val="List Table 7 Colorful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7" w:customStyle="1">
    <w:name w:val="List Table 7 Colorful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Liberation Sans" w:hAnsi="Liberation Sans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8" w:customStyle="1">
    <w:name w:val="List Table 7 Colorful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9" w:customStyle="1">
    <w:name w:val="List Table 7 Colorful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Liberation Sans" w:hAnsi="Liberation Sans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0" w:customStyle="1">
    <w:name w:val="List Table 7 Colorful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Liberation Sans" w:hAnsi="Liberation Sans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1" w:customStyle="1">
    <w:name w:val="Lined - Accent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82" w:customStyle="1">
    <w:name w:val="Lined - Accent 1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1583" w:customStyle="1">
    <w:name w:val="Lined - Accent 2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1584" w:customStyle="1">
    <w:name w:val="Lined - Accent 3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1585" w:customStyle="1">
    <w:name w:val="Lined - Accent 4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1586" w:customStyle="1">
    <w:name w:val="Lined - Accent 5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1587" w:customStyle="1">
    <w:name w:val="Lined - Accent 6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1588" w:customStyle="1">
    <w:name w:val="Bordered &amp; Lined - Accent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89" w:customStyle="1">
    <w:name w:val="Bordered &amp; Lined - Accent 1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1590" w:customStyle="1">
    <w:name w:val="Bordered &amp; Lined - Accent 2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1591" w:customStyle="1">
    <w:name w:val="Bordered &amp; Lined - Accent 3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1592" w:customStyle="1">
    <w:name w:val="Bordered &amp; Lined - Accent 4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1593" w:customStyle="1">
    <w:name w:val="Bordered &amp; Lined - Accent 5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1594" w:customStyle="1">
    <w:name w:val="Bordered &amp; Lined - Accent 6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1595" w:customStyle="1">
    <w:name w:val="Bordered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96" w:customStyle="1">
    <w:name w:val="Bordered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1597" w:customStyle="1">
    <w:name w:val="Bordered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1598" w:customStyle="1">
    <w:name w:val="Bordered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1599" w:customStyle="1">
    <w:name w:val="Bordered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1600" w:customStyle="1">
    <w:name w:val="Bordered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1601" w:customStyle="1">
    <w:name w:val="Bordered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1602">
    <w:name w:val="Hyperlink"/>
    <w:uiPriority w:val="99"/>
    <w:unhideWhenUsed/>
    <w:rPr>
      <w:color w:val="467886" w:themeColor="hyperlink"/>
      <w:u w:val="single"/>
    </w:rPr>
  </w:style>
  <w:style w:type="paragraph" w:styleId="1603">
    <w:name w:val="footnote text"/>
    <w:basedOn w:val="1438"/>
    <w:link w:val="1604"/>
    <w:uiPriority w:val="99"/>
    <w:semiHidden/>
    <w:unhideWhenUsed/>
    <w:pPr>
      <w:spacing w:after="40" w:line="240" w:lineRule="auto"/>
    </w:pPr>
    <w:rPr>
      <w:sz w:val="18"/>
    </w:rPr>
  </w:style>
  <w:style w:type="character" w:styleId="1604" w:customStyle="1">
    <w:name w:val="Текст сноски Знак"/>
    <w:link w:val="1603"/>
    <w:uiPriority w:val="99"/>
    <w:rPr>
      <w:sz w:val="18"/>
    </w:rPr>
  </w:style>
  <w:style w:type="character" w:styleId="1605">
    <w:name w:val="footnote reference"/>
    <w:basedOn w:val="1448"/>
    <w:uiPriority w:val="99"/>
    <w:unhideWhenUsed/>
    <w:rPr>
      <w:vertAlign w:val="superscript"/>
    </w:rPr>
  </w:style>
  <w:style w:type="paragraph" w:styleId="1606">
    <w:name w:val="endnote text"/>
    <w:basedOn w:val="1438"/>
    <w:link w:val="1607"/>
    <w:uiPriority w:val="99"/>
    <w:semiHidden/>
    <w:unhideWhenUsed/>
    <w:pPr>
      <w:spacing w:after="0" w:line="240" w:lineRule="auto"/>
    </w:pPr>
    <w:rPr>
      <w:sz w:val="20"/>
    </w:rPr>
  </w:style>
  <w:style w:type="character" w:styleId="1607" w:customStyle="1">
    <w:name w:val="Текст концевой сноски Знак"/>
    <w:link w:val="1606"/>
    <w:uiPriority w:val="99"/>
    <w:rPr>
      <w:sz w:val="20"/>
    </w:rPr>
  </w:style>
  <w:style w:type="character" w:styleId="1608">
    <w:name w:val="endnote reference"/>
    <w:basedOn w:val="1448"/>
    <w:uiPriority w:val="99"/>
    <w:semiHidden/>
    <w:unhideWhenUsed/>
    <w:rPr>
      <w:vertAlign w:val="superscript"/>
    </w:rPr>
  </w:style>
  <w:style w:type="paragraph" w:styleId="1609">
    <w:name w:val="toc 1"/>
    <w:basedOn w:val="1438"/>
    <w:next w:val="1438"/>
    <w:uiPriority w:val="39"/>
    <w:unhideWhenUsed/>
    <w:pPr>
      <w:spacing w:after="57"/>
    </w:pPr>
  </w:style>
  <w:style w:type="paragraph" w:styleId="1610">
    <w:name w:val="toc 2"/>
    <w:basedOn w:val="1438"/>
    <w:next w:val="1438"/>
    <w:uiPriority w:val="39"/>
    <w:unhideWhenUsed/>
    <w:pPr>
      <w:ind w:left="283"/>
      <w:spacing w:after="57"/>
    </w:pPr>
  </w:style>
  <w:style w:type="paragraph" w:styleId="1611">
    <w:name w:val="toc 3"/>
    <w:basedOn w:val="1438"/>
    <w:next w:val="1438"/>
    <w:uiPriority w:val="39"/>
    <w:unhideWhenUsed/>
    <w:pPr>
      <w:ind w:left="567"/>
      <w:spacing w:after="57"/>
    </w:pPr>
  </w:style>
  <w:style w:type="paragraph" w:styleId="1612">
    <w:name w:val="toc 4"/>
    <w:basedOn w:val="1438"/>
    <w:next w:val="1438"/>
    <w:uiPriority w:val="39"/>
    <w:unhideWhenUsed/>
    <w:pPr>
      <w:ind w:left="850"/>
      <w:spacing w:after="57"/>
    </w:pPr>
  </w:style>
  <w:style w:type="paragraph" w:styleId="1613">
    <w:name w:val="toc 5"/>
    <w:basedOn w:val="1438"/>
    <w:next w:val="1438"/>
    <w:uiPriority w:val="39"/>
    <w:unhideWhenUsed/>
    <w:pPr>
      <w:ind w:left="1134"/>
      <w:spacing w:after="57"/>
    </w:pPr>
  </w:style>
  <w:style w:type="paragraph" w:styleId="1614">
    <w:name w:val="toc 6"/>
    <w:basedOn w:val="1438"/>
    <w:next w:val="1438"/>
    <w:uiPriority w:val="39"/>
    <w:unhideWhenUsed/>
    <w:pPr>
      <w:ind w:left="1417"/>
      <w:spacing w:after="57"/>
    </w:pPr>
  </w:style>
  <w:style w:type="paragraph" w:styleId="1615">
    <w:name w:val="toc 7"/>
    <w:basedOn w:val="1438"/>
    <w:next w:val="1438"/>
    <w:uiPriority w:val="39"/>
    <w:unhideWhenUsed/>
    <w:pPr>
      <w:ind w:left="1701"/>
      <w:spacing w:after="57"/>
    </w:pPr>
  </w:style>
  <w:style w:type="paragraph" w:styleId="1616">
    <w:name w:val="toc 8"/>
    <w:basedOn w:val="1438"/>
    <w:next w:val="1438"/>
    <w:uiPriority w:val="39"/>
    <w:unhideWhenUsed/>
    <w:pPr>
      <w:ind w:left="1984"/>
      <w:spacing w:after="57"/>
    </w:pPr>
  </w:style>
  <w:style w:type="paragraph" w:styleId="1617">
    <w:name w:val="toc 9"/>
    <w:basedOn w:val="1438"/>
    <w:next w:val="1438"/>
    <w:uiPriority w:val="39"/>
    <w:unhideWhenUsed/>
    <w:pPr>
      <w:ind w:left="2268"/>
      <w:spacing w:after="57"/>
    </w:pPr>
  </w:style>
  <w:style w:type="paragraph" w:styleId="1618">
    <w:name w:val="TOC Heading"/>
    <w:uiPriority w:val="39"/>
    <w:unhideWhenUsed/>
  </w:style>
  <w:style w:type="paragraph" w:styleId="1619">
    <w:name w:val="table of figures"/>
    <w:basedOn w:val="1438"/>
    <w:next w:val="1438"/>
    <w:uiPriority w:val="99"/>
    <w:unhideWhenUsed/>
    <w:pPr>
      <w:spacing w:after="0"/>
    </w:pPr>
  </w:style>
  <w:style w:type="character" w:styleId="1620">
    <w:name w:val="Placeholder Text"/>
    <w:basedOn w:val="1448"/>
    <w:uiPriority w:val="99"/>
    <w:semiHidden/>
    <w:qFormat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_____________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Управление Федеральной службы государственной регистрации, кадастра и картографии по Костромской области</Company>
  <DocSecurity>0</DocSecurity>
  <HyperlinksChanged>false</HyperlinksChanged>
  <LinksUpToDate>false</LinksUpToDate>
  <Manager>Шарова О.В.</Manager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управления</dc:title>
  <dc:subject>210</dc:subject>
  <dc:creator>Дегтяренко Анна Валерьевна</dc:creator>
  <dc:language>ru-RU</dc:language>
  <cp:lastModifiedBy>gerasimova_el</cp:lastModifiedBy>
  <cp:revision>6</cp:revision>
  <dcterms:created xsi:type="dcterms:W3CDTF">2026-06-24T07:58:00Z</dcterms:created>
  <dcterms:modified xsi:type="dcterms:W3CDTF">2026-06-25T06:12:01Z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