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23C99" w:rsidRPr="000B23F6">
        <w:rPr>
          <w:bCs/>
        </w:rPr>
        <w:t>ий</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F85E47" w:rsidRPr="00F85E47">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A234F4">
        <w:rPr>
          <w:b/>
        </w:rPr>
        <w:t>планшета и перчаток для нужд лаборатории липопротеинов им акад А.Н. Климова</w:t>
      </w:r>
      <w:r w:rsidR="00024BF9" w:rsidRPr="00024BF9">
        <w:rPr>
          <w:b/>
        </w:rPr>
        <w:t xml:space="preserve"> ФГБНУ "ИЭМ"</w:t>
      </w:r>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lastRenderedPageBreak/>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A234F4">
        <w:rPr>
          <w:b/>
        </w:rPr>
        <w:t xml:space="preserve">литера Б, лаборатория </w:t>
      </w:r>
      <w:r w:rsidR="00A234F4" w:rsidRPr="00A234F4">
        <w:rPr>
          <w:b/>
        </w:rPr>
        <w:t>липопротеинов им акад</w:t>
      </w:r>
      <w:r w:rsidR="00A234F4">
        <w:rPr>
          <w:b/>
        </w:rPr>
        <w:t>.</w:t>
      </w:r>
      <w:r w:rsidR="00A234F4" w:rsidRPr="00A234F4">
        <w:rPr>
          <w:b/>
        </w:rPr>
        <w:t xml:space="preserve"> А.Н. Климова ФГБНУ "ИЭМ"</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A234F4">
        <w:t xml:space="preserve">единовременно, в течение </w:t>
      </w:r>
      <w:r w:rsidR="002966CC">
        <w:t>120</w:t>
      </w:r>
      <w:r w:rsidR="00A234F4">
        <w:t xml:space="preserve"> (</w:t>
      </w:r>
      <w:r w:rsidR="002966CC">
        <w:t>ста двадцати</w:t>
      </w:r>
      <w:r w:rsidR="00A234F4">
        <w:t>) календарных дней, с даты заключения Контракта.</w:t>
      </w:r>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 xml:space="preserve">Поставка осуществляется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0" w:name="P145"/>
      <w:bookmarkEnd w:id="0"/>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1" w:name="P156"/>
      <w:bookmarkEnd w:id="1"/>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2966CC">
        <w:rPr>
          <w:b/>
        </w:rPr>
        <w:t>1</w:t>
      </w:r>
      <w:r w:rsidR="00A234F4">
        <w:rPr>
          <w:b/>
        </w:rPr>
        <w:t>2</w:t>
      </w:r>
      <w:r w:rsidR="00D83B4F">
        <w:rPr>
          <w:b/>
        </w:rPr>
        <w:t>0</w:t>
      </w:r>
      <w:r w:rsidR="002658AE" w:rsidRPr="000B23F6">
        <w:rPr>
          <w:b/>
        </w:rPr>
        <w:t xml:space="preserve"> (</w:t>
      </w:r>
      <w:r w:rsidR="002966CC">
        <w:rPr>
          <w:b/>
        </w:rPr>
        <w:t xml:space="preserve">ста </w:t>
      </w:r>
      <w:r w:rsidR="00A234F4">
        <w:rPr>
          <w:b/>
        </w:rPr>
        <w:t>двадцати</w:t>
      </w:r>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2"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2966CC" w:rsidTr="008E056B">
        <w:tc>
          <w:tcPr>
            <w:tcW w:w="4819" w:type="dxa"/>
            <w:tcBorders>
              <w:top w:val="single" w:sz="4" w:space="0" w:color="auto"/>
              <w:left w:val="single" w:sz="4" w:space="0" w:color="auto"/>
              <w:bottom w:val="single" w:sz="4" w:space="0" w:color="auto"/>
              <w:right w:val="single" w:sz="4" w:space="0" w:color="auto"/>
            </w:tcBorders>
          </w:tcPr>
          <w:p w:rsidR="002966CC" w:rsidRDefault="002966CC" w:rsidP="002966CC">
            <w:pPr>
              <w:widowControl w:val="0"/>
              <w:autoSpaceDE w:val="0"/>
              <w:autoSpaceDN w:val="0"/>
              <w:jc w:val="both"/>
            </w:pPr>
            <w:r>
              <w:t>Федеральное государственное бюджетное научное учреждение «Институт экспериментальной медицины» (ФГБНУ «ИЭМ»)</w:t>
            </w:r>
          </w:p>
          <w:p w:rsidR="002966CC" w:rsidRDefault="002966CC" w:rsidP="002966CC">
            <w:pPr>
              <w:widowControl w:val="0"/>
              <w:autoSpaceDE w:val="0"/>
              <w:autoSpaceDN w:val="0"/>
              <w:jc w:val="both"/>
            </w:pPr>
            <w:r>
              <w:t>197022, г. Санкт-Петербург, ул. Академика Павлова, д. 12, лит. Д.</w:t>
            </w:r>
          </w:p>
          <w:p w:rsidR="002966CC" w:rsidRDefault="002966CC" w:rsidP="002966CC">
            <w:pPr>
              <w:widowControl w:val="0"/>
              <w:autoSpaceDE w:val="0"/>
              <w:autoSpaceDN w:val="0"/>
              <w:jc w:val="both"/>
            </w:pPr>
            <w:r>
              <w:t>ИНН 7813045787 / КПП 781301001</w:t>
            </w:r>
          </w:p>
          <w:p w:rsidR="002966CC" w:rsidRDefault="002966CC" w:rsidP="002966CC">
            <w:pPr>
              <w:widowControl w:val="0"/>
              <w:autoSpaceDE w:val="0"/>
              <w:autoSpaceDN w:val="0"/>
              <w:jc w:val="both"/>
            </w:pPr>
            <w:r>
              <w:t>ОГРН 1037828000198 / ОКПО 01897179</w:t>
            </w:r>
          </w:p>
          <w:p w:rsidR="002966CC" w:rsidRDefault="002966CC" w:rsidP="002966CC">
            <w:pPr>
              <w:widowControl w:val="0"/>
              <w:autoSpaceDE w:val="0"/>
              <w:autoSpaceDN w:val="0"/>
              <w:jc w:val="both"/>
            </w:pPr>
            <w:r>
              <w:t>Банковские реквизиты:</w:t>
            </w:r>
          </w:p>
          <w:p w:rsidR="002966CC" w:rsidRDefault="002966CC" w:rsidP="002966CC">
            <w:pPr>
              <w:widowControl w:val="0"/>
              <w:autoSpaceDE w:val="0"/>
              <w:autoSpaceDN w:val="0"/>
              <w:jc w:val="both"/>
            </w:pPr>
            <w:r>
              <w:t>Наименование: УФК по Нижегородской области (ФГБНУ «ИЭМ», л/сч 20726У97220, 22726У97220, 21726У97220)</w:t>
            </w:r>
          </w:p>
          <w:p w:rsidR="002966CC" w:rsidRDefault="002966CC" w:rsidP="002966CC">
            <w:pPr>
              <w:widowControl w:val="0"/>
              <w:autoSpaceDE w:val="0"/>
              <w:autoSpaceDN w:val="0"/>
              <w:jc w:val="both"/>
            </w:pPr>
            <w:r>
              <w:t>Казначейский счет: 03214643000000013225</w:t>
            </w:r>
          </w:p>
          <w:p w:rsidR="002966CC" w:rsidRDefault="002966CC" w:rsidP="002966CC">
            <w:pPr>
              <w:widowControl w:val="0"/>
              <w:autoSpaceDE w:val="0"/>
              <w:autoSpaceDN w:val="0"/>
              <w:jc w:val="both"/>
            </w:pPr>
            <w:r>
              <w:lastRenderedPageBreak/>
              <w:t>Банковский счет: 40102810745370000024</w:t>
            </w:r>
          </w:p>
          <w:p w:rsidR="002966CC" w:rsidRDefault="002966CC" w:rsidP="002966CC">
            <w:pPr>
              <w:widowControl w:val="0"/>
              <w:autoSpaceDE w:val="0"/>
              <w:autoSpaceDN w:val="0"/>
              <w:jc w:val="both"/>
            </w:pPr>
            <w:r>
              <w:t>БИК 012202102</w:t>
            </w:r>
          </w:p>
          <w:p w:rsidR="002966CC" w:rsidRDefault="002966CC" w:rsidP="002966CC">
            <w:pPr>
              <w:widowControl w:val="0"/>
              <w:autoSpaceDE w:val="0"/>
              <w:autoSpaceDN w:val="0"/>
              <w:jc w:val="both"/>
            </w:pPr>
            <w:r>
              <w:t>Наименование банка: ОКЦ № 1 ВВГУ Банка России // УФК по Нижегородской области, г Нижний Новгород</w:t>
            </w:r>
          </w:p>
          <w:p w:rsidR="002966CC" w:rsidRDefault="002966CC" w:rsidP="002966CC">
            <w:pPr>
              <w:widowControl w:val="0"/>
              <w:autoSpaceDE w:val="0"/>
              <w:autoSpaceDN w:val="0"/>
              <w:jc w:val="both"/>
            </w:pPr>
            <w:r>
              <w:t>Код ТОФК 3200</w:t>
            </w:r>
          </w:p>
          <w:p w:rsidR="002966CC" w:rsidRDefault="002966CC" w:rsidP="002966CC">
            <w:pPr>
              <w:widowControl w:val="0"/>
              <w:autoSpaceDE w:val="0"/>
              <w:autoSpaceDN w:val="0"/>
              <w:jc w:val="both"/>
            </w:pPr>
            <w:r>
              <w:t>ОКТМО 40392000</w:t>
            </w:r>
          </w:p>
          <w:p w:rsidR="002966CC" w:rsidRDefault="002966CC" w:rsidP="002966CC">
            <w:pPr>
              <w:widowControl w:val="0"/>
              <w:autoSpaceDE w:val="0"/>
              <w:autoSpaceDN w:val="0"/>
              <w:jc w:val="both"/>
            </w:pPr>
            <w:r>
              <w:t>ОГРН 1037828000198</w:t>
            </w:r>
          </w:p>
          <w:p w:rsidR="002966CC" w:rsidRDefault="002966CC" w:rsidP="002966CC">
            <w:pPr>
              <w:widowControl w:val="0"/>
              <w:autoSpaceDE w:val="0"/>
              <w:autoSpaceDN w:val="0"/>
              <w:jc w:val="both"/>
            </w:pPr>
            <w:r>
              <w:t>ОКПО 01897179</w:t>
            </w:r>
          </w:p>
          <w:p w:rsidR="002966CC" w:rsidRDefault="002966CC" w:rsidP="002966CC">
            <w:pPr>
              <w:widowControl w:val="0"/>
              <w:autoSpaceDE w:val="0"/>
              <w:autoSpaceDN w:val="0"/>
              <w:jc w:val="both"/>
            </w:pPr>
            <w:r>
              <w:t>Тел. (812)234-68-68</w:t>
            </w:r>
          </w:p>
          <w:p w:rsidR="002966CC" w:rsidRDefault="002966CC" w:rsidP="002966CC">
            <w:pPr>
              <w:widowControl w:val="0"/>
              <w:autoSpaceDE w:val="0"/>
              <w:autoSpaceDN w:val="0"/>
              <w:jc w:val="both"/>
            </w:pPr>
            <w:r>
              <w:t>Тел. Бухгалтерии: 8 (812) 234-9328</w:t>
            </w:r>
          </w:p>
          <w:p w:rsidR="002966CC" w:rsidRDefault="002966CC" w:rsidP="002966CC">
            <w:pPr>
              <w:widowControl w:val="0"/>
              <w:autoSpaceDE w:val="0"/>
              <w:autoSpaceDN w:val="0"/>
              <w:jc w:val="both"/>
            </w:pPr>
            <w:r>
              <w:t>Гл. бухгалтер: 8 (812) 234-6854</w:t>
            </w:r>
          </w:p>
          <w:p w:rsidR="00043663" w:rsidRPr="002966CC" w:rsidRDefault="002966CC" w:rsidP="002966CC">
            <w:pPr>
              <w:widowControl w:val="0"/>
              <w:autoSpaceDE w:val="0"/>
              <w:autoSpaceDN w:val="0"/>
              <w:jc w:val="both"/>
              <w:rPr>
                <w:lang w:val="en-US"/>
              </w:rPr>
            </w:pPr>
            <w:r w:rsidRPr="002966CC">
              <w:rPr>
                <w:lang w:val="en-US"/>
              </w:rPr>
              <w:t>E-mail iem@iemspb.ru</w:t>
            </w:r>
            <w:bookmarkStart w:id="3" w:name="_GoBack"/>
            <w:bookmarkEnd w:id="3"/>
          </w:p>
        </w:tc>
        <w:tc>
          <w:tcPr>
            <w:tcW w:w="5104" w:type="dxa"/>
            <w:tcBorders>
              <w:top w:val="single" w:sz="4" w:space="0" w:color="auto"/>
              <w:left w:val="single" w:sz="4" w:space="0" w:color="auto"/>
              <w:bottom w:val="single" w:sz="4" w:space="0" w:color="auto"/>
              <w:right w:val="single" w:sz="4" w:space="0" w:color="auto"/>
            </w:tcBorders>
          </w:tcPr>
          <w:p w:rsidR="0012512E" w:rsidRPr="002966CC" w:rsidRDefault="0012512E" w:rsidP="00E95AA1">
            <w:pPr>
              <w:widowControl w:val="0"/>
              <w:autoSpaceDE w:val="0"/>
              <w:autoSpaceDN w:val="0"/>
              <w:rPr>
                <w:lang w:val="en-US"/>
              </w:rPr>
            </w:pPr>
          </w:p>
          <w:p w:rsidR="0012512E" w:rsidRPr="002966CC"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2"/>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GaramondNarrowC">
    <w:altName w:val="Courier New"/>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altName w:val="Arial"/>
    <w:charset w:val="CC"/>
    <w:family w:val="swiss"/>
    <w:pitch w:val="default"/>
    <w:sig w:usb0="00000000" w:usb1="00000000" w:usb2="00000000" w:usb3="00000000" w:csb0="00040001" w:csb1="00000000"/>
  </w:font>
  <w:font w:name="Journal">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201EAC"/>
    <w:rsid w:val="00214BA7"/>
    <w:rsid w:val="00224158"/>
    <w:rsid w:val="0023668D"/>
    <w:rsid w:val="002467E3"/>
    <w:rsid w:val="00251016"/>
    <w:rsid w:val="002658AE"/>
    <w:rsid w:val="00273B47"/>
    <w:rsid w:val="00280AA9"/>
    <w:rsid w:val="00281074"/>
    <w:rsid w:val="002828B4"/>
    <w:rsid w:val="00286143"/>
    <w:rsid w:val="002966CC"/>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412B"/>
    <w:rsid w:val="00686B23"/>
    <w:rsid w:val="006A1C6C"/>
    <w:rsid w:val="006A768A"/>
    <w:rsid w:val="006B2E10"/>
    <w:rsid w:val="006B5680"/>
    <w:rsid w:val="006C431B"/>
    <w:rsid w:val="006C6615"/>
    <w:rsid w:val="006D021B"/>
    <w:rsid w:val="006E69B0"/>
    <w:rsid w:val="006F2287"/>
    <w:rsid w:val="00702A02"/>
    <w:rsid w:val="007052F4"/>
    <w:rsid w:val="007266D0"/>
    <w:rsid w:val="007368EF"/>
    <w:rsid w:val="00742EE2"/>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CC"/>
    <w:rsid w:val="00CC6127"/>
    <w:rsid w:val="00CD6B5E"/>
    <w:rsid w:val="00CD6D4B"/>
    <w:rsid w:val="00CF02F7"/>
    <w:rsid w:val="00CF7FBD"/>
    <w:rsid w:val="00D056DF"/>
    <w:rsid w:val="00D110B1"/>
    <w:rsid w:val="00D14012"/>
    <w:rsid w:val="00D21A83"/>
    <w:rsid w:val="00D50515"/>
    <w:rsid w:val="00D57BD4"/>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42A4F-0304-4E4F-A4D8-082E735C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3722</Words>
  <Characters>21217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11</cp:revision>
  <cp:lastPrinted>2024-05-16T07:17:00Z</cp:lastPrinted>
  <dcterms:created xsi:type="dcterms:W3CDTF">2025-09-16T11:22:00Z</dcterms:created>
  <dcterms:modified xsi:type="dcterms:W3CDTF">2026-05-28T11:46:00Z</dcterms:modified>
</cp:coreProperties>
</file>