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ackground w:color="FFFFFF">
    <v:background id="_x0000_s1025" o:bwmode="white" filled="t" fillcolor="#ffffff" v:ext="SMDATA_6_OuG8aQIAAACMAAAAAQAAAAAAAAD///8AAAAAAAAAAAAAAAAAAAAAAAAAAAAAAAAAAAAAAAAAAABkAAAAAQAAAEAAAAAAAAAAAAAAAAAAAAAAAAAAAAAAAAAAAAAAAAAAAAAAAAAAAAAAAAAAAAAAAAAAAAAAAAAAAAAAAAAAAAAAAAAAAAAAAAAAAAAAAAAAA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>
      <v:fill color2="#000000" type="solid" angle="90"/>
    </v:background>
  </w:background>
  <w:body>
    <w:p>
      <w:pPr>
        <w:pStyle w:val="para1"/>
        <w:spacing/>
        <w:contextualSpacing w:val="0"/>
        <w:jc w:val="center"/>
        <w:outlineLvl w:val="0"/>
        <w:rPr>
          <w:rFonts w:ascii="Calibri" w:hAnsi="Calibri" w:eastAsia="Proxima Nova" w:cs="Proxima Nova"/>
          <w:b/>
          <w:sz w:val="36"/>
          <w:szCs w:val="36"/>
        </w:rPr>
      </w:pPr>
      <w:r>
        <w:rPr>
          <w:rFonts w:ascii="Proxima Nova" w:hAnsi="Proxima Nova" w:eastAsia="Proxima Nova" w:cs="Proxima Nova"/>
          <w:b/>
          <w:sz w:val="36"/>
          <w:szCs w:val="36"/>
        </w:rPr>
        <w:t>Техническое задание</w:t>
      </w:r>
      <w:r>
        <w:rPr>
          <w:rFonts w:ascii="Calibri" w:hAnsi="Calibri" w:eastAsia="Proxima Nova" w:cs="Proxima Nova"/>
          <w:b/>
          <w:sz w:val="36"/>
          <w:szCs w:val="36"/>
        </w:rPr>
      </w:r>
    </w:p>
    <w:p>
      <w:pPr>
        <w:spacing w:after="120"/>
        <w:jc w:val="center"/>
        <w:tabs defTabSz="720"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Предоставление неисключительного права использования электронной Базы данных (простая неисключительная лицензия)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/>
          <w:b/>
          <w:color w:val="000000"/>
          <w:sz w:val="26"/>
        </w:rPr>
      </w:pPr>
      <w:r>
        <w:rPr>
          <w:rFonts w:ascii="Arial" w:hAnsi="Arial"/>
          <w:b/>
          <w:color w:val="000000"/>
          <w:sz w:val="26"/>
        </w:rPr>
        <w:t xml:space="preserve">                                                    ТРУ 300281848.000000442_26</w:t>
      </w:r>
    </w:p>
    <w:p>
      <w:pPr>
        <w:pStyle w:val="para1"/>
        <w:spacing/>
        <w:contextualSpacing w:val="0"/>
        <w:jc w:val="right"/>
        <w:rPr>
          <w:rFonts w:ascii="Proxima Nova" w:hAnsi="Proxima Nova" w:eastAsia="Proxima Nova" w:cs="Proxima Nova"/>
          <w:color w:val="ff0000"/>
          <w:sz w:val="28"/>
          <w:szCs w:val="28"/>
        </w:rPr>
      </w:pPr>
      <w:r>
        <w:rPr>
          <w:rFonts w:ascii="Proxima Nova" w:hAnsi="Proxima Nova" w:eastAsia="Proxima Nova" w:cs="Proxima Nova"/>
          <w:color w:val="ff0000"/>
          <w:sz w:val="28"/>
          <w:szCs w:val="28"/>
        </w:rPr>
      </w:r>
    </w:p>
    <w:tbl>
      <w:tblPr>
        <w:tblStyle w:val="TableGrid"/>
        <w:name w:val="Таблица1"/>
        <w:tabOrder w:val="0"/>
        <w:jc w:val="left"/>
        <w:tblInd w:w="0" w:type="dxa"/>
        <w:tblW w:w="10764" w:type="dxa"/>
        <w:tblLook w:val="04A0" w:firstRow="1" w:lastRow="0" w:firstColumn="1" w:lastColumn="0" w:noHBand="0" w:noVBand="1"/>
      </w:tblPr>
      <w:tblGrid>
        <w:gridCol w:w="2296"/>
        <w:gridCol w:w="8468"/>
      </w:tblGrid>
      <w:tr>
        <w:trPr>
          <w:cantSplit w:val="0"/>
          <w:trHeight w:val="0" w:hRule="auto"/>
        </w:trPr>
        <w:tc>
          <w:tcPr>
            <w:tcW w:w="2296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1. Наименование Базы данных</w:t>
            </w:r>
          </w:p>
        </w:tc>
        <w:tc>
          <w:tcPr>
            <w:tcW w:w="8468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База данных «Н</w:t>
            </w:r>
            <w:r>
              <w:rPr>
                <w:sz w:val="24"/>
                <w:szCs w:val="24"/>
              </w:rPr>
              <w:t>овая Аптека</w:t>
            </w:r>
            <w:r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 Э</w:t>
            </w:r>
            <w:r>
              <w:rPr>
                <w:bCs/>
                <w:sz w:val="24"/>
                <w:szCs w:val="24"/>
              </w:rPr>
              <w:t>лектронная версия</w:t>
            </w:r>
            <w:r>
              <w:rPr>
                <w:rFonts w:eastAsia="Proxima Nova"/>
                <w:bCs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296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2. Описание </w:t>
            </w:r>
          </w:p>
        </w:tc>
        <w:tc>
          <w:tcPr>
            <w:tcW w:w="8468" w:type="dxa"/>
            <w:tmTcPr id="1773986106" protected="0"/>
          </w:tcPr>
          <w:p>
            <w:pPr>
              <w:pStyle w:val="para1"/>
              <w:contextualSpacing w:val="0"/>
              <w:rPr>
                <w:rFonts w:cs="MetaNormalC"/>
                <w:color w:val="221e1f"/>
                <w:sz w:val="23"/>
                <w:szCs w:val="23"/>
              </w:rPr>
            </w:pPr>
            <w:r>
              <w:rPr>
                <w:bCs/>
                <w:sz w:val="24"/>
                <w:szCs w:val="24"/>
              </w:rPr>
              <w:t>База данных предназначена д</w:t>
            </w:r>
            <w:r>
              <w:rPr>
                <w:rFonts w:cs="MetaNormalC"/>
                <w:color w:val="221e1f"/>
                <w:sz w:val="23"/>
                <w:szCs w:val="23"/>
              </w:rPr>
              <w:t>ля руководителей аптечных предприятий разных форматов, фармацевтов и провизоров</w:t>
            </w:r>
            <w:r>
              <w:rPr>
                <w:rFonts w:cs="MetaNormalC"/>
                <w:color w:val="221e1f"/>
                <w:sz w:val="23"/>
                <w:szCs w:val="23"/>
              </w:rPr>
              <w:t>.</w:t>
            </w:r>
            <w:r>
              <w:rPr>
                <w:rFonts w:cs="MetaNormalC"/>
                <w:color w:val="221e1f"/>
                <w:sz w:val="23"/>
                <w:szCs w:val="23"/>
              </w:rPr>
            </w:r>
          </w:p>
          <w:p>
            <w:pPr>
              <w:pStyle w:val="para1"/>
              <w:contextualSpacing w:val="0"/>
              <w:rPr>
                <w:bCs/>
                <w:sz w:val="24"/>
                <w:szCs w:val="24"/>
              </w:rPr>
            </w:pPr>
            <w:r>
              <w:t>Помогает увеличить продажи, найти новые прибыльные идеи, управлять финансами, ассортиментом, ценовой политикой.</w:t>
            </w:r>
            <w:r>
              <w:rPr>
                <w:bCs/>
                <w:sz w:val="24"/>
                <w:szCs w:val="24"/>
              </w:rPr>
            </w:r>
          </w:p>
          <w:p>
            <w:pPr>
              <w:contextualSpacing w:val="0"/>
              <w:rPr>
                <w:sz w:val="24"/>
                <w:szCs w:val="24"/>
              </w:rPr>
            </w:pPr>
            <w:r>
              <w:rPr>
                <w:rStyle w:val="char12"/>
                <w:b w:val="0"/>
                <w:bCs w:val="0"/>
              </w:rPr>
              <w:t>В каждом номере:</w:t>
            </w:r>
            <w:r>
              <w:br w:type="textWrapping"/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опыт руководителей аптечных предприятий;</w:t>
            </w:r>
            <w:r>
              <w:rPr>
                <w:sz w:val="24"/>
                <w:szCs w:val="24"/>
              </w:rPr>
            </w:r>
          </w:p>
          <w:p>
            <w:pP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ассортиментная политика и аналитика продаж; </w:t>
            </w:r>
          </w:p>
          <w:p>
            <w:pP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обзоры современных лекарственных средств и парафармацевтической продукции; </w:t>
            </w:r>
          </w:p>
          <w:p>
            <w:pP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алгоритм выбора препаратов при заболеваниях; </w:t>
            </w:r>
          </w:p>
          <w:p>
            <w:pP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практические рекомендации для успешных продаж</w:t>
            </w:r>
          </w:p>
          <w:p>
            <w:pPr>
              <w:pStyle w:val="para1"/>
              <w:contextualSpacing w:val="0"/>
              <w:rPr>
                <w:rFonts w:eastAsia="Proxima Nova"/>
                <w:bCs/>
                <w:sz w:val="24"/>
                <w:szCs w:val="24"/>
              </w:rPr>
            </w:pPr>
            <w:r>
              <w:rPr>
                <w:rFonts w:eastAsia="Proxima Nova"/>
                <w:bCs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296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3. Количество пользователей </w:t>
            </w:r>
          </w:p>
        </w:tc>
        <w:tc>
          <w:tcPr>
            <w:tcW w:w="8468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  <w:sz w:val="24"/>
                <w:szCs w:val="24"/>
              </w:rPr>
            </w:pPr>
            <w:r/>
            <w:bookmarkStart w:id="0" w:name="ORDERUSERCNT"/>
            <w:r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/>
            <w:bookmarkEnd w:id="0"/>
            <w:r/>
            <w:r>
              <w:rPr>
                <w:rFonts w:eastAsia="Proxima Nova"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296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4. Срок права использования базы данных</w:t>
            </w:r>
          </w:p>
        </w:tc>
        <w:tc>
          <w:tcPr>
            <w:tcW w:w="8468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  <w:sz w:val="24"/>
                <w:szCs w:val="24"/>
              </w:rPr>
            </w:pPr>
            <w:r/>
            <w:bookmarkStart w:id="1" w:name="PRODUCTDURATION"/>
            <w:r/>
            <w:bookmarkStart w:id="2" w:name="_GoBack"/>
            <w:r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</w:t>
            </w:r>
            <w:r>
              <w:rPr>
                <w:rFonts w:eastAsia="Proxima Nova"/>
                <w:sz w:val="24"/>
                <w:szCs w:val="24"/>
              </w:rPr>
              <w:t xml:space="preserve"> </w:t>
            </w:r>
            <w:r/>
            <w:bookmarkEnd w:id="1"/>
            <w:r/>
            <w:bookmarkEnd w:id="2"/>
            <w:r/>
            <w:r>
              <w:rPr>
                <w:rFonts w:eastAsia="Proxima Nova"/>
                <w:sz w:val="24"/>
                <w:szCs w:val="24"/>
              </w:rPr>
              <w:t>месяцев</w:t>
            </w:r>
            <w:r>
              <w:rPr>
                <w:rFonts w:eastAsia="Proxima Nova"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296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</w:rPr>
            </w:pPr>
            <w:r>
              <w:rPr>
                <w:rFonts w:eastAsia="Proxima Nova"/>
              </w:rPr>
              <w:t>5. Состав объекта закупки</w:t>
            </w:r>
          </w:p>
        </w:tc>
        <w:tc>
          <w:tcPr>
            <w:tcW w:w="8468" w:type="dxa"/>
            <w:tmTcPr id="1773986106" protected="0"/>
          </w:tcPr>
          <w:p>
            <w:pPr>
              <w:pStyle w:val="para11"/>
              <w:numPr>
                <w:ilvl w:val="0"/>
                <w:numId w:val="7"/>
              </w:numPr>
              <w:ind w:left="720" w:hanging="3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Федеральные и региональные нормативно-правовые документы, нормативно-правовые акты</w:t>
            </w:r>
            <w:r>
              <w:rPr>
                <w:sz w:val="22"/>
                <w:szCs w:val="22"/>
              </w:rPr>
              <w:t xml:space="preserve"> (законы, постановления, распоряжения Правительства РФ, приказы Федеральных органов исполнительной власти (ФОИВ) и прочих ведомств, регламентирующие деятельность медицинских организаций</w:t>
            </w:r>
            <w:r>
              <w:rPr>
                <w:color w:val="000000"/>
                <w:sz w:val="22"/>
                <w:szCs w:val="22"/>
                <w:shd w:val="clear" w:fill="ffffff"/>
              </w:rPr>
              <w:t>;</w:t>
            </w:r>
            <w:r>
              <w:rPr>
                <w:sz w:val="22"/>
                <w:szCs w:val="22"/>
              </w:rPr>
              <w:t xml:space="preserve"> административную практику контрольных и надзорных органов </w:t>
            </w:r>
            <w:r>
              <w:rPr>
                <w:color w:val="000000"/>
                <w:sz w:val="22"/>
                <w:szCs w:val="22"/>
                <w:shd w:val="clear" w:fill="ffffff"/>
              </w:rPr>
              <w:t>(</w:t>
            </w:r>
            <w:r>
              <w:rPr>
                <w:sz w:val="22"/>
                <w:szCs w:val="22"/>
              </w:rPr>
              <w:t>прокуратуры, Минздрава, Росздравнадзора, Роскомнадзора, Роспотребнадзора, Госпожинспекции, ГИТ, Федеральный и территориальный фонды ОМС и мн.др.); проведения плановых и внеплановых проверок; судебную практику, рассмотрению исков и обжалованию результатов проверок и назначение административной ответственности медорганизации; применения мер ответственности сторон; письма и информационные сообщения федеральных органов исполнительной власти; технические регламенты, ГОСТы, СанПиНы, СП, МУ и другие нормативные документы, которыми должна руководствоваться медорганизация и ее руководители — в количестве не менее 20 млн штук.</w:t>
            </w:r>
          </w:p>
          <w:p>
            <w:pPr>
              <w:contextualSpacing w:val="0"/>
            </w:pPr>
            <w:r/>
          </w:p>
          <w:p>
            <w:pPr>
              <w:numPr>
                <w:ilvl w:val="0"/>
                <w:numId w:val="7"/>
              </w:numPr>
              <w:ind w:left="720" w:hanging="360"/>
              <w:contextualSpacing w:val="0"/>
            </w:pPr>
            <w:r>
              <w:rPr>
                <w:b/>
                <w:bCs/>
              </w:rPr>
              <w:t>Шаблоны документов</w:t>
            </w:r>
            <w:r>
              <w:t xml:space="preserve">, необходимые руководителям сестринских служб </w:t>
            </w:r>
          </w:p>
          <w:p>
            <w:pPr>
              <w:pStyle w:val="para11"/>
              <w:numPr>
                <w:ilvl w:val="0"/>
                <w:numId w:val="7"/>
              </w:numPr>
              <w:ind w:left="720" w:hanging="360"/>
              <w:contextualSpacing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Электронные версии книг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и </w:t>
            </w:r>
            <w:r>
              <w:rPr>
                <w:b/>
                <w:bCs/>
                <w:color w:val="000000"/>
                <w:sz w:val="22"/>
                <w:szCs w:val="22"/>
              </w:rPr>
              <w:t>архив электронных журналов с 2015 года</w:t>
            </w:r>
            <w:r>
              <w:rPr>
                <w:color w:val="000000"/>
                <w:sz w:val="22"/>
                <w:szCs w:val="22"/>
              </w:rPr>
              <w:t xml:space="preserve"> для руководителей сестринских служб медорганизации.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para1"/>
              <w:numPr>
                <w:ilvl w:val="0"/>
                <w:numId w:val="7"/>
              </w:numPr>
              <w:ind w:left="720" w:hanging="360"/>
              <w:contextualSpacing w:val="0"/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b/>
              </w:rPr>
            </w:pPr>
            <w:r>
              <w:rPr>
                <w:b/>
              </w:rPr>
              <w:t>ТОП-10 статей</w:t>
            </w:r>
          </w:p>
          <w:p>
            <w:pPr>
              <w:pStyle w:val="para1"/>
              <w:numPr>
                <w:ilvl w:val="0"/>
                <w:numId w:val="7"/>
              </w:numPr>
              <w:ind w:left="720" w:hanging="360"/>
              <w:contextualSpacing w:val="0"/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  <w:rPr>
                <w:color w:val="000000"/>
              </w:rPr>
            </w:pPr>
            <w:r>
              <w:rPr>
                <w:b/>
                <w:bCs/>
              </w:rPr>
              <w:t>Сервис «Горячая линия»</w:t>
            </w:r>
            <w:r>
              <w:t xml:space="preserve"> – консультации экспертов. </w:t>
            </w:r>
            <w:r>
              <w:rPr>
                <w:color w:val="000000"/>
              </w:rPr>
            </w:r>
          </w:p>
          <w:p>
            <w:pPr>
              <w:pStyle w:val="para1"/>
              <w:ind w:left="720"/>
              <w:contextualSpacing w:val="0"/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solid" w:color="FFFFFF" tmshd="1677721856, 0, 16777215"/>
            </w:pPr>
            <w:r>
              <w:rPr>
                <w:color w:val="000000"/>
              </w:rPr>
              <w:t>Ответ на вопрос Пользователя предоставляется в течение 5 рабочих дней (в промежутке с 9.00 до 18.00 по Московскому времени), следующих за днем регистрации вопроса на Сервисе либо в течение 5 рабочих дней (в промежутке с 9.00 до 18.00 по Московскому времени), следующих за днем отправки Пользователем вопроса. Если для подготовки качественного ответа требуется дополнительная информация, Эксперт свяжется с Пользователем по телефону и/или по электронной почте. В этом случае срок ответа приостанавливается до момента получения необходимых сведений от Пользователя. Услуга Сервиса считается оказанной со дня предоставления ответа Эксперта на вопрос Пользователя.</w:t>
            </w:r>
            <w:r/>
          </w:p>
          <w:p>
            <w:pPr>
              <w:pStyle w:val="para1"/>
              <w:numPr>
                <w:ilvl w:val="0"/>
                <w:numId w:val="7"/>
              </w:numPr>
              <w:ind w:left="720" w:hanging="360"/>
              <w:contextualSpacing w:val="0"/>
              <w:widowControl w:val="0"/>
              <w:rPr>
                <w:b/>
              </w:rPr>
            </w:pPr>
            <w:r>
              <w:rPr>
                <w:b/>
              </w:rPr>
              <w:t>Непрерывное образование:</w:t>
            </w:r>
          </w:p>
          <w:p>
            <w:pPr>
              <w:pStyle w:val="para1"/>
              <w:ind w:left="720"/>
              <w:widowControl w:val="0"/>
            </w:pPr>
            <w:r>
              <w:t xml:space="preserve">Программа повышения квалификации </w:t>
            </w:r>
          </w:p>
          <w:p>
            <w:pPr>
              <w:pStyle w:val="para1"/>
              <w:ind w:left="720"/>
              <w:widowControl w:val="0"/>
            </w:pPr>
            <w:r>
              <w:t>Интерактивные образовательные модули</w:t>
            </w:r>
          </w:p>
          <w:p>
            <w:pPr>
              <w:pStyle w:val="para1"/>
              <w:ind w:left="720"/>
              <w:widowControl w:val="0"/>
              <w:rPr>
                <w:bCs/>
              </w:rPr>
            </w:pPr>
            <w:r>
              <w:rPr>
                <w:bCs/>
              </w:rPr>
              <w:t xml:space="preserve">Предстоящие образовательные мероприятия </w:t>
            </w:r>
          </w:p>
          <w:p>
            <w:pPr>
              <w:pStyle w:val="para1"/>
              <w:ind w:left="720"/>
              <w:contextualSpacing w:val="0"/>
              <w:widowControl w:val="0"/>
              <w:rPr>
                <w:bCs/>
              </w:rPr>
            </w:pPr>
            <w:r>
              <w:rPr>
                <w:bCs/>
              </w:rPr>
              <w:t>Прошедшие образовательные мероприятия</w:t>
            </w:r>
          </w:p>
        </w:tc>
      </w:tr>
      <w:tr>
        <w:trPr>
          <w:cantSplit w:val="0"/>
          <w:trHeight w:val="0" w:hRule="auto"/>
        </w:trPr>
        <w:tc>
          <w:tcPr>
            <w:tcW w:w="2296" w:type="dxa"/>
            <w:tmTcPr id="1773986106" protected="0"/>
          </w:tcPr>
          <w:p>
            <w:pPr>
              <w:pStyle w:val="para1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6. Функциональные характеристики</w:t>
            </w:r>
          </w:p>
        </w:tc>
        <w:tc>
          <w:tcPr>
            <w:tcW w:w="8468" w:type="dxa"/>
            <w:tmTcPr id="1773986106" protected="0"/>
          </w:tcPr>
          <w:p>
            <w:pPr>
              <w:pStyle w:val="para20"/>
              <w:ind w:firstLine="567"/>
              <w:spacing/>
              <w:contextualSpacing/>
              <w:jc w:val="both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данных должна обновляться не позднее 5 рабочих дней после выхода журнала на бумажном носителе в печать.</w:t>
            </w:r>
          </w:p>
          <w:p>
            <w:pPr>
              <w:pStyle w:val="para20"/>
              <w:ind w:firstLine="567"/>
              <w:spacing/>
              <w:contextualSpacing/>
              <w:jc w:val="both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через информационно-телекоммуникационную сеть "Интернет" с любого компьютера, удовлетворяющего требованиям к рабочему месту.</w:t>
            </w:r>
          </w:p>
          <w:p>
            <w:pPr>
              <w:pStyle w:val="para20"/>
              <w:ind w:firstLine="567"/>
              <w:spacing/>
              <w:contextualSpacing/>
              <w:jc w:val="both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круглосуточно.</w:t>
            </w:r>
          </w:p>
          <w:p>
            <w:pPr>
              <w:pStyle w:val="para20"/>
              <w:ind w:firstLine="567"/>
              <w:spacing/>
              <w:contextualSpacing/>
              <w:jc w:val="both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проведении регламентных работ и работ по наполнению и обновлению базы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>
            <w:pPr>
              <w:pStyle w:val="para20"/>
              <w:ind w:firstLine="567"/>
              <w:spacing/>
              <w:contextualSpacing/>
              <w:jc w:val="both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 к базе данных должен быть защищен: при входе должна  требоваться авторизация учетной записи пользователя (кода активации). </w:t>
            </w:r>
          </w:p>
          <w:p>
            <w:pPr>
              <w:pStyle w:val="para20"/>
              <w:ind w:firstLine="567"/>
              <w:spacing/>
              <w:contextualSpacing/>
              <w:jc w:val="both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>
            <w:pPr>
              <w:pStyle w:val="para20"/>
              <w:ind w:firstLine="567"/>
              <w:spacing/>
              <w:contextualSpacing/>
              <w:jc w:val="both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данных должна позволять одновременную работу всех пользователей Заказчика в соответствии с количеством приобретаемых лицензий.</w:t>
            </w:r>
          </w:p>
          <w:p>
            <w:pPr>
              <w:pStyle w:val="para20"/>
              <w:ind w:firstLine="567"/>
              <w:spacing/>
              <w:contextualSpacing/>
              <w:jc w:val="both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Гарантии качества должны предоставляться на весь срок использования базы данных.</w:t>
            </w:r>
          </w:p>
        </w:tc>
      </w:tr>
    </w:tbl>
    <w:p>
      <w:pPr>
        <w:pStyle w:val="para1"/>
        <w:contextualSpacing w:val="0"/>
        <w:rPr>
          <w:rFonts w:ascii="Proxima Nova" w:hAnsi="Proxima Nova" w:eastAsia="Proxima Nova" w:cs="Proxima Nova"/>
          <w:sz w:val="28"/>
          <w:szCs w:val="28"/>
        </w:rPr>
      </w:pPr>
      <w:r>
        <w:rPr>
          <w:rFonts w:ascii="Proxima Nova" w:hAnsi="Proxima Nova" w:eastAsia="Proxima Nova" w:cs="Proxima Nova"/>
          <w:sz w:val="28"/>
          <w:szCs w:val="28"/>
        </w:rPr>
      </w:r>
    </w:p>
    <w:p>
      <w:pPr>
        <w:pStyle w:val="para1"/>
        <w:contextualSpacing w:val="0"/>
        <w:rPr>
          <w:rFonts w:ascii="Proxima Nova" w:hAnsi="Proxima Nova" w:eastAsia="Proxima Nova" w:cs="Proxima Nova"/>
          <w:sz w:val="28"/>
          <w:szCs w:val="28"/>
        </w:rPr>
      </w:pPr>
      <w:r>
        <w:rPr>
          <w:rFonts w:ascii="Proxima Nova" w:hAnsi="Proxima Nova" w:eastAsia="Proxima Nova" w:cs="Proxima Nova"/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38" w:w="11906"/>
      <w:pgMar w:left="566" w:top="566" w:right="566" w:bottom="566" w:header="0"/>
      <w:paperSrc w:first="0" w:other="0" a="0" b="0"/>
      <w:pgNumType w:fmt="decimal" w:start="1"/>
      <w:tmGutter w:val="3"/>
      <w:mirrorMargins w:val="0"/>
      <w:tmSection w:h="-2">
        <w:tmHeader w:id="0" w:h="0" edge="0" text="0">
          <w:shd w:val="none"/>
        </w:tmHeader>
        <w:tmFooter w:id="0" w:h="0" edge="72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Courier New">
    <w:charset w:val="00"/>
    <w:family w:val="modern"/>
    <w:pitch w:val="default"/>
  </w:font>
  <w:font w:name="Arial">
    <w:charset w:val="00"/>
    <w:family w:val="swiss"/>
    <w:pitch w:val="default"/>
  </w:font>
  <w:font w:name="Verdana">
    <w:charset w:val="00"/>
    <w:family w:val="swiss"/>
    <w:pitch w:val="default"/>
  </w:font>
  <w:font w:name="Arial Unicode MS">
    <w:charset w:val="00"/>
    <w:family w:val="swiss"/>
    <w:pitch w:val="default"/>
  </w:font>
  <w:font w:name="Tahoma">
    <w:charset w:val="00"/>
    <w:family w:val="swiss"/>
    <w:pitch w:val="default"/>
  </w:font>
  <w:font w:name="Calibri">
    <w:charset w:val="00"/>
    <w:family w:val="swiss"/>
    <w:pitch w:val="default"/>
  </w:font>
  <w:font w:name="Proxima Nova">
    <w:charset w:val="00"/>
    <w:family w:val="auto"/>
    <w:pitch w:val="default"/>
  </w:font>
  <w:font w:name="MetaNormalC">
    <w:charset w:val="00"/>
    <w:family w:val="modern"/>
    <w:pitch w:val="default"/>
  </w:font>
  <w:font w:name="Arial CYR">
    <w:charset w:val="cc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9"/>
    </w:pP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8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">
    <w:multiLevelType w:val="hybridMultilevel"/>
    <w:name w:val="Нумерованный список 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3">
    <w:multiLevelType w:val="hybridMultilevel"/>
    <w:name w:val="Нумерованный список 3"/>
    <w:lvl w:ilvl="0">
      <w:start w:val="1"/>
      <w:numFmt w:val="decimal"/>
      <w:suff w:val="tab"/>
      <w:lvlText w:val="%1."/>
      <w:lvlJc w:val="left"/>
      <w:pPr>
        <w:ind w:left="360" w:hanging="0"/>
      </w:pPr>
      <w:rPr>
        <w:sz w:val="22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4">
    <w:multiLevelType w:val="hybridMultilevel"/>
    <w:name w:val="Нумерованный список 4"/>
    <w:lvl w:ilvl="0">
      <w:start w:val="1"/>
      <w:numFmt w:val="decimal"/>
      <w:suff w:val="tab"/>
      <w:lvlText w:val="%1."/>
      <w:lvlJc w:val="left"/>
      <w:pPr>
        <w:ind w:left="360" w:hanging="0"/>
      </w:pPr>
      <w:rPr>
        <w:sz w:val="22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5">
    <w:multiLevelType w:val="hybridMultilevel"/>
    <w:name w:val="Нумерованный список 5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6">
    <w:multiLevelType w:val="hybridMultilevel"/>
    <w:name w:val="Нумерованный список 6"/>
    <w:lvl w:ilvl="0">
      <w:numFmt w:val="bullet"/>
      <w:suff w:val="tab"/>
      <w:lvlText w:val="-"/>
      <w:lvlJc w:val="left"/>
      <w:pPr>
        <w:ind w:left="360" w:hanging="0"/>
      </w:pPr>
      <w:rPr>
        <w:rFonts w:ascii="Symbol" w:hAnsi="Symbol"/>
        <w:color w:val="auto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7">
    <w:multiLevelType w:val="hybridMultilevel"/>
    <w:name w:val="Нумерованный список 7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8">
    <w:multiLevelType w:val="hybridMultilevel"/>
    <w:name w:val="Нумерованный список 8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9">
    <w:multiLevelType w:val="hybridMultilevel"/>
    <w:name w:val="Нумерованный список 9"/>
    <w:lvl w:ilvl="0">
      <w:start w:val="1"/>
      <w:numFmt w:val="decimal"/>
      <w:suff w:val="tab"/>
      <w:lvlText w:val="%1."/>
      <w:lvlJc w:val="left"/>
      <w:pPr>
        <w:ind w:left="709" w:hanging="0"/>
      </w:pPr>
    </w:lvl>
    <w:lvl w:ilvl="1">
      <w:start w:val="1"/>
      <w:numFmt w:val="lowerLetter"/>
      <w:suff w:val="tab"/>
      <w:lvlText w:val="%2."/>
      <w:lvlJc w:val="left"/>
      <w:pPr>
        <w:ind w:left="1429" w:hanging="0"/>
      </w:pPr>
    </w:lvl>
    <w:lvl w:ilvl="2">
      <w:start w:val="1"/>
      <w:numFmt w:val="lowerRoman"/>
      <w:suff w:val="tab"/>
      <w:lvlText w:val="%3."/>
      <w:lvlJc w:val="right"/>
      <w:pPr>
        <w:ind w:left="2329" w:hanging="0"/>
      </w:pPr>
    </w:lvl>
    <w:lvl w:ilvl="3">
      <w:start w:val="1"/>
      <w:numFmt w:val="decimal"/>
      <w:suff w:val="tab"/>
      <w:lvlText w:val="%4."/>
      <w:lvlJc w:val="left"/>
      <w:pPr>
        <w:ind w:left="2869" w:hanging="0"/>
      </w:pPr>
    </w:lvl>
    <w:lvl w:ilvl="4">
      <w:start w:val="1"/>
      <w:numFmt w:val="lowerLetter"/>
      <w:suff w:val="tab"/>
      <w:lvlText w:val="%5."/>
      <w:lvlJc w:val="left"/>
      <w:pPr>
        <w:ind w:left="3589" w:hanging="0"/>
      </w:pPr>
    </w:lvl>
    <w:lvl w:ilvl="5">
      <w:start w:val="1"/>
      <w:numFmt w:val="lowerRoman"/>
      <w:suff w:val="tab"/>
      <w:lvlText w:val="%6."/>
      <w:lvlJc w:val="right"/>
      <w:pPr>
        <w:ind w:left="4489" w:hanging="0"/>
      </w:pPr>
    </w:lvl>
    <w:lvl w:ilvl="6">
      <w:start w:val="1"/>
      <w:numFmt w:val="decimal"/>
      <w:suff w:val="tab"/>
      <w:lvlText w:val="%7."/>
      <w:lvlJc w:val="left"/>
      <w:pPr>
        <w:ind w:left="5029" w:hanging="0"/>
      </w:pPr>
    </w:lvl>
    <w:lvl w:ilvl="7">
      <w:start w:val="1"/>
      <w:numFmt w:val="lowerLetter"/>
      <w:suff w:val="tab"/>
      <w:lvlText w:val="%8."/>
      <w:lvlJc w:val="left"/>
      <w:pPr>
        <w:ind w:left="5749" w:hanging="0"/>
      </w:pPr>
    </w:lvl>
    <w:lvl w:ilvl="8">
      <w:start w:val="1"/>
      <w:numFmt w:val="lowerRoman"/>
      <w:suff w:val="tab"/>
      <w:lvlText w:val="%9."/>
      <w:lvlJc w:val="right"/>
      <w:pPr>
        <w:ind w:left="6649" w:hanging="0"/>
      </w:pPr>
    </w:lvl>
  </w:abstractNum>
  <w:abstractNum w:abstractNumId="10">
    <w:multiLevelType w:val="hybridMultilevel"/>
    <w:name w:val="Нумерованный список 10"/>
    <w:lvl w:ilvl="0">
      <w:numFmt w:val="bullet"/>
      <w:suff w:val="tab"/>
      <w:lvlText w:val="·"/>
      <w:lvlJc w:val="left"/>
      <w:pPr>
        <w:ind w:left="709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429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2149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869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589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4309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5029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749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6469" w:hanging="0"/>
      </w:pPr>
      <w:rPr>
        <w:rFonts w:ascii="Wingdings" w:hAnsi="Wingdings" w:eastAsia="Wingdings" w:cs="Wingdings"/>
      </w:rPr>
    </w:lvl>
  </w:abstractNum>
  <w:abstractNum w:abstractNumId="11">
    <w:multiLevelType w:val="hybridMultilevel"/>
    <w:name w:val="Нумерованный список 1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view w:val="print"/>
  <w:displayBackgroundShape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9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3986106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</w:rPr>
  </w:style>
  <w:style w:type="paragraph" w:styleId="para1" w:customStyle="1">
    <w:name w:val="Обычный1"/>
    <w:qFormat/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para2">
    <w:name w:val="heading 1"/>
    <w:qFormat/>
    <w:basedOn w:val="para1"/>
    <w:next w:val="para1"/>
    <w:pPr>
      <w:spacing w:before="100" w:after="100"/>
      <w:keepNext/>
      <w:outlineLvl w:val="0"/>
      <w:keepLines/>
    </w:pPr>
    <w:rPr>
      <w:b/>
      <w:sz w:val="28"/>
      <w:szCs w:val="28"/>
    </w:rPr>
  </w:style>
  <w:style w:type="paragraph" w:styleId="para3">
    <w:name w:val="heading 2"/>
    <w:qFormat/>
    <w:basedOn w:val="para1"/>
    <w:next w:val="para1"/>
    <w:pPr>
      <w:spacing w:before="240" w:after="60"/>
      <w:keepNext/>
      <w:outlineLvl w:val="1"/>
      <w:keepLines/>
    </w:pPr>
    <w:rPr>
      <w:b/>
    </w:rPr>
  </w:style>
  <w:style w:type="paragraph" w:styleId="para4">
    <w:name w:val="heading 3"/>
    <w:qFormat/>
    <w:basedOn w:val="para1"/>
    <w:next w:val="para1"/>
    <w:pPr>
      <w:spacing w:before="240" w:after="60"/>
      <w:keepNext/>
      <w:outlineLvl w:val="2"/>
      <w:keepLines/>
    </w:pPr>
    <w:rPr>
      <w:i/>
    </w:rPr>
  </w:style>
  <w:style w:type="paragraph" w:styleId="para5">
    <w:name w:val="heading 4"/>
    <w:qFormat/>
    <w:basedOn w:val="para1"/>
    <w:next w:val="para1"/>
    <w:pPr>
      <w:spacing w:before="240" w:after="60"/>
      <w:keepNext/>
      <w:outlineLvl w:val="3"/>
      <w:keepLines/>
    </w:pPr>
    <w:rPr>
      <w:b/>
      <w:sz w:val="28"/>
      <w:szCs w:val="28"/>
    </w:rPr>
  </w:style>
  <w:style w:type="paragraph" w:styleId="para6">
    <w:name w:val="heading 5"/>
    <w:qFormat/>
    <w:basedOn w:val="para1"/>
    <w:next w:val="para1"/>
    <w:pPr>
      <w:spacing w:before="240" w:after="60"/>
      <w:keepNext/>
      <w:outlineLvl w:val="4"/>
      <w:keepLines/>
    </w:pPr>
    <w:rPr>
      <w:b/>
      <w:i/>
      <w:sz w:val="26"/>
      <w:szCs w:val="26"/>
    </w:rPr>
  </w:style>
  <w:style w:type="paragraph" w:styleId="para7">
    <w:name w:val="heading 6"/>
    <w:qFormat/>
    <w:basedOn w:val="para1"/>
    <w:next w:val="para1"/>
    <w:pPr>
      <w:spacing w:before="240" w:after="60"/>
      <w:keepNext/>
      <w:outlineLvl w:val="5"/>
      <w:keepLines/>
    </w:pPr>
    <w:rPr>
      <w:b/>
    </w:rPr>
  </w:style>
  <w:style w:type="paragraph" w:styleId="para8">
    <w:name w:val="Title"/>
    <w:qFormat/>
    <w:basedOn w:val="para1"/>
    <w:next w:val="para1"/>
    <w:pPr>
      <w:spacing w:before="240" w:after="60"/>
      <w:jc w:val="center"/>
      <w:keepNext/>
      <w:keepLines/>
    </w:pPr>
    <w:rPr>
      <w:b/>
      <w:sz w:val="32"/>
      <w:szCs w:val="32"/>
    </w:rPr>
  </w:style>
  <w:style w:type="paragraph" w:styleId="para9">
    <w:name w:val="Subtitle"/>
    <w:qFormat/>
    <w:basedOn w:val="para1"/>
    <w:next w:val="para1"/>
    <w:pPr>
      <w:spacing w:after="60"/>
      <w:jc w:val="center"/>
      <w:keepNext/>
      <w:keepLines/>
    </w:pPr>
    <w:rPr>
      <w:rFonts w:ascii="Arial" w:hAnsi="Arial" w:eastAsia="Arial" w:cs="Arial"/>
    </w:rPr>
  </w:style>
  <w:style w:type="paragraph" w:styleId="para10">
    <w:name w:val="Body Text 3"/>
    <w:qFormat/>
    <w:basedOn w:val="para0"/>
    <w:pPr>
      <w:spacing w:after="120"/>
      <w:contextualSpacing w:val="0"/>
    </w:pPr>
    <w:rPr>
      <w:sz w:val="16"/>
      <w:szCs w:val="16"/>
    </w:rPr>
  </w:style>
  <w:style w:type="paragraph" w:styleId="para11">
    <w:name w:val="List Paragraph"/>
    <w:qFormat/>
    <w:basedOn w:val="para0"/>
    <w:pPr>
      <w:ind w:left="708"/>
      <w:contextualSpacing w:val="0"/>
    </w:pPr>
    <w:rPr>
      <w:sz w:val="24"/>
      <w:szCs w:val="24"/>
    </w:rPr>
  </w:style>
  <w:style w:type="paragraph" w:styleId="para12" w:customStyle="1">
    <w:name w:val="formattext"/>
    <w:qFormat/>
    <w:basedOn w:val="para0"/>
    <w:pPr>
      <w:spacing w:before="100" w:after="100" w:beforeAutospacing="1" w:afterAutospacing="1"/>
      <w:contextualSpacing w:val="0"/>
    </w:pPr>
    <w:rPr>
      <w:sz w:val="24"/>
      <w:szCs w:val="24"/>
    </w:rPr>
  </w:style>
  <w:style w:type="paragraph" w:styleId="para13">
    <w:name w:val="Normal (Web)"/>
    <w:qFormat/>
    <w:basedOn w:val="para0"/>
    <w:pPr>
      <w:spacing w:after="169"/>
      <w:contextualSpacing w:val="0"/>
      <w:jc w:val="both"/>
    </w:pPr>
    <w:rPr>
      <w:rFonts w:ascii="Verdana" w:hAnsi="Verdana" w:eastAsia="Arial Unicode MS"/>
      <w:color w:val="000000"/>
      <w:sz w:val="19"/>
      <w:szCs w:val="19"/>
    </w:rPr>
  </w:style>
  <w:style w:type="paragraph" w:styleId="para14" w:customStyle="1">
    <w:name w:val="annotation text"/>
    <w:qFormat/>
    <w:basedOn w:val="para0"/>
    <w:rPr>
      <w:sz w:val="20"/>
      <w:szCs w:val="20"/>
    </w:rPr>
  </w:style>
  <w:style w:type="paragraph" w:styleId="para15" w:customStyle="1">
    <w:name w:val="annotation subject"/>
    <w:qFormat/>
    <w:basedOn w:val="para14"/>
    <w:next w:val="para14"/>
    <w:rPr>
      <w:b/>
      <w:bCs/>
    </w:rPr>
  </w:style>
  <w:style w:type="paragraph" w:styleId="para16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17">
    <w:name w:val="No Spacing"/>
    <w:qFormat/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para18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9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20" w:customStyle="1">
    <w:name w:val="ConsPlusNormal"/>
    <w:qFormat/>
    <w:pPr>
      <w:ind w:firstLine="720"/>
      <w:contextualSpacing w:val="0"/>
      <w:widowControl w:val="0"/>
    </w:pPr>
    <w:rPr>
      <w:rFonts w:ascii="Arial" w:hAnsi="Arial" w:eastAsia="Times New Roman" w:cs="Times New Roman"/>
      <w:sz w:val="22"/>
      <w:szCs w:val="22"/>
      <w:lang w:val="ru-ru" w:eastAsia="ru-ru" w:bidi="ar-sa"/>
    </w:rPr>
  </w:style>
  <w:style w:type="paragraph" w:styleId="para21" w:customStyle="1">
    <w:name w:val="Default"/>
    <w:qFormat/>
    <w:pPr>
      <w:contextualSpacing w:val="0"/>
    </w:pPr>
    <w:rPr>
      <w:rFonts w:ascii="Calibri" w:hAnsi="Calibri" w:eastAsia="Times New Roman" w:cs="Calibri"/>
      <w:color w:val="000000"/>
      <w:sz w:val="24"/>
      <w:szCs w:val="24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Основной текст 3 Знак"/>
    <w:rPr>
      <w:sz w:val="16"/>
      <w:szCs w:val="16"/>
    </w:rPr>
  </w:style>
  <w:style w:type="character" w:styleId="char2">
    <w:name w:val="Hyperlink"/>
    <w:rPr>
      <w:color w:val="0000ff"/>
      <w:u w:color="auto" w:val="single"/>
    </w:rPr>
  </w:style>
  <w:style w:type="character" w:styleId="char3" w:customStyle="1">
    <w:name w:val="Обычный (веб) Знак"/>
    <w:rPr>
      <w:rFonts w:ascii="Verdana" w:hAnsi="Verdana" w:eastAsia="Arial Unicode MS"/>
      <w:color w:val="000000"/>
      <w:sz w:val="19"/>
      <w:szCs w:val="19"/>
    </w:rPr>
  </w:style>
  <w:style w:type="character" w:styleId="char4" w:customStyle="1">
    <w:name w:val="annotation reference"/>
    <w:rPr>
      <w:sz w:val="16"/>
      <w:szCs w:val="16"/>
    </w:rPr>
  </w:style>
  <w:style w:type="character" w:styleId="char5" w:customStyle="1">
    <w:name w:val="Текст примечания Знак"/>
  </w:style>
  <w:style w:type="character" w:styleId="char6" w:customStyle="1">
    <w:name w:val="Тема примечания Знак"/>
    <w:rPr>
      <w:b/>
      <w:bCs/>
    </w:rPr>
  </w:style>
  <w:style w:type="character" w:styleId="char7" w:customStyle="1">
    <w:name w:val="Текст выноски Знак"/>
    <w:rPr>
      <w:rFonts w:ascii="Tahoma" w:hAnsi="Tahoma" w:cs="Tahoma"/>
      <w:sz w:val="16"/>
      <w:szCs w:val="16"/>
    </w:rPr>
  </w:style>
  <w:style w:type="character" w:styleId="char8" w:customStyle="1">
    <w:name w:val="Верхний колонтитул Знак"/>
    <w:rPr>
      <w:sz w:val="22"/>
      <w:szCs w:val="22"/>
    </w:rPr>
  </w:style>
  <w:style w:type="character" w:styleId="char9" w:customStyle="1">
    <w:name w:val="Нижний колонтитул Знак"/>
    <w:rPr>
      <w:sz w:val="22"/>
      <w:szCs w:val="22"/>
    </w:rPr>
  </w:style>
  <w:style w:type="character" w:styleId="char10" w:customStyle="1">
    <w:name w:val="Font Style14"/>
    <w:rPr>
      <w:rFonts w:ascii="Times New Roman" w:hAnsi="Times New Roman" w:cs="Times New Roman"/>
      <w:color w:val="000000"/>
      <w:sz w:val="26"/>
      <w:szCs w:val="26"/>
    </w:rPr>
  </w:style>
  <w:style w:type="character" w:styleId="char11" w:customStyle="1">
    <w:name w:val="ConsPlusNormal Знак"/>
    <w:rPr>
      <w:rFonts w:ascii="Arial" w:hAnsi="Arial"/>
      <w:sz w:val="22"/>
      <w:szCs w:val="22"/>
    </w:rPr>
  </w:style>
  <w:style w:type="character" w:styleId="char12">
    <w:name w:val="Strong"/>
    <w:basedOn w:val="char0"/>
    <w:rPr>
      <w:b/>
      <w:bCs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1"/>
    <w:basedOn w:val="TableNormal"/>
    <w:pPr>
      <w:contextualSpacing/>
    </w:pPr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</w:rPr>
  </w:style>
  <w:style w:type="paragraph" w:styleId="para1" w:customStyle="1">
    <w:name w:val="Обычный1"/>
    <w:qFormat/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para2">
    <w:name w:val="heading 1"/>
    <w:qFormat/>
    <w:basedOn w:val="para1"/>
    <w:next w:val="para1"/>
    <w:pPr>
      <w:spacing w:before="100" w:after="100"/>
      <w:keepNext/>
      <w:outlineLvl w:val="0"/>
      <w:keepLines/>
    </w:pPr>
    <w:rPr>
      <w:b/>
      <w:sz w:val="28"/>
      <w:szCs w:val="28"/>
    </w:rPr>
  </w:style>
  <w:style w:type="paragraph" w:styleId="para3">
    <w:name w:val="heading 2"/>
    <w:qFormat/>
    <w:basedOn w:val="para1"/>
    <w:next w:val="para1"/>
    <w:pPr>
      <w:spacing w:before="240" w:after="60"/>
      <w:keepNext/>
      <w:outlineLvl w:val="1"/>
      <w:keepLines/>
    </w:pPr>
    <w:rPr>
      <w:b/>
    </w:rPr>
  </w:style>
  <w:style w:type="paragraph" w:styleId="para4">
    <w:name w:val="heading 3"/>
    <w:qFormat/>
    <w:basedOn w:val="para1"/>
    <w:next w:val="para1"/>
    <w:pPr>
      <w:spacing w:before="240" w:after="60"/>
      <w:keepNext/>
      <w:outlineLvl w:val="2"/>
      <w:keepLines/>
    </w:pPr>
    <w:rPr>
      <w:i/>
    </w:rPr>
  </w:style>
  <w:style w:type="paragraph" w:styleId="para5">
    <w:name w:val="heading 4"/>
    <w:qFormat/>
    <w:basedOn w:val="para1"/>
    <w:next w:val="para1"/>
    <w:pPr>
      <w:spacing w:before="240" w:after="60"/>
      <w:keepNext/>
      <w:outlineLvl w:val="3"/>
      <w:keepLines/>
    </w:pPr>
    <w:rPr>
      <w:b/>
      <w:sz w:val="28"/>
      <w:szCs w:val="28"/>
    </w:rPr>
  </w:style>
  <w:style w:type="paragraph" w:styleId="para6">
    <w:name w:val="heading 5"/>
    <w:qFormat/>
    <w:basedOn w:val="para1"/>
    <w:next w:val="para1"/>
    <w:pPr>
      <w:spacing w:before="240" w:after="60"/>
      <w:keepNext/>
      <w:outlineLvl w:val="4"/>
      <w:keepLines/>
    </w:pPr>
    <w:rPr>
      <w:b/>
      <w:i/>
      <w:sz w:val="26"/>
      <w:szCs w:val="26"/>
    </w:rPr>
  </w:style>
  <w:style w:type="paragraph" w:styleId="para7">
    <w:name w:val="heading 6"/>
    <w:qFormat/>
    <w:basedOn w:val="para1"/>
    <w:next w:val="para1"/>
    <w:pPr>
      <w:spacing w:before="240" w:after="60"/>
      <w:keepNext/>
      <w:outlineLvl w:val="5"/>
      <w:keepLines/>
    </w:pPr>
    <w:rPr>
      <w:b/>
    </w:rPr>
  </w:style>
  <w:style w:type="paragraph" w:styleId="para8">
    <w:name w:val="Title"/>
    <w:qFormat/>
    <w:basedOn w:val="para1"/>
    <w:next w:val="para1"/>
    <w:pPr>
      <w:spacing w:before="240" w:after="60"/>
      <w:jc w:val="center"/>
      <w:keepNext/>
      <w:keepLines/>
    </w:pPr>
    <w:rPr>
      <w:b/>
      <w:sz w:val="32"/>
      <w:szCs w:val="32"/>
    </w:rPr>
  </w:style>
  <w:style w:type="paragraph" w:styleId="para9">
    <w:name w:val="Subtitle"/>
    <w:qFormat/>
    <w:basedOn w:val="para1"/>
    <w:next w:val="para1"/>
    <w:pPr>
      <w:spacing w:after="60"/>
      <w:jc w:val="center"/>
      <w:keepNext/>
      <w:keepLines/>
    </w:pPr>
    <w:rPr>
      <w:rFonts w:ascii="Arial" w:hAnsi="Arial" w:eastAsia="Arial" w:cs="Arial"/>
    </w:rPr>
  </w:style>
  <w:style w:type="paragraph" w:styleId="para10">
    <w:name w:val="Body Text 3"/>
    <w:qFormat/>
    <w:basedOn w:val="para0"/>
    <w:pPr>
      <w:spacing w:after="120"/>
      <w:contextualSpacing w:val="0"/>
    </w:pPr>
    <w:rPr>
      <w:sz w:val="16"/>
      <w:szCs w:val="16"/>
    </w:rPr>
  </w:style>
  <w:style w:type="paragraph" w:styleId="para11">
    <w:name w:val="List Paragraph"/>
    <w:qFormat/>
    <w:basedOn w:val="para0"/>
    <w:pPr>
      <w:ind w:left="708"/>
      <w:contextualSpacing w:val="0"/>
    </w:pPr>
    <w:rPr>
      <w:sz w:val="24"/>
      <w:szCs w:val="24"/>
    </w:rPr>
  </w:style>
  <w:style w:type="paragraph" w:styleId="para12" w:customStyle="1">
    <w:name w:val="formattext"/>
    <w:qFormat/>
    <w:basedOn w:val="para0"/>
    <w:pPr>
      <w:spacing w:before="100" w:after="100" w:beforeAutospacing="1" w:afterAutospacing="1"/>
      <w:contextualSpacing w:val="0"/>
    </w:pPr>
    <w:rPr>
      <w:sz w:val="24"/>
      <w:szCs w:val="24"/>
    </w:rPr>
  </w:style>
  <w:style w:type="paragraph" w:styleId="para13">
    <w:name w:val="Normal (Web)"/>
    <w:qFormat/>
    <w:basedOn w:val="para0"/>
    <w:pPr>
      <w:spacing w:after="169"/>
      <w:contextualSpacing w:val="0"/>
      <w:jc w:val="both"/>
    </w:pPr>
    <w:rPr>
      <w:rFonts w:ascii="Verdana" w:hAnsi="Verdana" w:eastAsia="Arial Unicode MS"/>
      <w:color w:val="000000"/>
      <w:sz w:val="19"/>
      <w:szCs w:val="19"/>
    </w:rPr>
  </w:style>
  <w:style w:type="paragraph" w:styleId="para14" w:customStyle="1">
    <w:name w:val="annotation text"/>
    <w:qFormat/>
    <w:basedOn w:val="para0"/>
    <w:rPr>
      <w:sz w:val="20"/>
      <w:szCs w:val="20"/>
    </w:rPr>
  </w:style>
  <w:style w:type="paragraph" w:styleId="para15" w:customStyle="1">
    <w:name w:val="annotation subject"/>
    <w:qFormat/>
    <w:basedOn w:val="para14"/>
    <w:next w:val="para14"/>
    <w:rPr>
      <w:b/>
      <w:bCs/>
    </w:rPr>
  </w:style>
  <w:style w:type="paragraph" w:styleId="para16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17">
    <w:name w:val="No Spacing"/>
    <w:qFormat/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para18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9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20" w:customStyle="1">
    <w:name w:val="ConsPlusNormal"/>
    <w:qFormat/>
    <w:pPr>
      <w:ind w:firstLine="720"/>
      <w:contextualSpacing w:val="0"/>
      <w:widowControl w:val="0"/>
    </w:pPr>
    <w:rPr>
      <w:rFonts w:ascii="Arial" w:hAnsi="Arial" w:eastAsia="Times New Roman" w:cs="Times New Roman"/>
      <w:sz w:val="22"/>
      <w:szCs w:val="22"/>
      <w:lang w:val="ru-ru" w:eastAsia="ru-ru" w:bidi="ar-sa"/>
    </w:rPr>
  </w:style>
  <w:style w:type="paragraph" w:styleId="para21" w:customStyle="1">
    <w:name w:val="Default"/>
    <w:qFormat/>
    <w:pPr>
      <w:contextualSpacing w:val="0"/>
    </w:pPr>
    <w:rPr>
      <w:rFonts w:ascii="Calibri" w:hAnsi="Calibri" w:eastAsia="Times New Roman" w:cs="Calibri"/>
      <w:color w:val="000000"/>
      <w:sz w:val="24"/>
      <w:szCs w:val="24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Основной текст 3 Знак"/>
    <w:rPr>
      <w:sz w:val="16"/>
      <w:szCs w:val="16"/>
    </w:rPr>
  </w:style>
  <w:style w:type="character" w:styleId="char2">
    <w:name w:val="Hyperlink"/>
    <w:rPr>
      <w:color w:val="0000ff"/>
      <w:u w:color="auto" w:val="single"/>
    </w:rPr>
  </w:style>
  <w:style w:type="character" w:styleId="char3" w:customStyle="1">
    <w:name w:val="Обычный (веб) Знак"/>
    <w:rPr>
      <w:rFonts w:ascii="Verdana" w:hAnsi="Verdana" w:eastAsia="Arial Unicode MS"/>
      <w:color w:val="000000"/>
      <w:sz w:val="19"/>
      <w:szCs w:val="19"/>
    </w:rPr>
  </w:style>
  <w:style w:type="character" w:styleId="char4" w:customStyle="1">
    <w:name w:val="annotation reference"/>
    <w:rPr>
      <w:sz w:val="16"/>
      <w:szCs w:val="16"/>
    </w:rPr>
  </w:style>
  <w:style w:type="character" w:styleId="char5" w:customStyle="1">
    <w:name w:val="Текст примечания Знак"/>
  </w:style>
  <w:style w:type="character" w:styleId="char6" w:customStyle="1">
    <w:name w:val="Тема примечания Знак"/>
    <w:rPr>
      <w:b/>
      <w:bCs/>
    </w:rPr>
  </w:style>
  <w:style w:type="character" w:styleId="char7" w:customStyle="1">
    <w:name w:val="Текст выноски Знак"/>
    <w:rPr>
      <w:rFonts w:ascii="Tahoma" w:hAnsi="Tahoma" w:cs="Tahoma"/>
      <w:sz w:val="16"/>
      <w:szCs w:val="16"/>
    </w:rPr>
  </w:style>
  <w:style w:type="character" w:styleId="char8" w:customStyle="1">
    <w:name w:val="Верхний колонтитул Знак"/>
    <w:rPr>
      <w:sz w:val="22"/>
      <w:szCs w:val="22"/>
    </w:rPr>
  </w:style>
  <w:style w:type="character" w:styleId="char9" w:customStyle="1">
    <w:name w:val="Нижний колонтитул Знак"/>
    <w:rPr>
      <w:sz w:val="22"/>
      <w:szCs w:val="22"/>
    </w:rPr>
  </w:style>
  <w:style w:type="character" w:styleId="char10" w:customStyle="1">
    <w:name w:val="Font Style14"/>
    <w:rPr>
      <w:rFonts w:ascii="Times New Roman" w:hAnsi="Times New Roman" w:cs="Times New Roman"/>
      <w:color w:val="000000"/>
      <w:sz w:val="26"/>
      <w:szCs w:val="26"/>
    </w:rPr>
  </w:style>
  <w:style w:type="character" w:styleId="char11" w:customStyle="1">
    <w:name w:val="ConsPlusNormal Знак"/>
    <w:rPr>
      <w:rFonts w:ascii="Arial" w:hAnsi="Arial"/>
      <w:sz w:val="22"/>
      <w:szCs w:val="22"/>
    </w:rPr>
  </w:style>
  <w:style w:type="character" w:styleId="char12">
    <w:name w:val="Strong"/>
    <w:basedOn w:val="char0"/>
    <w:rPr>
      <w:b/>
      <w:bCs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1"/>
    <w:basedOn w:val="TableNormal"/>
    <w:pPr>
      <w:contextualSpacing/>
    </w:pPr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N. Kitaeva</dc:creator>
  <cp:keywords/>
  <dc:description/>
  <cp:lastModifiedBy/>
  <cp:revision>9</cp:revision>
  <dcterms:created xsi:type="dcterms:W3CDTF">2019-09-25T16:19:00Z</dcterms:created>
  <dcterms:modified xsi:type="dcterms:W3CDTF">2026-03-20T05:55:06Z</dcterms:modified>
</cp:coreProperties>
</file>