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34609F">
            <w:pPr>
              <w:jc w:val="left"/>
              <w:rPr>
                <w:bCs/>
                <w:sz w:val="20"/>
                <w:szCs w:val="20"/>
              </w:rPr>
            </w:pPr>
            <w:r>
              <w:rPr>
                <w:bCs/>
                <w:sz w:val="20"/>
                <w:szCs w:val="20"/>
              </w:rPr>
              <w:t>от «_____» ___________ 202</w:t>
            </w:r>
            <w:r w:rsidR="0034609F">
              <w:rPr>
                <w:bCs/>
                <w:sz w:val="20"/>
                <w:szCs w:val="20"/>
              </w:rPr>
              <w:t>6</w:t>
            </w:r>
            <w:r w:rsidR="006D0C8E">
              <w:rPr>
                <w:bCs/>
                <w:sz w:val="20"/>
                <w:szCs w:val="20"/>
              </w:rPr>
              <w:t xml:space="preserve"> г.</w:t>
            </w:r>
          </w:p>
        </w:tc>
      </w:tr>
    </w:tbl>
    <w:p w:rsidR="00752082" w:rsidRPr="00C17665" w:rsidRDefault="00C03A47">
      <w:pPr>
        <w:jc w:val="center"/>
        <w:rPr>
          <w:b/>
          <w:bCs/>
          <w:sz w:val="28"/>
          <w:szCs w:val="28"/>
        </w:rPr>
      </w:pPr>
      <w:r>
        <w:rPr>
          <w:b/>
          <w:bCs/>
          <w:sz w:val="28"/>
          <w:szCs w:val="28"/>
        </w:rPr>
        <w:t xml:space="preserve">    </w:t>
      </w:r>
      <w:r w:rsidR="00266D46">
        <w:rPr>
          <w:b/>
          <w:bCs/>
          <w:sz w:val="28"/>
          <w:szCs w:val="28"/>
        </w:rPr>
        <w:t>Спецификация</w:t>
      </w:r>
      <w:r w:rsidR="00C17665" w:rsidRPr="00C17665">
        <w:rPr>
          <w:b/>
          <w:bCs/>
          <w:sz w:val="28"/>
          <w:szCs w:val="28"/>
        </w:rPr>
        <w:t xml:space="preserve"> на поставку </w:t>
      </w:r>
      <w:r w:rsidR="00CF49DC" w:rsidRPr="00266D46">
        <w:rPr>
          <w:b/>
          <w:bCs/>
          <w:sz w:val="28"/>
          <w:szCs w:val="28"/>
        </w:rPr>
        <w:t>щебня известнякового</w:t>
      </w: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34609F" w:rsidRDefault="00C17665" w:rsidP="00C17665">
      <w:pPr>
        <w:shd w:val="clear" w:color="auto" w:fill="FFFFFF"/>
        <w:textAlignment w:val="baseline"/>
        <w:rPr>
          <w:rFonts w:eastAsia="Times New Roman"/>
          <w:color w:val="000000"/>
          <w:sz w:val="26"/>
          <w:szCs w:val="26"/>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Pr="000E2A35">
        <w:rPr>
          <w:b/>
          <w:color w:val="000000"/>
          <w:sz w:val="26"/>
          <w:szCs w:val="26"/>
          <w:lang w:eastAsia="ru-RU"/>
        </w:rPr>
        <w:t>:</w:t>
      </w:r>
      <w:r w:rsidR="00001287" w:rsidRPr="00001287">
        <w:rPr>
          <w:b/>
          <w:bCs/>
          <w:sz w:val="28"/>
          <w:szCs w:val="28"/>
        </w:rPr>
        <w:t xml:space="preserve"> </w:t>
      </w:r>
      <w:r w:rsidR="00FE55F2">
        <w:rPr>
          <w:rFonts w:eastAsia="Times New Roman"/>
          <w:color w:val="000000"/>
          <w:sz w:val="26"/>
          <w:szCs w:val="26"/>
          <w:lang w:eastAsia="ru-RU"/>
        </w:rPr>
        <w:t xml:space="preserve">Щебень </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p w:rsidR="0029033D" w:rsidRPr="006E7D24" w:rsidRDefault="0029033D">
      <w:pPr>
        <w:jc w:val="center"/>
        <w:rPr>
          <w:bCs/>
        </w:rPr>
      </w:pPr>
    </w:p>
    <w:tbl>
      <w:tblPr>
        <w:tblW w:w="14795" w:type="dxa"/>
        <w:tblInd w:w="93" w:type="dxa"/>
        <w:tblLook w:val="04A0"/>
      </w:tblPr>
      <w:tblGrid>
        <w:gridCol w:w="1858"/>
        <w:gridCol w:w="5103"/>
        <w:gridCol w:w="2001"/>
        <w:gridCol w:w="1198"/>
        <w:gridCol w:w="1170"/>
        <w:gridCol w:w="1645"/>
        <w:gridCol w:w="1820"/>
      </w:tblGrid>
      <w:tr w:rsidR="001958A9" w:rsidRPr="00C17665" w:rsidTr="00A3415F">
        <w:trPr>
          <w:trHeight w:val="98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958A9" w:rsidRPr="00C17665" w:rsidRDefault="0034609F" w:rsidP="001958A9">
            <w:pPr>
              <w:suppressAutoHyphens w:val="0"/>
              <w:jc w:val="center"/>
              <w:rPr>
                <w:rFonts w:eastAsia="Times New Roman"/>
                <w:color w:val="000000"/>
                <w:sz w:val="26"/>
                <w:szCs w:val="26"/>
                <w:lang w:eastAsia="ru-RU"/>
              </w:rPr>
            </w:pPr>
            <w:r>
              <w:rPr>
                <w:rFonts w:eastAsia="Times New Roman"/>
                <w:color w:val="000000"/>
                <w:sz w:val="26"/>
                <w:szCs w:val="26"/>
                <w:lang w:eastAsia="ru-RU"/>
              </w:rPr>
              <w:t>Характеристики</w:t>
            </w:r>
          </w:p>
        </w:tc>
        <w:tc>
          <w:tcPr>
            <w:tcW w:w="2001" w:type="dxa"/>
            <w:tcBorders>
              <w:top w:val="single" w:sz="4" w:space="0" w:color="auto"/>
              <w:left w:val="nil"/>
              <w:bottom w:val="nil"/>
              <w:right w:val="single" w:sz="4" w:space="0" w:color="auto"/>
            </w:tcBorders>
            <w:shd w:val="clear" w:color="auto" w:fill="auto"/>
            <w:vAlign w:val="center"/>
            <w:hideMark/>
          </w:tcPr>
          <w:p w:rsidR="001958A9" w:rsidRPr="00C17665" w:rsidRDefault="0034609F" w:rsidP="006D0C8E">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r>
              <w:rPr>
                <w:rFonts w:eastAsia="Times New Roman"/>
                <w:color w:val="000000"/>
                <w:sz w:val="26"/>
                <w:szCs w:val="26"/>
                <w:lang w:eastAsia="ru-RU"/>
              </w:rPr>
              <w:t xml:space="preserve">      (руб.)</w:t>
            </w:r>
          </w:p>
        </w:tc>
      </w:tr>
      <w:tr w:rsidR="004C00F8" w:rsidRPr="00C17665" w:rsidTr="00A3415F">
        <w:trPr>
          <w:trHeight w:val="327"/>
        </w:trPr>
        <w:tc>
          <w:tcPr>
            <w:tcW w:w="1858" w:type="dxa"/>
            <w:tcBorders>
              <w:top w:val="nil"/>
              <w:left w:val="single" w:sz="4" w:space="0" w:color="auto"/>
              <w:bottom w:val="single" w:sz="4" w:space="0" w:color="auto"/>
              <w:right w:val="nil"/>
            </w:tcBorders>
            <w:shd w:val="clear" w:color="auto" w:fill="auto"/>
            <w:vAlign w:val="center"/>
            <w:hideMark/>
          </w:tcPr>
          <w:p w:rsidR="004C00F8" w:rsidRPr="00351160" w:rsidRDefault="00FE55F2" w:rsidP="0034609F">
            <w:pPr>
              <w:suppressAutoHyphens w:val="0"/>
              <w:rPr>
                <w:rFonts w:eastAsia="Times New Roman"/>
                <w:color w:val="000000"/>
                <w:sz w:val="26"/>
                <w:szCs w:val="26"/>
                <w:lang w:eastAsia="ru-RU"/>
              </w:rPr>
            </w:pPr>
            <w:r>
              <w:rPr>
                <w:rFonts w:eastAsia="Times New Roman"/>
                <w:color w:val="000000"/>
                <w:sz w:val="26"/>
                <w:szCs w:val="26"/>
                <w:lang w:eastAsia="ru-RU"/>
              </w:rPr>
              <w:t>Щебень</w:t>
            </w:r>
          </w:p>
        </w:tc>
        <w:tc>
          <w:tcPr>
            <w:tcW w:w="5103" w:type="dxa"/>
            <w:tcBorders>
              <w:top w:val="single" w:sz="4" w:space="0" w:color="auto"/>
              <w:left w:val="single" w:sz="4" w:space="0" w:color="auto"/>
              <w:bottom w:val="single" w:sz="4" w:space="0" w:color="auto"/>
              <w:right w:val="nil"/>
            </w:tcBorders>
            <w:shd w:val="clear" w:color="auto" w:fill="auto"/>
            <w:vAlign w:val="center"/>
          </w:tcPr>
          <w:p w:rsidR="004C00F8" w:rsidRPr="00A3415F" w:rsidRDefault="00A3415F" w:rsidP="00A3415F">
            <w:pPr>
              <w:suppressAutoHyphens w:val="0"/>
              <w:rPr>
                <w:sz w:val="26"/>
                <w:szCs w:val="26"/>
                <w:shd w:val="clear" w:color="auto" w:fill="FFFFFF"/>
              </w:rPr>
            </w:pPr>
            <w:r w:rsidRPr="00A3415F">
              <w:rPr>
                <w:sz w:val="26"/>
                <w:szCs w:val="26"/>
                <w:shd w:val="clear" w:color="auto" w:fill="FFFFFF"/>
              </w:rPr>
              <w:t xml:space="preserve">Фракция (смесь фракций), </w:t>
            </w:r>
            <w:proofErr w:type="gramStart"/>
            <w:r w:rsidRPr="00A3415F">
              <w:rPr>
                <w:sz w:val="26"/>
                <w:szCs w:val="26"/>
                <w:shd w:val="clear" w:color="auto" w:fill="FFFFFF"/>
              </w:rPr>
              <w:t>мм</w:t>
            </w:r>
            <w:proofErr w:type="gramEnd"/>
            <w:r w:rsidRPr="00A3415F">
              <w:rPr>
                <w:sz w:val="26"/>
                <w:szCs w:val="26"/>
                <w:shd w:val="clear" w:color="auto" w:fill="FFFFFF"/>
              </w:rPr>
              <w:t>: св. 10 до 20;</w:t>
            </w:r>
          </w:p>
          <w:p w:rsidR="00A3415F" w:rsidRPr="00C17665" w:rsidRDefault="00A3415F" w:rsidP="00A3415F">
            <w:pPr>
              <w:suppressAutoHyphens w:val="0"/>
              <w:rPr>
                <w:rFonts w:eastAsia="Times New Roman"/>
                <w:color w:val="000000"/>
                <w:sz w:val="26"/>
                <w:szCs w:val="26"/>
                <w:lang w:eastAsia="ru-RU"/>
              </w:rPr>
            </w:pPr>
            <w:r w:rsidRPr="00A3415F">
              <w:rPr>
                <w:sz w:val="26"/>
                <w:szCs w:val="26"/>
                <w:shd w:val="clear" w:color="auto" w:fill="FFFFFF"/>
              </w:rPr>
              <w:t>Вид: известняковый.</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0F8" w:rsidRPr="00730288" w:rsidRDefault="004C00F8" w:rsidP="00FE55F2">
            <w:pPr>
              <w:suppressAutoHyphens w:val="0"/>
              <w:jc w:val="center"/>
              <w:rPr>
                <w:rFonts w:eastAsia="Times New Roman"/>
                <w:color w:val="000000"/>
                <w:sz w:val="26"/>
                <w:szCs w:val="26"/>
                <w:highlight w:val="yellow"/>
                <w:lang w:eastAsia="ru-RU"/>
              </w:rPr>
            </w:pPr>
          </w:p>
        </w:tc>
        <w:tc>
          <w:tcPr>
            <w:tcW w:w="1198" w:type="dxa"/>
            <w:tcBorders>
              <w:top w:val="nil"/>
              <w:left w:val="nil"/>
              <w:bottom w:val="single" w:sz="4" w:space="0" w:color="auto"/>
              <w:right w:val="single" w:sz="4" w:space="0" w:color="auto"/>
            </w:tcBorders>
            <w:shd w:val="clear" w:color="auto" w:fill="auto"/>
            <w:vAlign w:val="center"/>
            <w:hideMark/>
          </w:tcPr>
          <w:p w:rsidR="004C00F8" w:rsidRPr="00730288" w:rsidRDefault="00565EA6" w:rsidP="006D0C8E">
            <w:pPr>
              <w:suppressAutoHyphens w:val="0"/>
              <w:jc w:val="center"/>
              <w:rPr>
                <w:rFonts w:eastAsia="Times New Roman"/>
                <w:color w:val="000000"/>
                <w:sz w:val="26"/>
                <w:szCs w:val="26"/>
                <w:vertAlign w:val="superscript"/>
                <w:lang w:eastAsia="ru-RU"/>
              </w:rPr>
            </w:pPr>
            <w:r>
              <w:rPr>
                <w:rFonts w:eastAsia="Times New Roman"/>
                <w:color w:val="000000"/>
                <w:sz w:val="26"/>
                <w:szCs w:val="26"/>
                <w:lang w:eastAsia="ru-RU"/>
              </w:rPr>
              <w:t>т</w:t>
            </w:r>
          </w:p>
        </w:tc>
        <w:tc>
          <w:tcPr>
            <w:tcW w:w="1170" w:type="dxa"/>
            <w:tcBorders>
              <w:top w:val="nil"/>
              <w:left w:val="nil"/>
              <w:bottom w:val="single" w:sz="4" w:space="0" w:color="auto"/>
              <w:right w:val="single" w:sz="4" w:space="0" w:color="auto"/>
            </w:tcBorders>
            <w:shd w:val="clear" w:color="auto" w:fill="auto"/>
            <w:vAlign w:val="center"/>
            <w:hideMark/>
          </w:tcPr>
          <w:p w:rsidR="004C00F8" w:rsidRPr="00C17665" w:rsidRDefault="00FE55F2" w:rsidP="00872627">
            <w:pPr>
              <w:suppressAutoHyphens w:val="0"/>
              <w:jc w:val="center"/>
              <w:rPr>
                <w:rFonts w:eastAsia="Times New Roman"/>
                <w:color w:val="000000"/>
                <w:sz w:val="26"/>
                <w:szCs w:val="26"/>
                <w:lang w:eastAsia="ru-RU"/>
              </w:rPr>
            </w:pPr>
            <w:r>
              <w:rPr>
                <w:rFonts w:eastAsia="Times New Roman"/>
                <w:color w:val="000000"/>
                <w:sz w:val="26"/>
                <w:szCs w:val="26"/>
                <w:lang w:eastAsia="ru-RU"/>
              </w:rPr>
              <w:t>1</w:t>
            </w:r>
            <w:r w:rsidR="00872627">
              <w:rPr>
                <w:rFonts w:eastAsia="Times New Roman"/>
                <w:color w:val="000000"/>
                <w:sz w:val="26"/>
                <w:szCs w:val="26"/>
                <w:lang w:eastAsia="ru-RU"/>
              </w:rPr>
              <w:t>0</w:t>
            </w:r>
          </w:p>
        </w:tc>
        <w:tc>
          <w:tcPr>
            <w:tcW w:w="1645" w:type="dxa"/>
            <w:tcBorders>
              <w:top w:val="nil"/>
              <w:left w:val="nil"/>
              <w:bottom w:val="single" w:sz="4" w:space="0" w:color="auto"/>
              <w:right w:val="single" w:sz="4" w:space="0" w:color="auto"/>
            </w:tcBorders>
            <w:shd w:val="clear" w:color="auto" w:fill="auto"/>
            <w:vAlign w:val="center"/>
            <w:hideMark/>
          </w:tcPr>
          <w:p w:rsidR="004C00F8" w:rsidRPr="00C17665" w:rsidRDefault="00FE55F2" w:rsidP="0034609F">
            <w:pPr>
              <w:suppressAutoHyphens w:val="0"/>
              <w:jc w:val="center"/>
              <w:rPr>
                <w:rFonts w:eastAsia="Times New Roman"/>
                <w:color w:val="000000"/>
                <w:sz w:val="26"/>
                <w:szCs w:val="26"/>
                <w:lang w:eastAsia="ru-RU"/>
              </w:rPr>
            </w:pPr>
            <w:r>
              <w:rPr>
                <w:rFonts w:eastAsia="Times New Roman"/>
                <w:color w:val="000000"/>
                <w:sz w:val="26"/>
                <w:szCs w:val="26"/>
                <w:lang w:eastAsia="ru-RU"/>
              </w:rPr>
              <w:t>1</w:t>
            </w:r>
            <w:r w:rsidR="0034609F">
              <w:rPr>
                <w:rFonts w:eastAsia="Times New Roman"/>
                <w:color w:val="000000"/>
                <w:sz w:val="26"/>
                <w:szCs w:val="26"/>
                <w:lang w:eastAsia="ru-RU"/>
              </w:rPr>
              <w:t>342</w:t>
            </w:r>
            <w:r w:rsidR="00001287">
              <w:rPr>
                <w:rFonts w:eastAsia="Times New Roman"/>
                <w:color w:val="000000"/>
                <w:sz w:val="26"/>
                <w:szCs w:val="26"/>
                <w:lang w:eastAsia="ru-RU"/>
              </w:rPr>
              <w:t>,00</w:t>
            </w:r>
          </w:p>
        </w:tc>
        <w:tc>
          <w:tcPr>
            <w:tcW w:w="1820" w:type="dxa"/>
            <w:tcBorders>
              <w:top w:val="nil"/>
              <w:left w:val="nil"/>
              <w:bottom w:val="single" w:sz="4" w:space="0" w:color="auto"/>
              <w:right w:val="single" w:sz="4" w:space="0" w:color="auto"/>
            </w:tcBorders>
            <w:shd w:val="clear" w:color="auto" w:fill="auto"/>
            <w:vAlign w:val="center"/>
            <w:hideMark/>
          </w:tcPr>
          <w:p w:rsidR="004C00F8" w:rsidRPr="00C17665" w:rsidRDefault="00FE55F2" w:rsidP="0034609F">
            <w:pPr>
              <w:suppressAutoHyphens w:val="0"/>
              <w:jc w:val="center"/>
              <w:rPr>
                <w:rFonts w:eastAsia="Times New Roman"/>
                <w:color w:val="000000"/>
                <w:sz w:val="26"/>
                <w:szCs w:val="26"/>
                <w:lang w:eastAsia="ru-RU"/>
              </w:rPr>
            </w:pPr>
            <w:r>
              <w:rPr>
                <w:rFonts w:eastAsia="Times New Roman"/>
                <w:color w:val="000000"/>
                <w:sz w:val="26"/>
                <w:szCs w:val="26"/>
                <w:lang w:eastAsia="ru-RU"/>
              </w:rPr>
              <w:t>1</w:t>
            </w:r>
            <w:r w:rsidR="0034609F">
              <w:rPr>
                <w:rFonts w:eastAsia="Times New Roman"/>
                <w:color w:val="000000"/>
                <w:sz w:val="26"/>
                <w:szCs w:val="26"/>
                <w:lang w:eastAsia="ru-RU"/>
              </w:rPr>
              <w:t>3420</w:t>
            </w:r>
            <w:r w:rsidR="00001287">
              <w:rPr>
                <w:rFonts w:eastAsia="Times New Roman"/>
                <w:color w:val="000000"/>
                <w:sz w:val="26"/>
                <w:szCs w:val="26"/>
                <w:lang w:eastAsia="ru-RU"/>
              </w:rPr>
              <w:t>,00</w:t>
            </w:r>
          </w:p>
        </w:tc>
      </w:tr>
      <w:tr w:rsidR="006D0C8E" w:rsidRPr="00C17665" w:rsidTr="0034609F">
        <w:trPr>
          <w:trHeight w:val="266"/>
        </w:trPr>
        <w:tc>
          <w:tcPr>
            <w:tcW w:w="12975" w:type="dxa"/>
            <w:gridSpan w:val="6"/>
            <w:tcBorders>
              <w:top w:val="nil"/>
              <w:left w:val="single" w:sz="4" w:space="0" w:color="auto"/>
              <w:bottom w:val="single" w:sz="4" w:space="0" w:color="auto"/>
              <w:right w:val="single" w:sz="4" w:space="0" w:color="auto"/>
            </w:tcBorders>
            <w:shd w:val="clear" w:color="000000" w:fill="FFFFFF"/>
            <w:vAlign w:val="bottom"/>
            <w:hideMark/>
          </w:tcPr>
          <w:p w:rsidR="006D0C8E" w:rsidRPr="00C17665" w:rsidRDefault="006D0C8E" w:rsidP="006D0C8E">
            <w:pPr>
              <w:suppressAutoHyphens w:val="0"/>
              <w:rPr>
                <w:rFonts w:eastAsia="Times New Roman"/>
                <w:b/>
                <w:bCs/>
                <w:color w:val="000000"/>
                <w:sz w:val="26"/>
                <w:szCs w:val="26"/>
                <w:lang w:eastAsia="ru-RU"/>
              </w:rPr>
            </w:pPr>
            <w:r w:rsidRPr="00C17665">
              <w:rPr>
                <w:rFonts w:eastAsia="Times New Roman"/>
                <w:b/>
                <w:bCs/>
                <w:color w:val="000000"/>
                <w:sz w:val="26"/>
                <w:szCs w:val="26"/>
                <w:lang w:eastAsia="ru-RU"/>
              </w:rPr>
              <w:t>Итого: </w:t>
            </w:r>
          </w:p>
        </w:tc>
        <w:tc>
          <w:tcPr>
            <w:tcW w:w="1820" w:type="dxa"/>
            <w:tcBorders>
              <w:top w:val="nil"/>
              <w:left w:val="nil"/>
              <w:bottom w:val="single" w:sz="4" w:space="0" w:color="auto"/>
              <w:right w:val="single" w:sz="4" w:space="0" w:color="auto"/>
            </w:tcBorders>
            <w:shd w:val="clear" w:color="auto" w:fill="auto"/>
            <w:vAlign w:val="center"/>
            <w:hideMark/>
          </w:tcPr>
          <w:p w:rsidR="006D0C8E" w:rsidRPr="00C17665" w:rsidRDefault="00FE55F2" w:rsidP="00872627">
            <w:pPr>
              <w:suppressAutoHyphens w:val="0"/>
              <w:jc w:val="center"/>
              <w:rPr>
                <w:rFonts w:eastAsia="Times New Roman"/>
                <w:b/>
                <w:color w:val="000000"/>
                <w:sz w:val="26"/>
                <w:szCs w:val="26"/>
                <w:lang w:eastAsia="ru-RU"/>
              </w:rPr>
            </w:pPr>
            <w:r>
              <w:rPr>
                <w:rFonts w:eastAsia="Times New Roman"/>
                <w:color w:val="000000"/>
                <w:sz w:val="26"/>
                <w:szCs w:val="26"/>
                <w:lang w:eastAsia="ru-RU"/>
              </w:rPr>
              <w:t>1</w:t>
            </w:r>
            <w:r w:rsidR="0034609F">
              <w:rPr>
                <w:rFonts w:eastAsia="Times New Roman"/>
                <w:color w:val="000000"/>
                <w:sz w:val="26"/>
                <w:szCs w:val="26"/>
                <w:lang w:eastAsia="ru-RU"/>
              </w:rPr>
              <w:t>342</w:t>
            </w:r>
            <w:r>
              <w:rPr>
                <w:rFonts w:eastAsia="Times New Roman"/>
                <w:color w:val="000000"/>
                <w:sz w:val="26"/>
                <w:szCs w:val="26"/>
                <w:lang w:eastAsia="ru-RU"/>
              </w:rPr>
              <w:t>0,00</w:t>
            </w:r>
          </w:p>
        </w:tc>
      </w:tr>
    </w:tbl>
    <w:p w:rsidR="0029033D" w:rsidRDefault="0029033D">
      <w:pPr>
        <w:jc w:val="both"/>
        <w:rPr>
          <w:sz w:val="20"/>
          <w:szCs w:val="20"/>
          <w:lang w:eastAsia="ru-RU"/>
        </w:rPr>
      </w:pPr>
    </w:p>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w:t>
      </w:r>
      <w:proofErr w:type="gramStart"/>
      <w:r w:rsidRPr="00F14963">
        <w:rPr>
          <w:rFonts w:eastAsia="Times New Roman"/>
          <w:bCs/>
          <w:color w:val="000000"/>
          <w:sz w:val="26"/>
          <w:szCs w:val="26"/>
          <w:bdr w:val="none" w:sz="0" w:space="0" w:color="auto" w:frame="1"/>
          <w:lang w:eastAsia="ru-RU"/>
        </w:rPr>
        <w:t>г</w:t>
      </w:r>
      <w:proofErr w:type="gramEnd"/>
      <w:r w:rsidRPr="00F14963">
        <w:rPr>
          <w:rFonts w:eastAsia="Times New Roman"/>
          <w:bCs/>
          <w:color w:val="000000"/>
          <w:sz w:val="26"/>
          <w:szCs w:val="26"/>
          <w:bdr w:val="none" w:sz="0" w:space="0" w:color="auto" w:frame="1"/>
          <w:lang w:eastAsia="ru-RU"/>
        </w:rPr>
        <w:t xml:space="preserve">.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B0089A">
        <w:rPr>
          <w:rFonts w:eastAsia="Times New Roman"/>
          <w:bCs/>
          <w:color w:val="000000"/>
          <w:sz w:val="26"/>
          <w:szCs w:val="26"/>
          <w:bdr w:val="none" w:sz="0" w:space="0" w:color="auto" w:frame="1"/>
          <w:lang w:eastAsia="ru-RU"/>
        </w:rPr>
        <w:t>7</w:t>
      </w:r>
      <w:r w:rsidR="00C03A47">
        <w:rPr>
          <w:rFonts w:eastAsia="Times New Roman"/>
          <w:bCs/>
          <w:color w:val="000000"/>
          <w:sz w:val="26"/>
          <w:szCs w:val="26"/>
          <w:bdr w:val="none" w:sz="0" w:space="0" w:color="auto" w:frame="1"/>
          <w:lang w:eastAsia="ru-RU"/>
        </w:rPr>
        <w:t>-</w:t>
      </w:r>
      <w:r w:rsidR="00B0089A">
        <w:rPr>
          <w:rFonts w:eastAsia="Times New Roman"/>
          <w:bCs/>
          <w:color w:val="000000"/>
          <w:sz w:val="26"/>
          <w:szCs w:val="26"/>
          <w:bdr w:val="none" w:sz="0" w:space="0" w:color="auto" w:frame="1"/>
          <w:lang w:eastAsia="ru-RU"/>
        </w:rPr>
        <w:t>ми</w:t>
      </w:r>
      <w:r w:rsidR="00C17665" w:rsidRPr="000E2A35">
        <w:rPr>
          <w:rFonts w:eastAsia="Times New Roman"/>
          <w:bCs/>
          <w:color w:val="000000"/>
          <w:sz w:val="26"/>
          <w:szCs w:val="26"/>
          <w:bdr w:val="none" w:sz="0" w:space="0" w:color="auto" w:frame="1"/>
          <w:lang w:eastAsia="ru-RU"/>
        </w:rPr>
        <w:t xml:space="preserve"> </w:t>
      </w:r>
      <w:r w:rsidR="00C17665">
        <w:rPr>
          <w:rFonts w:eastAsia="Times New Roman"/>
          <w:bCs/>
          <w:color w:val="000000"/>
          <w:sz w:val="26"/>
          <w:szCs w:val="26"/>
          <w:bdr w:val="none" w:sz="0" w:space="0" w:color="auto" w:frame="1"/>
          <w:lang w:eastAsia="ru-RU"/>
        </w:rPr>
        <w:t>календарных</w:t>
      </w:r>
      <w:r w:rsidR="00C17665" w:rsidRPr="000E2A35">
        <w:rPr>
          <w:rFonts w:eastAsia="Times New Roman"/>
          <w:bCs/>
          <w:color w:val="000000"/>
          <w:sz w:val="26"/>
          <w:szCs w:val="26"/>
          <w:bdr w:val="none" w:sz="0" w:space="0" w:color="auto" w:frame="1"/>
          <w:lang w:eastAsia="ru-RU"/>
        </w:rPr>
        <w:t xml:space="preserve"> дней с момента подписания государственного контракта. </w:t>
      </w:r>
      <w:r w:rsidR="00A3415F">
        <w:rPr>
          <w:rFonts w:eastAsia="Times New Roman"/>
          <w:bCs/>
          <w:color w:val="000000"/>
          <w:sz w:val="26"/>
          <w:szCs w:val="26"/>
          <w:bdr w:val="none" w:sz="0" w:space="0" w:color="auto" w:frame="1"/>
          <w:lang w:eastAsia="ru-RU"/>
        </w:rPr>
        <w:t>Поставщик вправе поставить товар досрочно по письменному соглашению с Государственным заказчиком.</w:t>
      </w:r>
    </w:p>
    <w:p w:rsidR="00CF49DC" w:rsidRDefault="00CF49DC"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 xml:space="preserve">6. </w:t>
      </w:r>
      <w:r w:rsidRPr="00F2483A">
        <w:rPr>
          <w:rFonts w:eastAsia="Times New Roman"/>
          <w:b/>
          <w:bCs/>
          <w:sz w:val="26"/>
          <w:szCs w:val="26"/>
          <w:bdr w:val="none" w:sz="0" w:space="0" w:color="auto" w:frame="1"/>
          <w:lang w:eastAsia="ru-RU"/>
        </w:rPr>
        <w:t>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F49DC" w:rsidRPr="000E2A35" w:rsidRDefault="00CF49DC"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 xml:space="preserve">7.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CF49DC"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xml:space="preserve">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w:t>
      </w:r>
      <w:r w:rsidR="00177C9F">
        <w:rPr>
          <w:rFonts w:eastAsia="Times New Roman"/>
          <w:color w:val="000000"/>
          <w:sz w:val="26"/>
          <w:szCs w:val="26"/>
          <w:lang w:eastAsia="ru-RU"/>
        </w:rPr>
        <w:t>качеству</w:t>
      </w:r>
      <w:r w:rsidR="00C17665" w:rsidRPr="000E2A35">
        <w:rPr>
          <w:rFonts w:eastAsia="Times New Roman"/>
          <w:color w:val="000000"/>
          <w:sz w:val="26"/>
          <w:szCs w:val="26"/>
          <w:lang w:eastAsia="ru-RU"/>
        </w:rPr>
        <w:t>. Поставляемый товар должен быть свободен от прав третьих лиц.</w:t>
      </w:r>
    </w:p>
    <w:p w:rsidR="00C17665" w:rsidRPr="000E2A35" w:rsidRDefault="00CF49DC" w:rsidP="007E787D">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C17665" w:rsidRPr="000E2A35">
        <w:rPr>
          <w:rFonts w:eastAsia="Times New Roman"/>
          <w:color w:val="000000"/>
          <w:sz w:val="26"/>
          <w:szCs w:val="26"/>
          <w:lang w:eastAsia="ru-RU"/>
        </w:rPr>
        <w:t>поставляемый товар должен быть новый, без</w:t>
      </w:r>
      <w:r w:rsidR="007E787D">
        <w:rPr>
          <w:rFonts w:eastAsia="Times New Roman"/>
          <w:color w:val="000000"/>
          <w:sz w:val="26"/>
          <w:szCs w:val="26"/>
          <w:lang w:eastAsia="ru-RU"/>
        </w:rPr>
        <w:t xml:space="preserve"> посторонних примесей.</w:t>
      </w:r>
    </w:p>
    <w:p w:rsidR="00C17665" w:rsidRPr="000E2A35" w:rsidRDefault="00CF49DC"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CF49DC"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 xml:space="preserve">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w:t>
      </w:r>
      <w:r w:rsidR="00C17665" w:rsidRPr="000E2A35">
        <w:rPr>
          <w:rFonts w:eastAsia="Times New Roman"/>
          <w:color w:val="000000"/>
          <w:sz w:val="26"/>
          <w:szCs w:val="26"/>
          <w:lang w:eastAsia="ru-RU"/>
        </w:rPr>
        <w:lastRenderedPageBreak/>
        <w:t>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CF49DC" w:rsidRDefault="00CF49DC" w:rsidP="00CF49DC">
      <w:pPr>
        <w:jc w:val="both"/>
        <w:rPr>
          <w:rFonts w:eastAsia="Calibri"/>
          <w:sz w:val="26"/>
          <w:szCs w:val="26"/>
        </w:rPr>
      </w:pPr>
      <w:r>
        <w:rPr>
          <w:b/>
          <w:sz w:val="26"/>
          <w:szCs w:val="26"/>
        </w:rPr>
        <w:t xml:space="preserve">12. </w:t>
      </w:r>
      <w:r>
        <w:rPr>
          <w:sz w:val="26"/>
          <w:szCs w:val="26"/>
        </w:rPr>
        <w:t xml:space="preserve"> </w:t>
      </w:r>
      <w:r w:rsidRPr="00F2483A">
        <w:rPr>
          <w:rFonts w:eastAsia="Times New Roman"/>
          <w:b/>
          <w:bCs/>
          <w:color w:val="000000"/>
          <w:sz w:val="26"/>
          <w:szCs w:val="26"/>
          <w:bdr w:val="none" w:sz="0" w:space="0" w:color="auto" w:frame="1"/>
          <w:lang w:eastAsia="ru-RU"/>
        </w:rPr>
        <w:t>Гарантийный срок</w:t>
      </w:r>
      <w:r>
        <w:rPr>
          <w:rFonts w:eastAsia="Times New Roman"/>
          <w:b/>
          <w:bCs/>
          <w:color w:val="000000"/>
          <w:sz w:val="26"/>
          <w:szCs w:val="26"/>
          <w:bdr w:val="none" w:sz="0" w:space="0" w:color="auto" w:frame="1"/>
          <w:lang w:eastAsia="ru-RU"/>
        </w:rPr>
        <w:t>:</w:t>
      </w:r>
      <w:r w:rsidRPr="00F2483A">
        <w:rPr>
          <w:rFonts w:eastAsia="Times New Roman"/>
          <w:b/>
          <w:bCs/>
          <w:color w:val="000000"/>
          <w:sz w:val="26"/>
          <w:szCs w:val="26"/>
          <w:bdr w:val="none" w:sz="0" w:space="0" w:color="auto" w:frame="1"/>
          <w:lang w:eastAsia="ru-RU"/>
        </w:rPr>
        <w:t xml:space="preserve"> не менее 3 месяцев с момента поставки.</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CF49DC">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CF49DC">
        <w:rPr>
          <w:rFonts w:eastAsia="serif"/>
          <w:b/>
          <w:color w:val="22272F"/>
          <w:sz w:val="26"/>
          <w:szCs w:val="26"/>
          <w:shd w:val="clear" w:color="auto" w:fill="FFFFFF"/>
        </w:rPr>
        <w:t xml:space="preserve">Мы нижеподписавшиеся подписав </w:t>
      </w:r>
      <w:proofErr w:type="gramStart"/>
      <w:r w:rsidRPr="00CF49DC">
        <w:rPr>
          <w:rFonts w:eastAsia="serif"/>
          <w:b/>
          <w:color w:val="22272F"/>
          <w:sz w:val="26"/>
          <w:szCs w:val="26"/>
          <w:shd w:val="clear" w:color="auto" w:fill="FFFFFF"/>
        </w:rPr>
        <w:t>приложение</w:t>
      </w:r>
      <w:proofErr w:type="gramEnd"/>
      <w:r w:rsidRPr="00CF49DC">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7E787D">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007E787D">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11E07"/>
    <w:rsid w:val="000C67BE"/>
    <w:rsid w:val="00174464"/>
    <w:rsid w:val="00177C9F"/>
    <w:rsid w:val="001958A9"/>
    <w:rsid w:val="001B25C4"/>
    <w:rsid w:val="0023570C"/>
    <w:rsid w:val="00266D46"/>
    <w:rsid w:val="0029033D"/>
    <w:rsid w:val="002E054F"/>
    <w:rsid w:val="0034609F"/>
    <w:rsid w:val="00351160"/>
    <w:rsid w:val="003E10E7"/>
    <w:rsid w:val="00452E24"/>
    <w:rsid w:val="00484534"/>
    <w:rsid w:val="004C00F8"/>
    <w:rsid w:val="004C2972"/>
    <w:rsid w:val="00511C97"/>
    <w:rsid w:val="0052549B"/>
    <w:rsid w:val="00531E42"/>
    <w:rsid w:val="00540569"/>
    <w:rsid w:val="005461B9"/>
    <w:rsid w:val="00553902"/>
    <w:rsid w:val="00565EA6"/>
    <w:rsid w:val="0058608D"/>
    <w:rsid w:val="005D6ED2"/>
    <w:rsid w:val="00617DA9"/>
    <w:rsid w:val="00660BCB"/>
    <w:rsid w:val="00664CF4"/>
    <w:rsid w:val="006D0C8E"/>
    <w:rsid w:val="006E7D24"/>
    <w:rsid w:val="00730288"/>
    <w:rsid w:val="00752082"/>
    <w:rsid w:val="00772EB3"/>
    <w:rsid w:val="007C4182"/>
    <w:rsid w:val="007E787D"/>
    <w:rsid w:val="00806435"/>
    <w:rsid w:val="00860A13"/>
    <w:rsid w:val="00867875"/>
    <w:rsid w:val="00872627"/>
    <w:rsid w:val="00875B06"/>
    <w:rsid w:val="00902A47"/>
    <w:rsid w:val="00903965"/>
    <w:rsid w:val="00916E00"/>
    <w:rsid w:val="00940D72"/>
    <w:rsid w:val="00967E86"/>
    <w:rsid w:val="00A3415F"/>
    <w:rsid w:val="00A92D07"/>
    <w:rsid w:val="00B0089A"/>
    <w:rsid w:val="00B02372"/>
    <w:rsid w:val="00B334A8"/>
    <w:rsid w:val="00B5460E"/>
    <w:rsid w:val="00B6727A"/>
    <w:rsid w:val="00B90516"/>
    <w:rsid w:val="00B927CE"/>
    <w:rsid w:val="00B95B5B"/>
    <w:rsid w:val="00BC75D9"/>
    <w:rsid w:val="00BD54FE"/>
    <w:rsid w:val="00C0340E"/>
    <w:rsid w:val="00C03A47"/>
    <w:rsid w:val="00C17665"/>
    <w:rsid w:val="00C42ADB"/>
    <w:rsid w:val="00CD1B36"/>
    <w:rsid w:val="00CD3065"/>
    <w:rsid w:val="00CF49DC"/>
    <w:rsid w:val="00CF6F0A"/>
    <w:rsid w:val="00D878DC"/>
    <w:rsid w:val="00DC7076"/>
    <w:rsid w:val="00DD34CD"/>
    <w:rsid w:val="00DE45F3"/>
    <w:rsid w:val="00E313F3"/>
    <w:rsid w:val="00E74C13"/>
    <w:rsid w:val="00EB79DA"/>
    <w:rsid w:val="00F14963"/>
    <w:rsid w:val="00F301AD"/>
    <w:rsid w:val="00F406F6"/>
    <w:rsid w:val="00F50827"/>
    <w:rsid w:val="00FE55F2"/>
    <w:rsid w:val="00FF2629"/>
    <w:rsid w:val="00FF4288"/>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872627"/>
    <w:rPr>
      <w:rFonts w:ascii="Tahoma" w:hAnsi="Tahoma" w:cs="Tahoma"/>
      <w:sz w:val="16"/>
      <w:szCs w:val="16"/>
    </w:rPr>
  </w:style>
  <w:style w:type="character" w:customStyle="1" w:styleId="aa">
    <w:name w:val="Текст выноски Знак"/>
    <w:basedOn w:val="a0"/>
    <w:link w:val="a9"/>
    <w:rsid w:val="0087262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572393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Алла</dc:creator>
  <cp:lastModifiedBy>тыл</cp:lastModifiedBy>
  <cp:revision>11</cp:revision>
  <cp:lastPrinted>2026-06-02T11:20:00Z</cp:lastPrinted>
  <dcterms:created xsi:type="dcterms:W3CDTF">2024-09-24T17:11:00Z</dcterms:created>
  <dcterms:modified xsi:type="dcterms:W3CDTF">2026-06-02T11:22:00Z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